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00" w:lineRule="auto"/>
        <w:jc w:val="center"/>
      </w:pPr>
      <w:r>
        <w:rPr>
          <w:rFonts w:ascii="Times New Roman" w:hAnsi="Times New Roman"/>
          <w:b/>
          <w:sz w:val="32"/>
        </w:rPr>
        <w:t>INFEARA MEDICAL SYSTEM (IMS): MULTI-TENANT CLINICAL MANAGEMENT, E-PRESCRIPTION AND PHARMACY POS PLATFORM</w:t>
      </w:r>
    </w:p>
    <w:p>
      <w:pPr>
        <w:spacing w:before="0" w:after="120" w:line="300" w:lineRule="auto"/>
        <w:jc w:val="center"/>
      </w:pPr>
      <w:r>
        <w:rPr>
          <w:rFonts w:ascii="Times New Roman" w:hAnsi="Times New Roman"/>
          <w:b/>
          <w:sz w:val="24"/>
        </w:rPr>
        <w:t>A PROJECT REPORT SUBMITTED TO</w:t>
      </w:r>
    </w:p>
    <w:p>
      <w:pPr>
        <w:spacing w:before="0" w:after="240" w:line="300" w:lineRule="auto"/>
        <w:jc w:val="center"/>
      </w:pPr>
      <w:r>
        <w:rPr>
          <w:rFonts w:ascii="Times New Roman" w:hAnsi="Times New Roman"/>
          <w:b/>
          <w:sz w:val="26"/>
        </w:rPr>
        <w:t>SRM INSTITUTE OF SCIENCE AND TECHNOLOGY</w:t>
      </w:r>
    </w:p>
    <w:p>
      <w:pPr>
        <w:spacing w:before="0" w:after="240" w:line="300" w:lineRule="auto"/>
        <w:jc w:val="center"/>
      </w:pPr>
      <w:r>
        <w:rPr>
          <w:rFonts w:ascii="Times New Roman" w:hAnsi="Times New Roman"/>
          <w:b/>
          <w:sz w:val="24"/>
        </w:rPr>
        <w:t>IN PARTIAL FULFILLMENT OF THE REQUIREMENTS FOR THE AWARD OF THE DEGREE OF</w:t>
      </w:r>
    </w:p>
    <w:p>
      <w:pPr>
        <w:spacing w:before="0" w:after="240" w:line="300" w:lineRule="auto"/>
        <w:jc w:val="center"/>
      </w:pPr>
      <w:r>
        <w:rPr>
          <w:rFonts w:ascii="Times New Roman" w:hAnsi="Times New Roman"/>
          <w:b/>
          <w:sz w:val="32"/>
        </w:rPr>
        <w:t>BACHELOR OF COMPUTER APPLICATIONS</w:t>
      </w:r>
    </w:p>
    <w:p>
      <w:pPr>
        <w:spacing w:before="0" w:after="120" w:line="300" w:lineRule="auto"/>
        <w:jc w:val="center"/>
      </w:pPr>
      <w:r>
        <w:rPr>
          <w:rFonts w:ascii="Times New Roman" w:hAnsi="Times New Roman"/>
          <w:b/>
          <w:sz w:val="24"/>
        </w:rPr>
        <w:t>BY</w:t>
      </w:r>
    </w:p>
    <w:p>
      <w:pPr>
        <w:spacing w:before="0" w:after="60" w:line="300" w:lineRule="auto"/>
        <w:jc w:val="center"/>
      </w:pPr>
      <w:r>
        <w:rPr>
          <w:rFonts w:ascii="Times New Roman" w:hAnsi="Times New Roman"/>
          <w:b/>
          <w:sz w:val="28"/>
        </w:rPr>
        <w:t>VIGNESH M</w:t>
      </w:r>
    </w:p>
    <w:p>
      <w:pPr>
        <w:spacing w:before="0" w:after="240" w:line="300" w:lineRule="auto"/>
        <w:jc w:val="center"/>
      </w:pPr>
      <w:r>
        <w:rPr>
          <w:rFonts w:ascii="Times New Roman" w:hAnsi="Times New Roman"/>
          <w:b/>
          <w:sz w:val="25"/>
        </w:rPr>
        <w:t>REG. NO. DC2431006010004</w:t>
      </w:r>
    </w:p>
    <w:p>
      <w:pPr>
        <w:spacing w:before="0" w:after="120" w:line="300" w:lineRule="auto"/>
        <w:jc w:val="center"/>
      </w:pPr>
      <w:r>
        <w:rPr>
          <w:rFonts w:ascii="Times New Roman" w:hAnsi="Times New Roman"/>
          <w:b/>
          <w:sz w:val="24"/>
        </w:rPr>
        <w:t>UNDER THE GUIDANCE OF</w:t>
      </w:r>
    </w:p>
    <w:p>
      <w:pPr>
        <w:spacing w:before="0" w:after="40" w:line="300" w:lineRule="auto"/>
        <w:jc w:val="center"/>
      </w:pPr>
      <w:r>
        <w:rPr>
          <w:rFonts w:ascii="Times New Roman" w:hAnsi="Times New Roman"/>
          <w:b/>
          <w:sz w:val="25"/>
        </w:rPr>
        <w:t>Dr. A. THIRUMURTHI RAJA M.C.A., M.E., PH.D.,</w:t>
      </w:r>
    </w:p>
    <w:p>
      <w:pPr>
        <w:spacing w:before="0" w:after="200" w:line="300" w:lineRule="auto"/>
        <w:jc w:val="center"/>
      </w:pPr>
      <w:r>
        <w:rPr>
          <w:rFonts w:ascii="Times New Roman" w:hAnsi="Times New Roman"/>
          <w:b/>
          <w:sz w:val="23"/>
        </w:rPr>
        <w:t>ASSISTANT PROFESSOR, SRMIST-DDE,</w:t>
      </w:r>
    </w:p>
    <w:p>
      <w:pPr>
        <w:spacing w:after="200"/>
        <w:jc w:val="center"/>
      </w:pPr>
      <w:r>
        <w:drawing>
          <wp:inline xmlns:a="http://schemas.openxmlformats.org/drawingml/2006/main" xmlns:pic="http://schemas.openxmlformats.org/drawingml/2006/picture">
            <wp:extent cx="2194560" cy="763325"/>
            <wp:docPr id="1" name="Picture 1"/>
            <wp:cNvGraphicFramePr>
              <a:graphicFrameLocks noChangeAspect="1"/>
            </wp:cNvGraphicFramePr>
            <a:graphic>
              <a:graphicData uri="http://schemas.openxmlformats.org/drawingml/2006/picture">
                <pic:pic>
                  <pic:nvPicPr>
                    <pic:cNvPr id="0" name="srm_logo_docx_image1.jpeg"/>
                    <pic:cNvPicPr/>
                  </pic:nvPicPr>
                  <pic:blipFill>
                    <a:blip r:embed="rId9"/>
                    <a:stretch>
                      <a:fillRect/>
                    </a:stretch>
                  </pic:blipFill>
                  <pic:spPr>
                    <a:xfrm>
                      <a:off x="0" y="0"/>
                      <a:ext cx="2194560" cy="763325"/>
                    </a:xfrm>
                    <a:prstGeom prst="rect"/>
                  </pic:spPr>
                </pic:pic>
              </a:graphicData>
            </a:graphic>
          </wp:inline>
        </w:drawing>
      </w:r>
    </w:p>
    <w:p>
      <w:pPr>
        <w:spacing w:before="0" w:after="60" w:line="300" w:lineRule="auto"/>
        <w:jc w:val="center"/>
      </w:pPr>
      <w:r>
        <w:rPr>
          <w:rFonts w:ascii="Times New Roman" w:hAnsi="Times New Roman"/>
          <w:b/>
          <w:sz w:val="24"/>
        </w:rPr>
        <w:t>DEPARTMENT OF COMPUTER APPLICATIONS</w:t>
      </w:r>
    </w:p>
    <w:p>
      <w:pPr>
        <w:spacing w:before="0" w:after="60" w:line="300" w:lineRule="auto"/>
        <w:jc w:val="center"/>
      </w:pPr>
      <w:r>
        <w:rPr>
          <w:rFonts w:ascii="Times New Roman" w:hAnsi="Times New Roman"/>
          <w:b/>
          <w:sz w:val="24"/>
        </w:rPr>
        <w:t>DIRECTORATE OF DISTANCE EDUCATION</w:t>
      </w:r>
    </w:p>
    <w:p>
      <w:pPr>
        <w:spacing w:before="0" w:after="60" w:line="300" w:lineRule="auto"/>
        <w:jc w:val="center"/>
      </w:pPr>
      <w:r>
        <w:rPr>
          <w:rFonts w:ascii="Times New Roman" w:hAnsi="Times New Roman"/>
          <w:b/>
          <w:sz w:val="24"/>
        </w:rPr>
        <w:t>SRM INSTITUTE OF SCIENCE AND TECHNOLOGY</w:t>
      </w:r>
    </w:p>
    <w:p>
      <w:pPr>
        <w:spacing w:before="0" w:after="60" w:line="300" w:lineRule="auto"/>
        <w:jc w:val="center"/>
      </w:pPr>
      <w:r>
        <w:rPr>
          <w:rFonts w:ascii="Times New Roman" w:hAnsi="Times New Roman"/>
          <w:b/>
          <w:sz w:val="24"/>
        </w:rPr>
        <w:t>(Deemed to be university u/s 3 of UGC Act, 1956)</w:t>
      </w:r>
    </w:p>
    <w:p>
      <w:pPr>
        <w:spacing w:before="0" w:after="60" w:line="300" w:lineRule="auto"/>
        <w:jc w:val="center"/>
      </w:pPr>
      <w:r>
        <w:rPr>
          <w:rFonts w:ascii="Times New Roman" w:hAnsi="Times New Roman"/>
          <w:b/>
          <w:sz w:val="24"/>
        </w:rPr>
        <w:t>Kattankulathur – 603 203</w:t>
      </w:r>
    </w:p>
    <w:p>
      <w:pPr>
        <w:spacing w:before="0" w:after="60" w:line="300" w:lineRule="auto"/>
        <w:jc w:val="center"/>
      </w:pPr>
      <w:r>
        <w:rPr>
          <w:rFonts w:ascii="Times New Roman" w:hAnsi="Times New Roman"/>
          <w:b/>
          <w:sz w:val="24"/>
        </w:rPr>
        <w:t>Chennai, Tamilnadu</w:t>
      </w:r>
    </w:p>
    <w:p>
      <w:pPr>
        <w:spacing w:before="0" w:after="60" w:line="300" w:lineRule="auto"/>
        <w:jc w:val="center"/>
      </w:pPr>
      <w:r>
        <w:rPr>
          <w:rFonts w:ascii="Times New Roman" w:hAnsi="Times New Roman"/>
          <w:b/>
          <w:sz w:val="24"/>
        </w:rPr>
        <w:t>NOV 2026</w:t>
      </w:r>
    </w:p>
    <w:p>
      <w:pPr>
        <w:sectPr>
          <w:pgSz w:w="11909" w:h="16834"/>
          <w:pgMar w:top="1440" w:right="1440" w:bottom="1440" w:left="1800" w:header="720" w:footer="720" w:gutter="0"/>
          <w:cols w:space="720"/>
          <w:titlePg/>
          <w:docGrid w:linePitch="360"/>
          <w:pgNumType w:fmt="lowerRoman" w:start="1"/>
          <w:pgBorders w:offsetFrom="page">
            <w:top w:val="double" w:sz="12" w:space="24" w:color="0F2744"/>
            <w:left w:val="double" w:sz="12" w:space="24" w:color="0F2744"/>
            <w:bottom w:val="double" w:sz="12" w:space="24" w:color="0F2744"/>
            <w:right w:val="double" w:sz="12" w:space="24" w:color="0F2744"/>
          </w:pgBorders>
        </w:sectPr>
      </w:pPr>
    </w:p>
    <w:p>
      <w:pPr>
        <w:spacing w:before="80" w:after="320"/>
        <w:jc w:val="center"/>
      </w:pPr>
      <w:r>
        <w:rPr>
          <w:rFonts w:ascii="Times New Roman" w:hAnsi="Times New Roman"/>
          <w:b/>
          <w:color w:val="0F2744"/>
          <w:sz w:val="30"/>
        </w:rPr>
        <w:t>BONAFIDE CERTIFICATE</w:t>
      </w:r>
    </w:p>
    <w:p>
      <w:pPr>
        <w:spacing w:line="420" w:lineRule="auto" w:after="840"/>
        <w:jc w:val="both"/>
      </w:pPr>
      <w:r>
        <w:rPr>
          <w:rFonts w:ascii="Times New Roman" w:hAnsi="Times New Roman"/>
          <w:b w:val="0"/>
          <w:sz w:val="24"/>
        </w:rPr>
        <w:t xml:space="preserve">This is to certify that the project report titled </w:t>
      </w:r>
      <w:r>
        <w:rPr>
          <w:rFonts w:ascii="Times New Roman" w:hAnsi="Times New Roman"/>
          <w:b/>
          <w:sz w:val="24"/>
        </w:rPr>
        <w:t>“INFEARA MEDICAL SYSTEM (IMS): MULTI-TENANT CLINICAL MANAGEMENT, E-PRESCRIPTION AND PHARMACY POS PLATFORM”</w:t>
      </w:r>
      <w:r>
        <w:rPr>
          <w:rFonts w:ascii="Times New Roman" w:hAnsi="Times New Roman"/>
          <w:b w:val="0"/>
          <w:sz w:val="24"/>
        </w:rPr>
        <w:t xml:space="preserve"> is a bonafide work carried out by </w:t>
      </w:r>
      <w:r>
        <w:rPr>
          <w:rFonts w:ascii="Times New Roman" w:hAnsi="Times New Roman"/>
          <w:b/>
          <w:sz w:val="24"/>
        </w:rPr>
        <w:t>VIGNESH M (DC2431006010004)</w:t>
      </w:r>
      <w:r>
        <w:rPr>
          <w:rFonts w:ascii="Times New Roman" w:hAnsi="Times New Roman"/>
          <w:b w:val="0"/>
          <w:sz w:val="24"/>
        </w:rPr>
        <w:t xml:space="preserve"> under my supervision for the award of the Degree of Bachelor Of Computer Applications. To my knowledge the work reported herein is the original work done by the candidate.</w:t>
      </w:r>
    </w:p>
    <w:tbl>
      <w:tblPr>
        <w:tblW w:type="auto" w:w="0"/>
        <w:jc w:val="center"/>
        <w:tblLook w:firstColumn="1" w:firstRow="1" w:lastColumn="0" w:lastRow="0" w:noHBand="0" w:noVBand="1" w:val="04A0"/>
      </w:tblPr>
      <w:tblGrid>
        <w:gridCol w:w="4334"/>
        <w:gridCol w:w="4334"/>
      </w:tblGrid>
      <w:tr>
        <w:tc>
          <w:tcPr>
            <w:tcW w:type="dxa" w:w="4334"/>
          </w:tcPr>
          <w:p>
            <w:pPr>
              <w:spacing w:line="324" w:lineRule="auto"/>
            </w:pPr>
            <w:r>
              <w:rPr>
                <w:rFonts w:ascii="Times New Roman" w:hAnsi="Times New Roman"/>
                <w:b/>
                <w:sz w:val="23"/>
              </w:rPr>
              <w:t>PROJECT GUIDE</w:t>
              <w:br/>
            </w:r>
            <w:r>
              <w:rPr>
                <w:rFonts w:ascii="Times New Roman" w:hAnsi="Times New Roman"/>
                <w:b w:val="0"/>
                <w:sz w:val="23"/>
              </w:rPr>
              <w:br/>
            </w:r>
            <w:r>
              <w:rPr>
                <w:rFonts w:ascii="Times New Roman" w:hAnsi="Times New Roman"/>
                <w:b w:val="0"/>
                <w:sz w:val="23"/>
              </w:rPr>
              <w:br/>
            </w:r>
            <w:r>
              <w:rPr>
                <w:rFonts w:ascii="Times New Roman" w:hAnsi="Times New Roman"/>
                <w:b/>
                <w:sz w:val="23"/>
              </w:rPr>
              <w:t>Dr. A. Thirumurthi Raja</w:t>
              <w:br/>
            </w:r>
            <w:r>
              <w:rPr>
                <w:rFonts w:ascii="Times New Roman" w:hAnsi="Times New Roman"/>
                <w:b w:val="0"/>
                <w:sz w:val="23"/>
              </w:rPr>
              <w:t>Assistant Professor,</w:t>
              <w:br/>
            </w:r>
            <w:r>
              <w:rPr>
                <w:rFonts w:ascii="Times New Roman" w:hAnsi="Times New Roman"/>
                <w:b w:val="0"/>
                <w:sz w:val="23"/>
              </w:rPr>
              <w:t>SRMIST-DDE,</w:t>
            </w:r>
          </w:p>
        </w:tc>
        <w:tc>
          <w:tcPr>
            <w:tcW w:type="dxa" w:w="4334"/>
          </w:tcPr>
          <w:p>
            <w:pPr>
              <w:spacing w:line="324" w:lineRule="auto"/>
            </w:pPr>
            <w:r>
              <w:rPr>
                <w:rFonts w:ascii="Times New Roman" w:hAnsi="Times New Roman"/>
                <w:b/>
                <w:sz w:val="23"/>
              </w:rPr>
              <w:t>HEAD OF DEPARTMENT</w:t>
              <w:br/>
            </w:r>
            <w:r>
              <w:rPr>
                <w:rFonts w:ascii="Times New Roman" w:hAnsi="Times New Roman"/>
                <w:b w:val="0"/>
                <w:sz w:val="23"/>
              </w:rPr>
              <w:br/>
            </w:r>
            <w:r>
              <w:rPr>
                <w:rFonts w:ascii="Times New Roman" w:hAnsi="Times New Roman"/>
                <w:b w:val="0"/>
                <w:sz w:val="23"/>
              </w:rPr>
              <w:br/>
            </w:r>
            <w:r>
              <w:rPr>
                <w:rFonts w:ascii="Times New Roman" w:hAnsi="Times New Roman"/>
                <w:b/>
                <w:sz w:val="23"/>
              </w:rPr>
              <w:t>Dr. A. Thirumurthi Raja</w:t>
              <w:br/>
            </w:r>
            <w:r>
              <w:rPr>
                <w:rFonts w:ascii="Times New Roman" w:hAnsi="Times New Roman"/>
                <w:b w:val="0"/>
                <w:sz w:val="23"/>
              </w:rPr>
              <w:t>Program Coordinator,</w:t>
              <w:br/>
            </w:r>
            <w:r>
              <w:rPr>
                <w:rFonts w:ascii="Times New Roman" w:hAnsi="Times New Roman"/>
                <w:b w:val="0"/>
                <w:sz w:val="23"/>
              </w:rPr>
              <w:t>Department of Computer Applications,</w:t>
              <w:br/>
            </w:r>
            <w:r>
              <w:rPr>
                <w:rFonts w:ascii="Times New Roman" w:hAnsi="Times New Roman"/>
                <w:b w:val="0"/>
                <w:sz w:val="23"/>
              </w:rPr>
              <w:t>Directorate of Distance Education (DDE),</w:t>
              <w:br/>
            </w:r>
            <w:r>
              <w:rPr>
                <w:rFonts w:ascii="Times New Roman" w:hAnsi="Times New Roman"/>
                <w:b w:val="0"/>
                <w:sz w:val="23"/>
              </w:rPr>
              <w:t>SRMIST,</w:t>
            </w:r>
          </w:p>
        </w:tc>
      </w:tr>
      <w:tr>
        <w:tc>
          <w:tcPr>
            <w:tcW w:type="dxa" w:w="4334"/>
          </w:tcPr>
          <w:p>
            <w:pPr>
              <w:spacing w:line="324" w:lineRule="auto"/>
            </w:pPr>
            <w:r>
              <w:rPr>
                <w:rFonts w:ascii="Times New Roman" w:hAnsi="Times New Roman"/>
                <w:b/>
                <w:sz w:val="23"/>
              </w:rPr>
              <w:br/>
            </w:r>
            <w:r>
              <w:rPr>
                <w:rFonts w:ascii="Times New Roman" w:hAnsi="Times New Roman"/>
                <w:b w:val="0"/>
                <w:sz w:val="23"/>
              </w:rPr>
              <w:br/>
            </w:r>
            <w:r>
              <w:rPr>
                <w:rFonts w:ascii="Times New Roman" w:hAnsi="Times New Roman"/>
                <w:b w:val="0"/>
                <w:sz w:val="23"/>
              </w:rPr>
            </w:r>
          </w:p>
        </w:tc>
        <w:tc>
          <w:tcPr>
            <w:tcW w:type="dxa" w:w="4334"/>
          </w:tcPr>
          <w:p>
            <w:pPr>
              <w:spacing w:line="324" w:lineRule="auto"/>
            </w:pPr>
            <w:r>
              <w:rPr>
                <w:rFonts w:ascii="Times New Roman" w:hAnsi="Times New Roman"/>
                <w:b/>
                <w:sz w:val="23"/>
              </w:rPr>
              <w:br/>
            </w:r>
            <w:r>
              <w:rPr>
                <w:rFonts w:ascii="Times New Roman" w:hAnsi="Times New Roman"/>
                <w:b w:val="0"/>
                <w:sz w:val="23"/>
              </w:rPr>
              <w:br/>
            </w:r>
            <w:r>
              <w:rPr>
                <w:rFonts w:ascii="Times New Roman" w:hAnsi="Times New Roman"/>
                <w:b w:val="0"/>
                <w:sz w:val="23"/>
              </w:rPr>
            </w:r>
          </w:p>
        </w:tc>
      </w:tr>
      <w:tr>
        <w:tc>
          <w:tcPr>
            <w:tcW w:type="dxa" w:w="4334"/>
          </w:tcPr>
          <w:p>
            <w:pPr>
              <w:spacing w:line="324" w:lineRule="auto"/>
            </w:pPr>
            <w:r>
              <w:rPr>
                <w:rFonts w:ascii="Times New Roman" w:hAnsi="Times New Roman"/>
                <w:b/>
                <w:sz w:val="23"/>
              </w:rPr>
              <w:t>INTERNAL EXAMINER</w:t>
            </w:r>
          </w:p>
        </w:tc>
        <w:tc>
          <w:tcPr>
            <w:tcW w:type="dxa" w:w="4334"/>
          </w:tcPr>
          <w:p>
            <w:pPr>
              <w:spacing w:line="324" w:lineRule="auto"/>
            </w:pPr>
            <w:r>
              <w:rPr>
                <w:rFonts w:ascii="Times New Roman" w:hAnsi="Times New Roman"/>
                <w:b/>
                <w:sz w:val="23"/>
              </w:rPr>
              <w:t>EXTERNAL EXAMINER</w:t>
            </w:r>
          </w:p>
        </w:tc>
      </w:tr>
    </w:tbl>
    <w:p>
      <w:r>
        <w:br w:type="page"/>
      </w:r>
    </w:p>
    <w:p>
      <w:pPr>
        <w:spacing w:before="80" w:after="320"/>
        <w:jc w:val="center"/>
      </w:pPr>
      <w:r>
        <w:rPr>
          <w:rFonts w:ascii="Times New Roman" w:hAnsi="Times New Roman"/>
          <w:b/>
          <w:color w:val="0F2744"/>
          <w:sz w:val="30"/>
        </w:rPr>
        <w:t>DECLARATION</w:t>
      </w:r>
    </w:p>
    <w:p>
      <w:pPr>
        <w:spacing w:line="420" w:lineRule="auto" w:after="960"/>
        <w:jc w:val="both"/>
      </w:pPr>
      <w:r>
        <w:rPr>
          <w:rFonts w:ascii="Times New Roman" w:hAnsi="Times New Roman"/>
          <w:sz w:val="24"/>
        </w:rPr>
        <w:t>I, VIGNESH M (DC2431006010004), hereby declare that the project report entitled “INFEARA MEDICAL SYSTEM (IMS): MULTI-TENANT CLINICAL MANAGEMENT, E-PRESCRIPTION AND PHARMACY POS PLATFORM” submitted to SRM Institute of Science and Technology in partial fulfillment of the requirements for the award of the Degree of Bachelor Of Computer Applications is a record of original software engineering and academic project work carried out by me under the supervision and guidance of Dr. A. Thirumurthi Raja, M.C.A., M.E., Ph.D., Assistant Professor, Department of Computer Applications, Directorate of Distance Education, SRMIST. I further declare that this project report or any part thereof has not been submitted earlier to any other University or Institution for the award of any degree or diploma.</w:t>
      </w:r>
    </w:p>
    <w:p>
      <w:pPr>
        <w:spacing w:line="336" w:lineRule="auto" w:after="120"/>
        <w:jc w:val="both"/>
      </w:pPr>
      <w:r>
        <w:rPr>
          <w:rFonts w:ascii="Times New Roman" w:hAnsi="Times New Roman"/>
          <w:sz w:val="24"/>
        </w:rPr>
        <w:t>Place: Chennai</w:t>
        <w:br/>
        <w:t>Date: November 2026</w:t>
      </w:r>
    </w:p>
    <w:p>
      <w:pPr>
        <w:spacing w:line="336" w:lineRule="auto" w:after="120"/>
        <w:jc w:val="right"/>
      </w:pPr>
      <w:r>
        <w:rPr>
          <w:rFonts w:ascii="Times New Roman" w:hAnsi="Times New Roman"/>
          <w:sz w:val="24"/>
        </w:rPr>
        <w:t>VIGNESH M</w:t>
        <w:br/>
        <w:t>(DC2431006010004)</w:t>
        <w:br/>
        <w:t>Signature of the Candidate</w:t>
      </w:r>
    </w:p>
    <w:p>
      <w:r>
        <w:br w:type="page"/>
      </w:r>
    </w:p>
    <w:p>
      <w:pPr>
        <w:spacing w:before="80" w:after="320"/>
        <w:jc w:val="center"/>
      </w:pPr>
      <w:r>
        <w:rPr>
          <w:rFonts w:ascii="Times New Roman" w:hAnsi="Times New Roman"/>
          <w:b/>
          <w:color w:val="0F2744"/>
          <w:sz w:val="30"/>
        </w:rPr>
        <w:t>ACKNOWLEDGEMENT</w:t>
      </w:r>
    </w:p>
    <w:p>
      <w:pPr>
        <w:spacing w:line="360" w:lineRule="auto" w:after="200"/>
        <w:jc w:val="both"/>
      </w:pPr>
      <w:r>
        <w:rPr>
          <w:rFonts w:ascii="Times New Roman" w:hAnsi="Times New Roman"/>
          <w:sz w:val="24"/>
        </w:rPr>
        <w:t>With profound gratitude to the ALMIGHTY, I take this chance to thank the people who helped me to complete this project.</w:t>
      </w:r>
    </w:p>
    <w:p>
      <w:pPr>
        <w:spacing w:line="360" w:lineRule="auto" w:after="200"/>
        <w:jc w:val="both"/>
      </w:pPr>
      <w:r>
        <w:rPr>
          <w:rFonts w:ascii="Times New Roman" w:hAnsi="Times New Roman"/>
          <w:sz w:val="24"/>
        </w:rPr>
        <w:t>I take this as a right opportunity to say THANKS to my parents who are there to stand with me always with the words “YOU CAN”.</w:t>
      </w:r>
    </w:p>
    <w:p>
      <w:pPr>
        <w:spacing w:line="360" w:lineRule="auto" w:after="200"/>
        <w:jc w:val="both"/>
      </w:pPr>
      <w:r>
        <w:rPr>
          <w:rFonts w:ascii="Times New Roman" w:hAnsi="Times New Roman"/>
          <w:sz w:val="24"/>
        </w:rPr>
        <w:t>I am thankful to Dr. T. R. Paarivendhar, Chancellor, SRM Institute of Science &amp; Technology who gave us the platform to establish ourselves and reach greater heights.</w:t>
      </w:r>
    </w:p>
    <w:p>
      <w:pPr>
        <w:spacing w:line="360" w:lineRule="auto" w:after="200"/>
        <w:jc w:val="both"/>
      </w:pPr>
      <w:r>
        <w:rPr>
          <w:rFonts w:ascii="Times New Roman" w:hAnsi="Times New Roman"/>
          <w:sz w:val="24"/>
        </w:rPr>
        <w:t>I express my deep sense of gratitude to the Director Dr. Manoranjan Pon Ram for his wholehearted support and encouragement.</w:t>
      </w:r>
    </w:p>
    <w:p>
      <w:pPr>
        <w:spacing w:line="360" w:lineRule="auto" w:after="200"/>
        <w:jc w:val="both"/>
      </w:pPr>
      <w:r>
        <w:rPr>
          <w:rFonts w:ascii="Times New Roman" w:hAnsi="Times New Roman"/>
          <w:sz w:val="24"/>
        </w:rPr>
        <w:t>I earnestly thank Dr. A. Thirumurthi Raja, Programme Coordinator, BCA/MCA — Directorate of Distance Education, SRM Institute of Science &amp; Technology who always encourages us to pursue novel engineering solutions.</w:t>
      </w:r>
    </w:p>
    <w:p>
      <w:pPr>
        <w:spacing w:line="360" w:lineRule="auto" w:after="200"/>
        <w:jc w:val="both"/>
      </w:pPr>
      <w:r>
        <w:rPr>
          <w:rFonts w:ascii="Times New Roman" w:hAnsi="Times New Roman"/>
          <w:sz w:val="24"/>
        </w:rPr>
        <w:t>It is my delight to thank my project guide Dr. A. Thirumurthi Raja, Assistant Professor, Department of Computer Applications (DDE), for his help, support, encouragement, suggestions, and guidance throughout the development phases of the project.</w:t>
      </w:r>
    </w:p>
    <w:p>
      <w:pPr>
        <w:spacing w:line="360" w:lineRule="auto" w:after="200"/>
        <w:jc w:val="both"/>
      </w:pPr>
      <w:r>
        <w:rPr>
          <w:rFonts w:ascii="Times New Roman" w:hAnsi="Times New Roman"/>
          <w:sz w:val="24"/>
        </w:rPr>
        <w:t>I convey my sincere gratitude to all the faculty members of the department who extended their support through valuable comments and suggestions during the reviews.</w:t>
      </w:r>
    </w:p>
    <w:p>
      <w:pPr>
        <w:spacing w:line="360" w:lineRule="auto" w:after="200"/>
        <w:jc w:val="both"/>
      </w:pPr>
      <w:r>
        <w:rPr>
          <w:rFonts w:ascii="Times New Roman" w:hAnsi="Times New Roman"/>
          <w:sz w:val="24"/>
        </w:rPr>
        <w:t>A great note of gratitude to friends and colleagues who helped in carrying out this project work to a successful completion.</w:t>
      </w:r>
    </w:p>
    <w:p>
      <w:pPr>
        <w:spacing w:line="360" w:lineRule="auto" w:after="120"/>
        <w:jc w:val="right"/>
      </w:pPr>
      <w:r>
        <w:rPr>
          <w:rFonts w:ascii="Times New Roman" w:hAnsi="Times New Roman"/>
          <w:sz w:val="24"/>
        </w:rPr>
        <w:t>VIGNESH M</w:t>
      </w:r>
    </w:p>
    <w:p>
      <w:r>
        <w:br w:type="page"/>
      </w:r>
    </w:p>
    <w:p>
      <w:pPr>
        <w:spacing w:before="80" w:after="320"/>
        <w:jc w:val="center"/>
      </w:pPr>
      <w:r>
        <w:rPr>
          <w:rFonts w:ascii="Times New Roman" w:hAnsi="Times New Roman"/>
          <w:b/>
          <w:color w:val="0F2744"/>
          <w:sz w:val="30"/>
        </w:rPr>
        <w:t>ABSTRACT</w:t>
      </w:r>
    </w:p>
    <w:p>
      <w:pPr>
        <w:spacing w:line="360" w:lineRule="auto" w:after="160"/>
        <w:jc w:val="both"/>
      </w:pPr>
      <w:r>
        <w:rPr>
          <w:rFonts w:ascii="Times New Roman" w:hAnsi="Times New Roman"/>
          <w:sz w:val="24"/>
        </w:rPr>
        <w:t>Outpatient healthcare delivery across urban and semi-urban clinics frequently suffers from fragmented operational software, disconnected patient records, handwritten or easily forged prescriptions, and manual pharmacy billing ledgers. When patients consult doctors across multiple independent clinics, their demographic profiles, allergy disclosures, consultation histories, and active medications become trapped inside isolated silos or paper folders. Simultaneously, community pharmacies struggle to verify whether a presented prescription is authentic, unexpired, uncancelled, or already dispensed elsewhere, creating clinical medication-safety risks as well as manual accounting discrepancies between point-of-sale dispensing and daily financial cashbooks.</w:t>
      </w:r>
    </w:p>
    <w:p>
      <w:pPr>
        <w:spacing w:line="360" w:lineRule="auto" w:after="160"/>
        <w:jc w:val="both"/>
      </w:pPr>
      <w:r>
        <w:rPr>
          <w:rFonts w:ascii="Times New Roman" w:hAnsi="Times New Roman"/>
          <w:sz w:val="24"/>
        </w:rPr>
        <w:t>To resolve these end-to-end operational, cryptographic, and clinical challenges, this project presents the design, implementation, and validation of the Infeara Medical System (IMS) — a secure, multi-tenant healthcare enterprise resource planning (ERP) web platform engineered as a modular monolith on Java 27 and Spring Boot 4.1.2, backed by Microsoft SQL Server 2022 Express (with Flyway versioned schema migrations V001 through V009) and a zero-setup H2 compatibility profile. IMS unifies six distinct security principals across five role-tailored workspaces: Super Admin (/admin/**), Clinic Administration (/clinic/**), Doctor Workspace (/doctor/**), Patient Self-Service Portal (/patient/**), and Pharmacy Point-of-Sale &amp; Finance Workspace (/pharmacy/**), governed by Spring Security 6 session authentication, BCrypt delegating password hashing, brute-force login throttling, and real-time tenant suspension filters.</w:t>
      </w:r>
    </w:p>
    <w:p>
      <w:pPr>
        <w:spacing w:line="360" w:lineRule="auto" w:after="160"/>
        <w:jc w:val="both"/>
      </w:pPr>
      <w:r>
        <w:rPr>
          <w:rFonts w:ascii="Times New Roman" w:hAnsi="Times New Roman"/>
          <w:sz w:val="24"/>
        </w:rPr>
        <w:t>The platform introduces four key architectural innovations grounded directly in clinical workflow safety. First, a staff-verified Patient Identity and Non-Destructive Record Merge engine enables patients to link a single verified account across multiple enrolled clinics while allowing clinic administrators to merge prior walk-in charts onto the patient's account without breaking foreign-key audit trails. Second, an atomic Appointment Slot Scheduling engine combines pessimistic doctor row locking with a filtered SQL Server unique index (UX_Appt_Slot) to guarantee zero double-bookings under concurrent requests. Third, an immutable Clinical Consultation and Electronic Prescription engine transitions clinical notes from DRAFT to FINAL (permitting only signed append-only ConsultationAddenda thereafter) and issues case-sensitive 32-character CSPRNG prescription codes enforced via SQL Server Latin1_General_100_BIN2 binary collation. Fourth, an integrated Pharmacy Point-of-Sale (POS) and Finance Ledger module verifies 32-character codes in real time, prevents over-dispensing across partial fills, remembers per-medicine unit prices automatically, computes discounts and taxes, generates itemized receipts, and auto-posts completed sale totals as linked INCOME entries in the pharmacy financial ledger.</w:t>
      </w:r>
    </w:p>
    <w:p>
      <w:pPr>
        <w:spacing w:line="360" w:lineRule="auto" w:after="240"/>
        <w:jc w:val="both"/>
      </w:pPr>
      <w:r>
        <w:rPr>
          <w:rFonts w:ascii="Times New Roman" w:hAnsi="Times New Roman"/>
          <w:sz w:val="24"/>
        </w:rPr>
        <w:t>Complemented by a transactional database-backed Email Outbox worker with exponential retry backoff, AES-256-GCM encryption for stored SMTP credentials, and comprehensive JUnit 5, Mockito, and Spring MockMvc security/integration test suites, Infeara Medical System demonstrates a production-grade, auditable, and cost-effective digital health backbone suitable for multi-clinic networks and retail pharmacies.</w:t>
      </w:r>
    </w:p>
    <w:p>
      <w:pPr>
        <w:spacing w:line="360" w:lineRule="auto" w:after="160"/>
        <w:jc w:val="both"/>
      </w:pPr>
      <w:r>
        <w:rPr>
          <w:rFonts w:ascii="Times New Roman" w:hAnsi="Times New Roman"/>
          <w:b/>
          <w:sz w:val="24"/>
        </w:rPr>
        <w:t xml:space="preserve">Keywords: </w:t>
      </w:r>
      <w:r>
        <w:rPr>
          <w:rFonts w:ascii="Times New Roman" w:hAnsi="Times New Roman"/>
          <w:sz w:val="24"/>
        </w:rPr>
        <w:t>Multi-Tenant Healthcare ERP, Spring Boot 4, Electronic Prescription (e-Rx), Non-Destructive Patient Record Merge, Role-Based Access Control (RBAC), Pharmacy Point of Sale (POS), Transactional Email Outbox, AES-256-GCM, SQL Server 2022.</w:t>
      </w:r>
    </w:p>
    <w:p>
      <w:r>
        <w:br w:type="page"/>
      </w:r>
    </w:p>
    <w:p>
      <w:pPr>
        <w:spacing w:before="80" w:after="320"/>
        <w:jc w:val="center"/>
      </w:pPr>
      <w:r>
        <w:rPr>
          <w:rFonts w:ascii="Times New Roman" w:hAnsi="Times New Roman"/>
          <w:b/>
          <w:color w:val="0F2744"/>
          <w:sz w:val="30"/>
        </w:rPr>
        <w:t>TABLE OF CONTENTS</w:t>
      </w:r>
    </w:p>
    <w:tbl>
      <w:tblPr>
        <w:tblW w:type="auto" w:w="0"/>
        <w:jc w:val="center"/>
        <w:tblLook w:firstColumn="1" w:firstRow="1" w:lastColumn="0" w:lastRow="0" w:noHBand="0" w:noVBand="1" w:val="04A0"/>
      </w:tblPr>
      <w:tblGrid>
        <w:gridCol w:w="4334"/>
        <w:gridCol w:w="4334"/>
      </w:tblGrid>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Title Page</w:t>
            </w:r>
          </w:p>
        </w:tc>
        <w:tc>
          <w:tcPr>
            <w:tcW w:type="dxa" w:w="1008"/>
            <w:tcMar>
              <w:top w:w="45" w:type="dxa"/>
              <w:bottom w:w="45" w:type="dxa"/>
              <w:left w:w="40" w:type="dxa"/>
              <w:right w:w="40" w:type="dxa"/>
            </w:tcMar>
          </w:tcPr>
          <w:p>
            <w:pPr>
              <w:spacing w:after="0"/>
              <w:jc w:val="right"/>
            </w:pPr>
            <w:r>
              <w:rPr>
                <w:rFonts w:ascii="Times New Roman" w:hAnsi="Times New Roman"/>
                <w:b w:val="0"/>
                <w:sz w:val="21"/>
              </w:rPr>
              <w:t>i</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Bonafide Certificate</w:t>
            </w:r>
          </w:p>
        </w:tc>
        <w:tc>
          <w:tcPr>
            <w:tcW w:type="dxa" w:w="1008"/>
            <w:tcMar>
              <w:top w:w="45" w:type="dxa"/>
              <w:bottom w:w="45" w:type="dxa"/>
              <w:left w:w="40" w:type="dxa"/>
              <w:right w:w="40" w:type="dxa"/>
            </w:tcMar>
          </w:tcPr>
          <w:p>
            <w:pPr>
              <w:spacing w:after="0"/>
              <w:jc w:val="right"/>
            </w:pPr>
            <w:r>
              <w:rPr>
                <w:rFonts w:ascii="Times New Roman" w:hAnsi="Times New Roman"/>
                <w:b w:val="0"/>
                <w:sz w:val="21"/>
              </w:rPr>
              <w:t>ii</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Declaration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iii</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Acknowledgement</w:t>
            </w:r>
          </w:p>
        </w:tc>
        <w:tc>
          <w:tcPr>
            <w:tcW w:type="dxa" w:w="1008"/>
            <w:tcMar>
              <w:top w:w="45" w:type="dxa"/>
              <w:bottom w:w="45" w:type="dxa"/>
              <w:left w:w="40" w:type="dxa"/>
              <w:right w:w="40" w:type="dxa"/>
            </w:tcMar>
          </w:tcPr>
          <w:p>
            <w:pPr>
              <w:spacing w:after="0"/>
              <w:jc w:val="right"/>
            </w:pPr>
            <w:r>
              <w:rPr>
                <w:rFonts w:ascii="Times New Roman" w:hAnsi="Times New Roman"/>
                <w:b w:val="0"/>
                <w:sz w:val="21"/>
              </w:rPr>
              <w:t>iv</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Abstract</w:t>
            </w:r>
          </w:p>
        </w:tc>
        <w:tc>
          <w:tcPr>
            <w:tcW w:type="dxa" w:w="1008"/>
            <w:tcMar>
              <w:top w:w="45" w:type="dxa"/>
              <w:bottom w:w="45" w:type="dxa"/>
              <w:left w:w="40" w:type="dxa"/>
              <w:right w:w="40" w:type="dxa"/>
            </w:tcMar>
          </w:tcPr>
          <w:p>
            <w:pPr>
              <w:spacing w:after="0"/>
              <w:jc w:val="right"/>
            </w:pPr>
            <w:r>
              <w:rPr>
                <w:rFonts w:ascii="Times New Roman" w:hAnsi="Times New Roman"/>
                <w:b w:val="0"/>
                <w:sz w:val="21"/>
              </w:rPr>
              <w:t>v</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of Contents</w:t>
            </w:r>
          </w:p>
        </w:tc>
        <w:tc>
          <w:tcPr>
            <w:tcW w:type="dxa" w:w="1008"/>
            <w:tcMar>
              <w:top w:w="45" w:type="dxa"/>
              <w:bottom w:w="45" w:type="dxa"/>
              <w:left w:w="40" w:type="dxa"/>
              <w:right w:w="40" w:type="dxa"/>
            </w:tcMar>
          </w:tcPr>
          <w:p>
            <w:pPr>
              <w:spacing w:after="0"/>
              <w:jc w:val="right"/>
            </w:pPr>
            <w:r>
              <w:rPr>
                <w:rFonts w:ascii="Times New Roman" w:hAnsi="Times New Roman"/>
                <w:b w:val="0"/>
                <w:sz w:val="21"/>
              </w:rPr>
              <w:t>vii</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List of Figures</w:t>
            </w:r>
          </w:p>
        </w:tc>
        <w:tc>
          <w:tcPr>
            <w:tcW w:type="dxa" w:w="1008"/>
            <w:tcMar>
              <w:top w:w="45" w:type="dxa"/>
              <w:bottom w:w="45" w:type="dxa"/>
              <w:left w:w="40" w:type="dxa"/>
              <w:right w:w="40" w:type="dxa"/>
            </w:tcMar>
          </w:tcPr>
          <w:p>
            <w:pPr>
              <w:spacing w:after="0"/>
              <w:jc w:val="right"/>
            </w:pPr>
            <w:r>
              <w:rPr>
                <w:rFonts w:ascii="Times New Roman" w:hAnsi="Times New Roman"/>
                <w:b w:val="0"/>
                <w:sz w:val="21"/>
              </w:rPr>
              <w:t>xi</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List of Tables</w:t>
            </w:r>
          </w:p>
        </w:tc>
        <w:tc>
          <w:tcPr>
            <w:tcW w:type="dxa" w:w="1008"/>
            <w:tcMar>
              <w:top w:w="45" w:type="dxa"/>
              <w:bottom w:w="45" w:type="dxa"/>
              <w:left w:w="40" w:type="dxa"/>
              <w:right w:w="40" w:type="dxa"/>
            </w:tcMar>
          </w:tcPr>
          <w:p>
            <w:pPr>
              <w:spacing w:after="0"/>
              <w:jc w:val="right"/>
            </w:pPr>
            <w:r>
              <w:rPr>
                <w:rFonts w:ascii="Times New Roman" w:hAnsi="Times New Roman"/>
                <w:b w:val="0"/>
                <w:sz w:val="21"/>
              </w:rPr>
              <w:t>xiii</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Abbreviations / Acronyms</w:t>
            </w:r>
          </w:p>
        </w:tc>
        <w:tc>
          <w:tcPr>
            <w:tcW w:type="dxa" w:w="1008"/>
            <w:tcMar>
              <w:top w:w="45" w:type="dxa"/>
              <w:bottom w:w="45" w:type="dxa"/>
              <w:left w:w="40" w:type="dxa"/>
              <w:right w:w="40" w:type="dxa"/>
            </w:tcMar>
          </w:tcPr>
          <w:p>
            <w:pPr>
              <w:spacing w:after="0"/>
              <w:jc w:val="right"/>
            </w:pPr>
            <w:r>
              <w:rPr>
                <w:rFonts w:ascii="Times New Roman" w:hAnsi="Times New Roman"/>
                <w:b w:val="0"/>
                <w:sz w:val="21"/>
              </w:rPr>
              <w:t>xv</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CHAPTER 1: INTRODUCTION</w:t>
            </w:r>
          </w:p>
        </w:tc>
        <w:tc>
          <w:tcPr>
            <w:tcW w:type="dxa" w:w="1008"/>
            <w:tcMar>
              <w:top w:w="45" w:type="dxa"/>
              <w:bottom w:w="45" w:type="dxa"/>
              <w:left w:w="40" w:type="dxa"/>
              <w:right w:w="40" w:type="dxa"/>
            </w:tcMar>
          </w:tcPr>
          <w:p>
            <w:pPr>
              <w:spacing w:after="0"/>
              <w:jc w:val="right"/>
            </w:pPr>
            <w:r>
              <w:rPr>
                <w:rFonts w:ascii="Times New Roman" w:hAnsi="Times New Roman"/>
                <w:b/>
                <w:sz w:val="22"/>
              </w:rPr>
              <w:t>1</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1.1 Overview of the Project</w:t>
            </w:r>
          </w:p>
        </w:tc>
        <w:tc>
          <w:tcPr>
            <w:tcW w:type="dxa" w:w="1008"/>
            <w:tcMar>
              <w:top w:w="45" w:type="dxa"/>
              <w:bottom w:w="45" w:type="dxa"/>
              <w:left w:w="40" w:type="dxa"/>
              <w:right w:w="40" w:type="dxa"/>
            </w:tcMar>
          </w:tcPr>
          <w:p>
            <w:pPr>
              <w:spacing w:after="0"/>
              <w:jc w:val="right"/>
            </w:pPr>
            <w:r>
              <w:rPr>
                <w:rFonts w:ascii="Times New Roman" w:hAnsi="Times New Roman"/>
                <w:b w:val="0"/>
                <w:sz w:val="21"/>
              </w:rPr>
              <w:t>1</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1.2 Background of the Study</w:t>
            </w:r>
          </w:p>
        </w:tc>
        <w:tc>
          <w:tcPr>
            <w:tcW w:type="dxa" w:w="1008"/>
            <w:tcMar>
              <w:top w:w="45" w:type="dxa"/>
              <w:bottom w:w="45" w:type="dxa"/>
              <w:left w:w="40" w:type="dxa"/>
              <w:right w:w="40" w:type="dxa"/>
            </w:tcMar>
          </w:tcPr>
          <w:p>
            <w:pPr>
              <w:spacing w:after="0"/>
              <w:jc w:val="right"/>
            </w:pPr>
            <w:r>
              <w:rPr>
                <w:rFonts w:ascii="Times New Roman" w:hAnsi="Times New Roman"/>
                <w:b w:val="0"/>
                <w:sz w:val="21"/>
              </w:rPr>
              <w:t>2</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1.3 Problem Statement</w:t>
            </w:r>
          </w:p>
        </w:tc>
        <w:tc>
          <w:tcPr>
            <w:tcW w:type="dxa" w:w="1008"/>
            <w:tcMar>
              <w:top w:w="45" w:type="dxa"/>
              <w:bottom w:w="45" w:type="dxa"/>
              <w:left w:w="40" w:type="dxa"/>
              <w:right w:w="40" w:type="dxa"/>
            </w:tcMar>
          </w:tcPr>
          <w:p>
            <w:pPr>
              <w:spacing w:after="0"/>
              <w:jc w:val="right"/>
            </w:pPr>
            <w:r>
              <w:rPr>
                <w:rFonts w:ascii="Times New Roman" w:hAnsi="Times New Roman"/>
                <w:b w:val="0"/>
                <w:sz w:val="21"/>
              </w:rPr>
              <w:t>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1.4 Objectives of the Project</w:t>
            </w:r>
          </w:p>
        </w:tc>
        <w:tc>
          <w:tcPr>
            <w:tcW w:type="dxa" w:w="1008"/>
            <w:tcMar>
              <w:top w:w="45" w:type="dxa"/>
              <w:bottom w:w="45" w:type="dxa"/>
              <w:left w:w="40" w:type="dxa"/>
              <w:right w:w="40" w:type="dxa"/>
            </w:tcMar>
          </w:tcPr>
          <w:p>
            <w:pPr>
              <w:spacing w:after="0"/>
              <w:jc w:val="right"/>
            </w:pPr>
            <w:r>
              <w:rPr>
                <w:rFonts w:ascii="Times New Roman" w:hAnsi="Times New Roman"/>
                <w:b w:val="0"/>
                <w:sz w:val="21"/>
              </w:rPr>
              <w:t>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1.5 Scope of the Project</w:t>
            </w:r>
          </w:p>
        </w:tc>
        <w:tc>
          <w:tcPr>
            <w:tcW w:type="dxa" w:w="1008"/>
            <w:tcMar>
              <w:top w:w="45" w:type="dxa"/>
              <w:bottom w:w="45" w:type="dxa"/>
              <w:left w:w="40" w:type="dxa"/>
              <w:right w:w="40" w:type="dxa"/>
            </w:tcMar>
          </w:tcPr>
          <w:p>
            <w:pPr>
              <w:spacing w:after="0"/>
              <w:jc w:val="right"/>
            </w:pPr>
            <w:r>
              <w:rPr>
                <w:rFonts w:ascii="Times New Roman" w:hAnsi="Times New Roman"/>
                <w:b w:val="0"/>
                <w:sz w:val="21"/>
              </w:rPr>
              <w:t>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1.6 Project Motivation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1.7 Assumptions and Constraints</w:t>
            </w:r>
          </w:p>
        </w:tc>
        <w:tc>
          <w:tcPr>
            <w:tcW w:type="dxa" w:w="1008"/>
            <w:tcMar>
              <w:top w:w="45" w:type="dxa"/>
              <w:bottom w:w="45" w:type="dxa"/>
              <w:left w:w="40" w:type="dxa"/>
              <w:right w:w="40" w:type="dxa"/>
            </w:tcMar>
          </w:tcPr>
          <w:p>
            <w:pPr>
              <w:spacing w:after="0"/>
              <w:jc w:val="right"/>
            </w:pPr>
            <w:r>
              <w:rPr>
                <w:rFonts w:ascii="Times New Roman" w:hAnsi="Times New Roman"/>
                <w:b w:val="0"/>
                <w:sz w:val="21"/>
              </w:rPr>
              <w:t>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1.8 Organization of the Report</w:t>
            </w:r>
          </w:p>
        </w:tc>
        <w:tc>
          <w:tcPr>
            <w:tcW w:type="dxa" w:w="1008"/>
            <w:tcMar>
              <w:top w:w="45" w:type="dxa"/>
              <w:bottom w:w="45" w:type="dxa"/>
              <w:left w:w="40" w:type="dxa"/>
              <w:right w:w="40" w:type="dxa"/>
            </w:tcMar>
          </w:tcPr>
          <w:p>
            <w:pPr>
              <w:spacing w:after="0"/>
              <w:jc w:val="right"/>
            </w:pPr>
            <w:r>
              <w:rPr>
                <w:rFonts w:ascii="Times New Roman" w:hAnsi="Times New Roman"/>
                <w:b w:val="0"/>
                <w:sz w:val="21"/>
              </w:rPr>
              <w:t>7</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CHAPTER 2: LITERATURE REVIEW</w:t>
            </w:r>
          </w:p>
        </w:tc>
        <w:tc>
          <w:tcPr>
            <w:tcW w:type="dxa" w:w="1008"/>
            <w:tcMar>
              <w:top w:w="45" w:type="dxa"/>
              <w:bottom w:w="45" w:type="dxa"/>
              <w:left w:w="40" w:type="dxa"/>
              <w:right w:w="40" w:type="dxa"/>
            </w:tcMar>
          </w:tcPr>
          <w:p>
            <w:pPr>
              <w:spacing w:after="0"/>
              <w:jc w:val="right"/>
            </w:pPr>
            <w:r>
              <w:rPr>
                <w:rFonts w:ascii="Times New Roman" w:hAnsi="Times New Roman"/>
                <w:b/>
                <w:sz w:val="22"/>
              </w:rPr>
              <w:t>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2.1 Introduction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2.2 Review of Existing Systems and Related Literature</w:t>
            </w:r>
          </w:p>
        </w:tc>
        <w:tc>
          <w:tcPr>
            <w:tcW w:type="dxa" w:w="1008"/>
            <w:tcMar>
              <w:top w:w="45" w:type="dxa"/>
              <w:bottom w:w="45" w:type="dxa"/>
              <w:left w:w="40" w:type="dxa"/>
              <w:right w:w="40" w:type="dxa"/>
            </w:tcMar>
          </w:tcPr>
          <w:p>
            <w:pPr>
              <w:spacing w:after="0"/>
              <w:jc w:val="right"/>
            </w:pPr>
            <w:r>
              <w:rPr>
                <w:rFonts w:ascii="Times New Roman" w:hAnsi="Times New Roman"/>
                <w:b w:val="0"/>
                <w:sz w:val="21"/>
              </w:rPr>
              <w:t>9</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2.2.1 Literature Survey 1</w:t>
            </w:r>
          </w:p>
        </w:tc>
        <w:tc>
          <w:tcPr>
            <w:tcW w:type="dxa" w:w="1008"/>
            <w:tcMar>
              <w:top w:w="45" w:type="dxa"/>
              <w:bottom w:w="45" w:type="dxa"/>
              <w:left w:w="40" w:type="dxa"/>
              <w:right w:w="40" w:type="dxa"/>
            </w:tcMar>
          </w:tcPr>
          <w:p>
            <w:pPr>
              <w:spacing w:after="0"/>
              <w:jc w:val="right"/>
            </w:pPr>
            <w:r>
              <w:rPr>
                <w:rFonts w:ascii="Times New Roman" w:hAnsi="Times New Roman"/>
                <w:b w:val="0"/>
                <w:sz w:val="21"/>
              </w:rPr>
              <w:t>9</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2.2.2 Literature Survey 2</w:t>
            </w:r>
          </w:p>
        </w:tc>
        <w:tc>
          <w:tcPr>
            <w:tcW w:type="dxa" w:w="1008"/>
            <w:tcMar>
              <w:top w:w="45" w:type="dxa"/>
              <w:bottom w:w="45" w:type="dxa"/>
              <w:left w:w="40" w:type="dxa"/>
              <w:right w:w="40" w:type="dxa"/>
            </w:tcMar>
          </w:tcPr>
          <w:p>
            <w:pPr>
              <w:spacing w:after="0"/>
              <w:jc w:val="right"/>
            </w:pPr>
            <w:r>
              <w:rPr>
                <w:rFonts w:ascii="Times New Roman" w:hAnsi="Times New Roman"/>
                <w:b w:val="0"/>
                <w:sz w:val="21"/>
              </w:rPr>
              <w:t>10</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2.2.3 Literature Survey 3</w:t>
            </w:r>
          </w:p>
        </w:tc>
        <w:tc>
          <w:tcPr>
            <w:tcW w:type="dxa" w:w="1008"/>
            <w:tcMar>
              <w:top w:w="45" w:type="dxa"/>
              <w:bottom w:w="45" w:type="dxa"/>
              <w:left w:w="40" w:type="dxa"/>
              <w:right w:w="40" w:type="dxa"/>
            </w:tcMar>
          </w:tcPr>
          <w:p>
            <w:pPr>
              <w:spacing w:after="0"/>
              <w:jc w:val="right"/>
            </w:pPr>
            <w:r>
              <w:rPr>
                <w:rFonts w:ascii="Times New Roman" w:hAnsi="Times New Roman"/>
                <w:b w:val="0"/>
                <w:sz w:val="21"/>
              </w:rPr>
              <w:t>10</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2.2.4 Literature Survey 4</w:t>
            </w:r>
          </w:p>
        </w:tc>
        <w:tc>
          <w:tcPr>
            <w:tcW w:type="dxa" w:w="1008"/>
            <w:tcMar>
              <w:top w:w="45" w:type="dxa"/>
              <w:bottom w:w="45" w:type="dxa"/>
              <w:left w:w="40" w:type="dxa"/>
              <w:right w:w="40" w:type="dxa"/>
            </w:tcMar>
          </w:tcPr>
          <w:p>
            <w:pPr>
              <w:spacing w:after="0"/>
              <w:jc w:val="right"/>
            </w:pPr>
            <w:r>
              <w:rPr>
                <w:rFonts w:ascii="Times New Roman" w:hAnsi="Times New Roman"/>
                <w:b w:val="0"/>
                <w:sz w:val="21"/>
              </w:rPr>
              <w:t>10</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2.2.5 Literature Survey 5</w:t>
            </w:r>
          </w:p>
        </w:tc>
        <w:tc>
          <w:tcPr>
            <w:tcW w:type="dxa" w:w="1008"/>
            <w:tcMar>
              <w:top w:w="45" w:type="dxa"/>
              <w:bottom w:w="45" w:type="dxa"/>
              <w:left w:w="40" w:type="dxa"/>
              <w:right w:w="40" w:type="dxa"/>
            </w:tcMar>
          </w:tcPr>
          <w:p>
            <w:pPr>
              <w:spacing w:after="0"/>
              <w:jc w:val="right"/>
            </w:pPr>
            <w:r>
              <w:rPr>
                <w:rFonts w:ascii="Times New Roman" w:hAnsi="Times New Roman"/>
                <w:b w:val="0"/>
                <w:sz w:val="21"/>
              </w:rPr>
              <w:t>11</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2.2.6 Literature Survey 6</w:t>
            </w:r>
          </w:p>
        </w:tc>
        <w:tc>
          <w:tcPr>
            <w:tcW w:type="dxa" w:w="1008"/>
            <w:tcMar>
              <w:top w:w="45" w:type="dxa"/>
              <w:bottom w:w="45" w:type="dxa"/>
              <w:left w:w="40" w:type="dxa"/>
              <w:right w:w="40" w:type="dxa"/>
            </w:tcMar>
          </w:tcPr>
          <w:p>
            <w:pPr>
              <w:spacing w:after="0"/>
              <w:jc w:val="right"/>
            </w:pPr>
            <w:r>
              <w:rPr>
                <w:rFonts w:ascii="Times New Roman" w:hAnsi="Times New Roman"/>
                <w:b w:val="0"/>
                <w:sz w:val="21"/>
              </w:rPr>
              <w:t>11</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2.2.7 Literature Survey 7</w:t>
            </w:r>
          </w:p>
        </w:tc>
        <w:tc>
          <w:tcPr>
            <w:tcW w:type="dxa" w:w="1008"/>
            <w:tcMar>
              <w:top w:w="45" w:type="dxa"/>
              <w:bottom w:w="45" w:type="dxa"/>
              <w:left w:w="40" w:type="dxa"/>
              <w:right w:w="40" w:type="dxa"/>
            </w:tcMar>
          </w:tcPr>
          <w:p>
            <w:pPr>
              <w:spacing w:after="0"/>
              <w:jc w:val="right"/>
            </w:pPr>
            <w:r>
              <w:rPr>
                <w:rFonts w:ascii="Times New Roman" w:hAnsi="Times New Roman"/>
                <w:b w:val="0"/>
                <w:sz w:val="21"/>
              </w:rPr>
              <w:t>12</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2.2.8 Literature Survey 8</w:t>
            </w:r>
          </w:p>
        </w:tc>
        <w:tc>
          <w:tcPr>
            <w:tcW w:type="dxa" w:w="1008"/>
            <w:tcMar>
              <w:top w:w="45" w:type="dxa"/>
              <w:bottom w:w="45" w:type="dxa"/>
              <w:left w:w="40" w:type="dxa"/>
              <w:right w:w="40" w:type="dxa"/>
            </w:tcMar>
          </w:tcPr>
          <w:p>
            <w:pPr>
              <w:spacing w:after="0"/>
              <w:jc w:val="right"/>
            </w:pPr>
            <w:r>
              <w:rPr>
                <w:rFonts w:ascii="Times New Roman" w:hAnsi="Times New Roman"/>
                <w:b w:val="0"/>
                <w:sz w:val="21"/>
              </w:rPr>
              <w:t>12</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2.2.9 Literature Survey 9</w:t>
            </w:r>
          </w:p>
        </w:tc>
        <w:tc>
          <w:tcPr>
            <w:tcW w:type="dxa" w:w="1008"/>
            <w:tcMar>
              <w:top w:w="45" w:type="dxa"/>
              <w:bottom w:w="45" w:type="dxa"/>
              <w:left w:w="40" w:type="dxa"/>
              <w:right w:w="40" w:type="dxa"/>
            </w:tcMar>
          </w:tcPr>
          <w:p>
            <w:pPr>
              <w:spacing w:after="0"/>
              <w:jc w:val="right"/>
            </w:pPr>
            <w:r>
              <w:rPr>
                <w:rFonts w:ascii="Times New Roman" w:hAnsi="Times New Roman"/>
                <w:b w:val="0"/>
                <w:sz w:val="21"/>
              </w:rPr>
              <w:t>12</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2.2.10 Literature Survey 10</w:t>
            </w:r>
          </w:p>
        </w:tc>
        <w:tc>
          <w:tcPr>
            <w:tcW w:type="dxa" w:w="1008"/>
            <w:tcMar>
              <w:top w:w="45" w:type="dxa"/>
              <w:bottom w:w="45" w:type="dxa"/>
              <w:left w:w="40" w:type="dxa"/>
              <w:right w:w="40" w:type="dxa"/>
            </w:tcMar>
          </w:tcPr>
          <w:p>
            <w:pPr>
              <w:spacing w:after="0"/>
              <w:jc w:val="right"/>
            </w:pPr>
            <w:r>
              <w:rPr>
                <w:rFonts w:ascii="Times New Roman" w:hAnsi="Times New Roman"/>
                <w:b w:val="0"/>
                <w:sz w:val="21"/>
              </w:rPr>
              <w:t>13</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2.2.11 Literature Survey 11</w:t>
            </w:r>
          </w:p>
        </w:tc>
        <w:tc>
          <w:tcPr>
            <w:tcW w:type="dxa" w:w="1008"/>
            <w:tcMar>
              <w:top w:w="45" w:type="dxa"/>
              <w:bottom w:w="45" w:type="dxa"/>
              <w:left w:w="40" w:type="dxa"/>
              <w:right w:w="40" w:type="dxa"/>
            </w:tcMar>
          </w:tcPr>
          <w:p>
            <w:pPr>
              <w:spacing w:after="0"/>
              <w:jc w:val="right"/>
            </w:pPr>
            <w:r>
              <w:rPr>
                <w:rFonts w:ascii="Times New Roman" w:hAnsi="Times New Roman"/>
                <w:b w:val="0"/>
                <w:sz w:val="21"/>
              </w:rPr>
              <w:t>13</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2.2.12 Literature Survey 12</w:t>
            </w:r>
          </w:p>
        </w:tc>
        <w:tc>
          <w:tcPr>
            <w:tcW w:type="dxa" w:w="1008"/>
            <w:tcMar>
              <w:top w:w="45" w:type="dxa"/>
              <w:bottom w:w="45" w:type="dxa"/>
              <w:left w:w="40" w:type="dxa"/>
              <w:right w:w="40" w:type="dxa"/>
            </w:tcMar>
          </w:tcPr>
          <w:p>
            <w:pPr>
              <w:spacing w:after="0"/>
              <w:jc w:val="right"/>
            </w:pPr>
            <w:r>
              <w:rPr>
                <w:rFonts w:ascii="Times New Roman" w:hAnsi="Times New Roman"/>
                <w:b w:val="0"/>
                <w:sz w:val="21"/>
              </w:rPr>
              <w:t>14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2.3 Comparative Study of Related Work</w:t>
            </w:r>
          </w:p>
        </w:tc>
        <w:tc>
          <w:tcPr>
            <w:tcW w:type="dxa" w:w="1008"/>
            <w:tcMar>
              <w:top w:w="45" w:type="dxa"/>
              <w:bottom w:w="45" w:type="dxa"/>
              <w:left w:w="40" w:type="dxa"/>
              <w:right w:w="40" w:type="dxa"/>
            </w:tcMar>
          </w:tcPr>
          <w:p>
            <w:pPr>
              <w:spacing w:after="0"/>
              <w:jc w:val="right"/>
            </w:pPr>
            <w:r>
              <w:rPr>
                <w:rFonts w:ascii="Times New Roman" w:hAnsi="Times New Roman"/>
                <w:b w:val="0"/>
                <w:sz w:val="21"/>
              </w:rPr>
              <w:t>14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2.4 Research Gaps Identified</w:t>
            </w:r>
          </w:p>
        </w:tc>
        <w:tc>
          <w:tcPr>
            <w:tcW w:type="dxa" w:w="1008"/>
            <w:tcMar>
              <w:top w:w="45" w:type="dxa"/>
              <w:bottom w:w="45" w:type="dxa"/>
              <w:left w:w="40" w:type="dxa"/>
              <w:right w:w="40" w:type="dxa"/>
            </w:tcMar>
          </w:tcPr>
          <w:p>
            <w:pPr>
              <w:spacing w:after="0"/>
              <w:jc w:val="right"/>
            </w:pPr>
            <w:r>
              <w:rPr>
                <w:rFonts w:ascii="Times New Roman" w:hAnsi="Times New Roman"/>
                <w:b w:val="0"/>
                <w:sz w:val="21"/>
              </w:rPr>
              <w:t>15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2.5 Summary of Literature Review</w:t>
            </w:r>
          </w:p>
        </w:tc>
        <w:tc>
          <w:tcPr>
            <w:tcW w:type="dxa" w:w="1008"/>
            <w:tcMar>
              <w:top w:w="45" w:type="dxa"/>
              <w:bottom w:w="45" w:type="dxa"/>
              <w:left w:w="40" w:type="dxa"/>
              <w:right w:w="40" w:type="dxa"/>
            </w:tcMar>
          </w:tcPr>
          <w:p>
            <w:pPr>
              <w:spacing w:after="0"/>
              <w:jc w:val="right"/>
            </w:pPr>
            <w:r>
              <w:rPr>
                <w:rFonts w:ascii="Times New Roman" w:hAnsi="Times New Roman"/>
                <w:b w:val="0"/>
                <w:sz w:val="21"/>
              </w:rPr>
              <w:t>16</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CHAPTER 3: SYSTEM ANALYSIS</w:t>
            </w:r>
          </w:p>
        </w:tc>
        <w:tc>
          <w:tcPr>
            <w:tcW w:type="dxa" w:w="1008"/>
            <w:tcMar>
              <w:top w:w="45" w:type="dxa"/>
              <w:bottom w:w="45" w:type="dxa"/>
              <w:left w:w="40" w:type="dxa"/>
              <w:right w:w="40" w:type="dxa"/>
            </w:tcMar>
          </w:tcPr>
          <w:p>
            <w:pPr>
              <w:spacing w:after="0"/>
              <w:jc w:val="right"/>
            </w:pPr>
            <w:r>
              <w:rPr>
                <w:rFonts w:ascii="Times New Roman" w:hAnsi="Times New Roman"/>
                <w:b/>
                <w:sz w:val="22"/>
              </w:rPr>
              <w:t>17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3.1 Existing System Analysis</w:t>
            </w:r>
          </w:p>
        </w:tc>
        <w:tc>
          <w:tcPr>
            <w:tcW w:type="dxa" w:w="1008"/>
            <w:tcMar>
              <w:top w:w="45" w:type="dxa"/>
              <w:bottom w:w="45" w:type="dxa"/>
              <w:left w:w="40" w:type="dxa"/>
              <w:right w:w="40" w:type="dxa"/>
            </w:tcMar>
          </w:tcPr>
          <w:p>
            <w:pPr>
              <w:spacing w:after="0"/>
              <w:jc w:val="right"/>
            </w:pPr>
            <w:r>
              <w:rPr>
                <w:rFonts w:ascii="Times New Roman" w:hAnsi="Times New Roman"/>
                <w:b w:val="0"/>
                <w:sz w:val="21"/>
              </w:rPr>
              <w:t>17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3.2 Limitations of Existing System</w:t>
            </w:r>
          </w:p>
        </w:tc>
        <w:tc>
          <w:tcPr>
            <w:tcW w:type="dxa" w:w="1008"/>
            <w:tcMar>
              <w:top w:w="45" w:type="dxa"/>
              <w:bottom w:w="45" w:type="dxa"/>
              <w:left w:w="40" w:type="dxa"/>
              <w:right w:w="40" w:type="dxa"/>
            </w:tcMar>
          </w:tcPr>
          <w:p>
            <w:pPr>
              <w:spacing w:after="0"/>
              <w:jc w:val="right"/>
            </w:pPr>
            <w:r>
              <w:rPr>
                <w:rFonts w:ascii="Times New Roman" w:hAnsi="Times New Roman"/>
                <w:b w:val="0"/>
                <w:sz w:val="21"/>
              </w:rPr>
              <w:t>17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3.3 Proposed System</w:t>
            </w:r>
          </w:p>
        </w:tc>
        <w:tc>
          <w:tcPr>
            <w:tcW w:type="dxa" w:w="1008"/>
            <w:tcMar>
              <w:top w:w="45" w:type="dxa"/>
              <w:bottom w:w="45" w:type="dxa"/>
              <w:left w:w="40" w:type="dxa"/>
              <w:right w:w="40" w:type="dxa"/>
            </w:tcMar>
          </w:tcPr>
          <w:p>
            <w:pPr>
              <w:spacing w:after="0"/>
              <w:jc w:val="right"/>
            </w:pPr>
            <w:r>
              <w:rPr>
                <w:rFonts w:ascii="Times New Roman" w:hAnsi="Times New Roman"/>
                <w:b w:val="0"/>
                <w:sz w:val="21"/>
              </w:rPr>
              <w:t>18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3.4 Advantages of Proposed System</w:t>
            </w:r>
          </w:p>
        </w:tc>
        <w:tc>
          <w:tcPr>
            <w:tcW w:type="dxa" w:w="1008"/>
            <w:tcMar>
              <w:top w:w="45" w:type="dxa"/>
              <w:bottom w:w="45" w:type="dxa"/>
              <w:left w:w="40" w:type="dxa"/>
              <w:right w:w="40" w:type="dxa"/>
            </w:tcMar>
          </w:tcPr>
          <w:p>
            <w:pPr>
              <w:spacing w:after="0"/>
              <w:jc w:val="right"/>
            </w:pPr>
            <w:r>
              <w:rPr>
                <w:rFonts w:ascii="Times New Roman" w:hAnsi="Times New Roman"/>
                <w:b w:val="0"/>
                <w:sz w:val="21"/>
              </w:rPr>
              <w:t>19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3.5 Software Requirements Specification (SRS)</w:t>
            </w:r>
          </w:p>
        </w:tc>
        <w:tc>
          <w:tcPr>
            <w:tcW w:type="dxa" w:w="1008"/>
            <w:tcMar>
              <w:top w:w="45" w:type="dxa"/>
              <w:bottom w:w="45" w:type="dxa"/>
              <w:left w:w="40" w:type="dxa"/>
              <w:right w:w="40" w:type="dxa"/>
            </w:tcMar>
          </w:tcPr>
          <w:p>
            <w:pPr>
              <w:spacing w:after="0"/>
              <w:jc w:val="right"/>
            </w:pPr>
            <w:r>
              <w:rPr>
                <w:rFonts w:ascii="Times New Roman" w:hAnsi="Times New Roman"/>
                <w:b w:val="0"/>
                <w:sz w:val="21"/>
              </w:rPr>
              <w:t>20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3.6 Feasibility Study</w:t>
            </w:r>
          </w:p>
        </w:tc>
        <w:tc>
          <w:tcPr>
            <w:tcW w:type="dxa" w:w="1008"/>
            <w:tcMar>
              <w:top w:w="45" w:type="dxa"/>
              <w:bottom w:w="45" w:type="dxa"/>
              <w:left w:w="40" w:type="dxa"/>
              <w:right w:w="40" w:type="dxa"/>
            </w:tcMar>
          </w:tcPr>
          <w:p>
            <w:pPr>
              <w:spacing w:after="0"/>
              <w:jc w:val="right"/>
            </w:pPr>
            <w:r>
              <w:rPr>
                <w:rFonts w:ascii="Times New Roman" w:hAnsi="Times New Roman"/>
                <w:b w:val="0"/>
                <w:sz w:val="21"/>
              </w:rPr>
              <w:t>22</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3.6.1 Technical Feasibility</w:t>
            </w:r>
          </w:p>
        </w:tc>
        <w:tc>
          <w:tcPr>
            <w:tcW w:type="dxa" w:w="1008"/>
            <w:tcMar>
              <w:top w:w="45" w:type="dxa"/>
              <w:bottom w:w="45" w:type="dxa"/>
              <w:left w:w="40" w:type="dxa"/>
              <w:right w:w="40" w:type="dxa"/>
            </w:tcMar>
          </w:tcPr>
          <w:p>
            <w:pPr>
              <w:spacing w:after="0"/>
              <w:jc w:val="right"/>
            </w:pPr>
            <w:r>
              <w:rPr>
                <w:rFonts w:ascii="Times New Roman" w:hAnsi="Times New Roman"/>
                <w:b w:val="0"/>
                <w:sz w:val="21"/>
              </w:rPr>
              <w:t>22</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3.6.2 Economic Feasibility</w:t>
            </w:r>
          </w:p>
        </w:tc>
        <w:tc>
          <w:tcPr>
            <w:tcW w:type="dxa" w:w="1008"/>
            <w:tcMar>
              <w:top w:w="45" w:type="dxa"/>
              <w:bottom w:w="45" w:type="dxa"/>
              <w:left w:w="40" w:type="dxa"/>
              <w:right w:w="40" w:type="dxa"/>
            </w:tcMar>
          </w:tcPr>
          <w:p>
            <w:pPr>
              <w:spacing w:after="0"/>
              <w:jc w:val="right"/>
            </w:pPr>
            <w:r>
              <w:rPr>
                <w:rFonts w:ascii="Times New Roman" w:hAnsi="Times New Roman"/>
                <w:b w:val="0"/>
                <w:sz w:val="21"/>
              </w:rPr>
              <w:t>23</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3.6.3 Operational Feasibility</w:t>
            </w:r>
          </w:p>
        </w:tc>
        <w:tc>
          <w:tcPr>
            <w:tcW w:type="dxa" w:w="1008"/>
            <w:tcMar>
              <w:top w:w="45" w:type="dxa"/>
              <w:bottom w:w="45" w:type="dxa"/>
              <w:left w:w="40" w:type="dxa"/>
              <w:right w:w="40" w:type="dxa"/>
            </w:tcMar>
          </w:tcPr>
          <w:p>
            <w:pPr>
              <w:spacing w:after="0"/>
              <w:jc w:val="right"/>
            </w:pPr>
            <w:r>
              <w:rPr>
                <w:rFonts w:ascii="Times New Roman" w:hAnsi="Times New Roman"/>
                <w:b w:val="0"/>
                <w:sz w:val="21"/>
              </w:rPr>
              <w:t>23</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CHAPTER 4: SYSTEM DESIGN</w:t>
            </w:r>
          </w:p>
        </w:tc>
        <w:tc>
          <w:tcPr>
            <w:tcW w:type="dxa" w:w="1008"/>
            <w:tcMar>
              <w:top w:w="45" w:type="dxa"/>
              <w:bottom w:w="45" w:type="dxa"/>
              <w:left w:w="40" w:type="dxa"/>
              <w:right w:w="40" w:type="dxa"/>
            </w:tcMar>
          </w:tcPr>
          <w:p>
            <w:pPr>
              <w:spacing w:after="0"/>
              <w:jc w:val="right"/>
            </w:pPr>
            <w:r>
              <w:rPr>
                <w:rFonts w:ascii="Times New Roman" w:hAnsi="Times New Roman"/>
                <w:b/>
                <w:sz w:val="22"/>
              </w:rPr>
              <w:t>25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4.1 Design Overview and Architectural Principles</w:t>
            </w:r>
          </w:p>
        </w:tc>
        <w:tc>
          <w:tcPr>
            <w:tcW w:type="dxa" w:w="1008"/>
            <w:tcMar>
              <w:top w:w="45" w:type="dxa"/>
              <w:bottom w:w="45" w:type="dxa"/>
              <w:left w:w="40" w:type="dxa"/>
              <w:right w:w="40" w:type="dxa"/>
            </w:tcMar>
          </w:tcPr>
          <w:p>
            <w:pPr>
              <w:spacing w:after="0"/>
              <w:jc w:val="right"/>
            </w:pPr>
            <w:r>
              <w:rPr>
                <w:rFonts w:ascii="Times New Roman" w:hAnsi="Times New Roman"/>
                <w:b w:val="0"/>
                <w:sz w:val="21"/>
              </w:rPr>
              <w:t>25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4.2 System Architecture</w:t>
            </w:r>
          </w:p>
        </w:tc>
        <w:tc>
          <w:tcPr>
            <w:tcW w:type="dxa" w:w="1008"/>
            <w:tcMar>
              <w:top w:w="45" w:type="dxa"/>
              <w:bottom w:w="45" w:type="dxa"/>
              <w:left w:w="40" w:type="dxa"/>
              <w:right w:w="40" w:type="dxa"/>
            </w:tcMar>
          </w:tcPr>
          <w:p>
            <w:pPr>
              <w:spacing w:after="0"/>
              <w:jc w:val="right"/>
            </w:pPr>
            <w:r>
              <w:rPr>
                <w:rFonts w:ascii="Times New Roman" w:hAnsi="Times New Roman"/>
                <w:b w:val="0"/>
                <w:sz w:val="21"/>
              </w:rPr>
              <w:t>25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4.3 Data Flow Diagrams (DFD)</w:t>
            </w:r>
          </w:p>
        </w:tc>
        <w:tc>
          <w:tcPr>
            <w:tcW w:type="dxa" w:w="1008"/>
            <w:tcMar>
              <w:top w:w="45" w:type="dxa"/>
              <w:bottom w:w="45" w:type="dxa"/>
              <w:left w:w="40" w:type="dxa"/>
              <w:right w:w="40" w:type="dxa"/>
            </w:tcMar>
          </w:tcPr>
          <w:p>
            <w:pPr>
              <w:spacing w:after="0"/>
              <w:jc w:val="right"/>
            </w:pPr>
            <w:r>
              <w:rPr>
                <w:rFonts w:ascii="Times New Roman" w:hAnsi="Times New Roman"/>
                <w:b w:val="0"/>
                <w:sz w:val="21"/>
              </w:rPr>
              <w:t>27</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4.3.1 Level 0 DFD (System Context Diagram)</w:t>
            </w:r>
          </w:p>
        </w:tc>
        <w:tc>
          <w:tcPr>
            <w:tcW w:type="dxa" w:w="1008"/>
            <w:tcMar>
              <w:top w:w="45" w:type="dxa"/>
              <w:bottom w:w="45" w:type="dxa"/>
              <w:left w:w="40" w:type="dxa"/>
              <w:right w:w="40" w:type="dxa"/>
            </w:tcMar>
          </w:tcPr>
          <w:p>
            <w:pPr>
              <w:spacing w:after="0"/>
              <w:jc w:val="right"/>
            </w:pPr>
            <w:r>
              <w:rPr>
                <w:rFonts w:ascii="Times New Roman" w:hAnsi="Times New Roman"/>
                <w:b w:val="0"/>
                <w:sz w:val="21"/>
              </w:rPr>
              <w:t>27</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4.3.2 Level 1 DFD (Subsystem Decomposition)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28</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4.3.3 Level 2 DFD (Pharmacy POS Verification, Pricing &amp; Ledger Automation)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29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4.4 Use Case Diagram and Actor Specifications</w:t>
            </w:r>
          </w:p>
        </w:tc>
        <w:tc>
          <w:tcPr>
            <w:tcW w:type="dxa" w:w="1008"/>
            <w:tcMar>
              <w:top w:w="45" w:type="dxa"/>
              <w:bottom w:w="45" w:type="dxa"/>
              <w:left w:w="40" w:type="dxa"/>
              <w:right w:w="40" w:type="dxa"/>
            </w:tcMar>
          </w:tcPr>
          <w:p>
            <w:pPr>
              <w:spacing w:after="0"/>
              <w:jc w:val="right"/>
            </w:pPr>
            <w:r>
              <w:rPr>
                <w:rFonts w:ascii="Times New Roman" w:hAnsi="Times New Roman"/>
                <w:b w:val="0"/>
                <w:sz w:val="21"/>
              </w:rPr>
              <w:t>29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4.5 Object-Oriented &amp; Behavioral UML Models (Class, Sequence, Activity &amp; State)</w:t>
            </w:r>
          </w:p>
        </w:tc>
        <w:tc>
          <w:tcPr>
            <w:tcW w:type="dxa" w:w="1008"/>
            <w:tcMar>
              <w:top w:w="45" w:type="dxa"/>
              <w:bottom w:w="45" w:type="dxa"/>
              <w:left w:w="40" w:type="dxa"/>
              <w:right w:w="40" w:type="dxa"/>
            </w:tcMar>
          </w:tcPr>
          <w:p>
            <w:pPr>
              <w:spacing w:after="0"/>
              <w:jc w:val="right"/>
            </w:pPr>
            <w:r>
              <w:rPr>
                <w:rFonts w:ascii="Times New Roman" w:hAnsi="Times New Roman"/>
                <w:b w:val="0"/>
                <w:sz w:val="21"/>
              </w:rPr>
              <w:t>34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4.6 Entity Relationship (ER) Diagram</w:t>
            </w:r>
          </w:p>
        </w:tc>
        <w:tc>
          <w:tcPr>
            <w:tcW w:type="dxa" w:w="1008"/>
            <w:tcMar>
              <w:top w:w="45" w:type="dxa"/>
              <w:bottom w:w="45" w:type="dxa"/>
              <w:left w:w="40" w:type="dxa"/>
              <w:right w:w="40" w:type="dxa"/>
            </w:tcMar>
          </w:tcPr>
          <w:p>
            <w:pPr>
              <w:spacing w:after="0"/>
              <w:jc w:val="right"/>
            </w:pPr>
            <w:r>
              <w:rPr>
                <w:rFonts w:ascii="Times New Roman" w:hAnsi="Times New Roman"/>
                <w:b w:val="0"/>
                <w:sz w:val="21"/>
              </w:rPr>
              <w:t>37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4.7 Complete Relational Database Design and Data Dictionary</w:t>
            </w:r>
          </w:p>
        </w:tc>
        <w:tc>
          <w:tcPr>
            <w:tcW w:type="dxa" w:w="1008"/>
            <w:tcMar>
              <w:top w:w="45" w:type="dxa"/>
              <w:bottom w:w="45" w:type="dxa"/>
              <w:left w:w="40" w:type="dxa"/>
              <w:right w:w="40" w:type="dxa"/>
            </w:tcMar>
          </w:tcPr>
          <w:p>
            <w:pPr>
              <w:spacing w:after="0"/>
              <w:jc w:val="right"/>
            </w:pPr>
            <w:r>
              <w:rPr>
                <w:rFonts w:ascii="Times New Roman" w:hAnsi="Times New Roman"/>
                <w:b w:val="0"/>
                <w:sz w:val="21"/>
              </w:rPr>
              <w:t>38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4.8 Input Design, Output Design and Corporate ERP UI Design System</w:t>
            </w:r>
          </w:p>
        </w:tc>
        <w:tc>
          <w:tcPr>
            <w:tcW w:type="dxa" w:w="1008"/>
            <w:tcMar>
              <w:top w:w="45" w:type="dxa"/>
              <w:bottom w:w="45" w:type="dxa"/>
              <w:left w:w="40" w:type="dxa"/>
              <w:right w:w="40" w:type="dxa"/>
            </w:tcMar>
          </w:tcPr>
          <w:p>
            <w:pPr>
              <w:spacing w:after="0"/>
              <w:jc w:val="right"/>
            </w:pPr>
            <w:r>
              <w:rPr>
                <w:rFonts w:ascii="Times New Roman" w:hAnsi="Times New Roman"/>
                <w:b w:val="0"/>
                <w:sz w:val="21"/>
              </w:rPr>
              <w:t>49</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CHAPTER 5: TECHNOLOGIES &amp; TOOLS USED</w:t>
            </w:r>
          </w:p>
        </w:tc>
        <w:tc>
          <w:tcPr>
            <w:tcW w:type="dxa" w:w="1008"/>
            <w:tcMar>
              <w:top w:w="45" w:type="dxa"/>
              <w:bottom w:w="45" w:type="dxa"/>
              <w:left w:w="40" w:type="dxa"/>
              <w:right w:w="40" w:type="dxa"/>
            </w:tcMar>
          </w:tcPr>
          <w:p>
            <w:pPr>
              <w:spacing w:after="0"/>
              <w:jc w:val="right"/>
            </w:pPr>
            <w:r>
              <w:rPr>
                <w:rFonts w:ascii="Times New Roman" w:hAnsi="Times New Roman"/>
                <w:b/>
                <w:sz w:val="22"/>
              </w:rPr>
              <w:t>53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5.1 Software Requirements</w:t>
            </w:r>
          </w:p>
        </w:tc>
        <w:tc>
          <w:tcPr>
            <w:tcW w:type="dxa" w:w="1008"/>
            <w:tcMar>
              <w:top w:w="45" w:type="dxa"/>
              <w:bottom w:w="45" w:type="dxa"/>
              <w:left w:w="40" w:type="dxa"/>
              <w:right w:w="40" w:type="dxa"/>
            </w:tcMar>
          </w:tcPr>
          <w:p>
            <w:pPr>
              <w:spacing w:after="0"/>
              <w:jc w:val="right"/>
            </w:pPr>
            <w:r>
              <w:rPr>
                <w:rFonts w:ascii="Times New Roman" w:hAnsi="Times New Roman"/>
                <w:b w:val="0"/>
                <w:sz w:val="21"/>
              </w:rPr>
              <w:t>53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5.2 Hardware Requirements</w:t>
            </w:r>
          </w:p>
        </w:tc>
        <w:tc>
          <w:tcPr>
            <w:tcW w:type="dxa" w:w="1008"/>
            <w:tcMar>
              <w:top w:w="45" w:type="dxa"/>
              <w:bottom w:w="45" w:type="dxa"/>
              <w:left w:w="40" w:type="dxa"/>
              <w:right w:w="40" w:type="dxa"/>
            </w:tcMar>
          </w:tcPr>
          <w:p>
            <w:pPr>
              <w:spacing w:after="0"/>
              <w:jc w:val="right"/>
            </w:pPr>
            <w:r>
              <w:rPr>
                <w:rFonts w:ascii="Times New Roman" w:hAnsi="Times New Roman"/>
                <w:b w:val="0"/>
                <w:sz w:val="21"/>
              </w:rPr>
              <w:t>54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5.3 Programming Languages Used</w:t>
            </w:r>
          </w:p>
        </w:tc>
        <w:tc>
          <w:tcPr>
            <w:tcW w:type="dxa" w:w="1008"/>
            <w:tcMar>
              <w:top w:w="45" w:type="dxa"/>
              <w:bottom w:w="45" w:type="dxa"/>
              <w:left w:w="40" w:type="dxa"/>
              <w:right w:w="40" w:type="dxa"/>
            </w:tcMar>
          </w:tcPr>
          <w:p>
            <w:pPr>
              <w:spacing w:after="0"/>
              <w:jc w:val="right"/>
            </w:pPr>
            <w:r>
              <w:rPr>
                <w:rFonts w:ascii="Times New Roman" w:hAnsi="Times New Roman"/>
                <w:b w:val="0"/>
                <w:sz w:val="21"/>
              </w:rPr>
              <w:t>55</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5.3.1 Java 27 (Backend Domain, Security, and Web Layer)</w:t>
            </w:r>
          </w:p>
        </w:tc>
        <w:tc>
          <w:tcPr>
            <w:tcW w:type="dxa" w:w="1008"/>
            <w:tcMar>
              <w:top w:w="45" w:type="dxa"/>
              <w:bottom w:w="45" w:type="dxa"/>
              <w:left w:w="40" w:type="dxa"/>
              <w:right w:w="40" w:type="dxa"/>
            </w:tcMar>
          </w:tcPr>
          <w:p>
            <w:pPr>
              <w:spacing w:after="0"/>
              <w:jc w:val="right"/>
            </w:pPr>
            <w:r>
              <w:rPr>
                <w:rFonts w:ascii="Times New Roman" w:hAnsi="Times New Roman"/>
                <w:b w:val="0"/>
                <w:sz w:val="21"/>
              </w:rPr>
              <w:t>55</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5.3.2 Transact-SQL (T-SQL for Microsoft SQL Server 2022)</w:t>
            </w:r>
          </w:p>
        </w:tc>
        <w:tc>
          <w:tcPr>
            <w:tcW w:type="dxa" w:w="1008"/>
            <w:tcMar>
              <w:top w:w="45" w:type="dxa"/>
              <w:bottom w:w="45" w:type="dxa"/>
              <w:left w:w="40" w:type="dxa"/>
              <w:right w:w="40" w:type="dxa"/>
            </w:tcMar>
          </w:tcPr>
          <w:p>
            <w:pPr>
              <w:spacing w:after="0"/>
              <w:jc w:val="right"/>
            </w:pPr>
            <w:r>
              <w:rPr>
                <w:rFonts w:ascii="Times New Roman" w:hAnsi="Times New Roman"/>
                <w:b w:val="0"/>
                <w:sz w:val="21"/>
              </w:rPr>
              <w:t>55</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5.3.3 HTML5, CSS3 Custom Properties, SVG, and Vanilla ES6 JavaScript</w:t>
            </w:r>
          </w:p>
        </w:tc>
        <w:tc>
          <w:tcPr>
            <w:tcW w:type="dxa" w:w="1008"/>
            <w:tcMar>
              <w:top w:w="45" w:type="dxa"/>
              <w:bottom w:w="45" w:type="dxa"/>
              <w:left w:w="40" w:type="dxa"/>
              <w:right w:w="40" w:type="dxa"/>
            </w:tcMar>
          </w:tcPr>
          <w:p>
            <w:pPr>
              <w:spacing w:after="0"/>
              <w:jc w:val="right"/>
            </w:pPr>
            <w:r>
              <w:rPr>
                <w:rFonts w:ascii="Times New Roman" w:hAnsi="Times New Roman"/>
                <w:b w:val="0"/>
                <w:sz w:val="21"/>
              </w:rPr>
              <w:t>55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5.4 Frameworks and Libraries</w:t>
            </w:r>
          </w:p>
        </w:tc>
        <w:tc>
          <w:tcPr>
            <w:tcW w:type="dxa" w:w="1008"/>
            <w:tcMar>
              <w:top w:w="45" w:type="dxa"/>
              <w:bottom w:w="45" w:type="dxa"/>
              <w:left w:w="40" w:type="dxa"/>
              <w:right w:w="40" w:type="dxa"/>
            </w:tcMar>
          </w:tcPr>
          <w:p>
            <w:pPr>
              <w:spacing w:after="0"/>
              <w:jc w:val="right"/>
            </w:pPr>
            <w:r>
              <w:rPr>
                <w:rFonts w:ascii="Times New Roman" w:hAnsi="Times New Roman"/>
                <w:b w:val="0"/>
                <w:sz w:val="21"/>
              </w:rPr>
              <w:t>56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5.5 Development and Runtime Environment</w:t>
            </w:r>
          </w:p>
        </w:tc>
        <w:tc>
          <w:tcPr>
            <w:tcW w:type="dxa" w:w="1008"/>
            <w:tcMar>
              <w:top w:w="45" w:type="dxa"/>
              <w:bottom w:w="45" w:type="dxa"/>
              <w:left w:w="40" w:type="dxa"/>
              <w:right w:w="40" w:type="dxa"/>
            </w:tcMar>
          </w:tcPr>
          <w:p>
            <w:pPr>
              <w:spacing w:after="0"/>
              <w:jc w:val="right"/>
            </w:pPr>
            <w:r>
              <w:rPr>
                <w:rFonts w:ascii="Times New Roman" w:hAnsi="Times New Roman"/>
                <w:b w:val="0"/>
                <w:sz w:val="21"/>
              </w:rPr>
              <w:t>56</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CHAPTER 6: IMPLEMENTATION</w:t>
            </w:r>
          </w:p>
        </w:tc>
        <w:tc>
          <w:tcPr>
            <w:tcW w:type="dxa" w:w="1008"/>
            <w:tcMar>
              <w:top w:w="45" w:type="dxa"/>
              <w:bottom w:w="45" w:type="dxa"/>
              <w:left w:w="40" w:type="dxa"/>
              <w:right w:w="40" w:type="dxa"/>
            </w:tcMar>
          </w:tcPr>
          <w:p>
            <w:pPr>
              <w:spacing w:after="0"/>
              <w:jc w:val="right"/>
            </w:pPr>
            <w:r>
              <w:rPr>
                <w:rFonts w:ascii="Times New Roman" w:hAnsi="Times New Roman"/>
                <w:b/>
                <w:sz w:val="22"/>
              </w:rPr>
              <w:t>58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6.1 Module Description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58</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6.1.1 Module 1: Zero-Seed Platform Bootstrap (/setup) &amp; Super Admin Console (/admin/**)</w:t>
            </w:r>
          </w:p>
        </w:tc>
        <w:tc>
          <w:tcPr>
            <w:tcW w:type="dxa" w:w="1008"/>
            <w:tcMar>
              <w:top w:w="45" w:type="dxa"/>
              <w:bottom w:w="45" w:type="dxa"/>
              <w:left w:w="40" w:type="dxa"/>
              <w:right w:w="40" w:type="dxa"/>
            </w:tcMar>
          </w:tcPr>
          <w:p>
            <w:pPr>
              <w:spacing w:after="0"/>
              <w:jc w:val="right"/>
            </w:pPr>
            <w:r>
              <w:rPr>
                <w:rFonts w:ascii="Times New Roman" w:hAnsi="Times New Roman"/>
                <w:b w:val="0"/>
                <w:sz w:val="21"/>
              </w:rPr>
              <w:t>58</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6.1.2 Module 2: Identity, Single-Use SHA-256 Auth Tokens, Invitations &amp; Login Throttling</w:t>
            </w:r>
          </w:p>
        </w:tc>
        <w:tc>
          <w:tcPr>
            <w:tcW w:type="dxa" w:w="1008"/>
            <w:tcMar>
              <w:top w:w="45" w:type="dxa"/>
              <w:bottom w:w="45" w:type="dxa"/>
              <w:left w:w="40" w:type="dxa"/>
              <w:right w:w="40" w:type="dxa"/>
            </w:tcMar>
          </w:tcPr>
          <w:p>
            <w:pPr>
              <w:spacing w:after="0"/>
              <w:jc w:val="right"/>
            </w:pPr>
            <w:r>
              <w:rPr>
                <w:rFonts w:ascii="Times New Roman" w:hAnsi="Times New Roman"/>
                <w:b w:val="0"/>
                <w:sz w:val="21"/>
              </w:rPr>
              <w:t>58</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6.1.3 Module 3: Patient Self-Service Portal, Clinic Discovery &amp; Atomic Slot Booking</w:t>
            </w:r>
          </w:p>
        </w:tc>
        <w:tc>
          <w:tcPr>
            <w:tcW w:type="dxa" w:w="1008"/>
            <w:tcMar>
              <w:top w:w="45" w:type="dxa"/>
              <w:bottom w:w="45" w:type="dxa"/>
              <w:left w:w="40" w:type="dxa"/>
              <w:right w:w="40" w:type="dxa"/>
            </w:tcMar>
          </w:tcPr>
          <w:p>
            <w:pPr>
              <w:spacing w:after="0"/>
              <w:jc w:val="right"/>
            </w:pPr>
            <w:r>
              <w:rPr>
                <w:rFonts w:ascii="Times New Roman" w:hAnsi="Times New Roman"/>
                <w:b w:val="0"/>
                <w:sz w:val="21"/>
              </w:rPr>
              <w:t>58</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6.1.4 Module 4: Staff-Verified Patient Account Linking &amp; Non-Destructive Record Merge</w:t>
            </w:r>
          </w:p>
        </w:tc>
        <w:tc>
          <w:tcPr>
            <w:tcW w:type="dxa" w:w="1008"/>
            <w:tcMar>
              <w:top w:w="45" w:type="dxa"/>
              <w:bottom w:w="45" w:type="dxa"/>
              <w:left w:w="40" w:type="dxa"/>
              <w:right w:w="40" w:type="dxa"/>
            </w:tcMar>
          </w:tcPr>
          <w:p>
            <w:pPr>
              <w:spacing w:after="0"/>
              <w:jc w:val="right"/>
            </w:pPr>
            <w:r>
              <w:rPr>
                <w:rFonts w:ascii="Times New Roman" w:hAnsi="Times New Roman"/>
                <w:b w:val="0"/>
                <w:sz w:val="21"/>
              </w:rPr>
              <w:t>59</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6.1.5 Module 5: Clinic Administration, Doctor Schedules &amp; CSV Medicine Formulary</w:t>
            </w:r>
          </w:p>
        </w:tc>
        <w:tc>
          <w:tcPr>
            <w:tcW w:type="dxa" w:w="1008"/>
            <w:tcMar>
              <w:top w:w="45" w:type="dxa"/>
              <w:bottom w:w="45" w:type="dxa"/>
              <w:left w:w="40" w:type="dxa"/>
              <w:right w:w="40" w:type="dxa"/>
            </w:tcMar>
          </w:tcPr>
          <w:p>
            <w:pPr>
              <w:spacing w:after="0"/>
              <w:jc w:val="right"/>
            </w:pPr>
            <w:r>
              <w:rPr>
                <w:rFonts w:ascii="Times New Roman" w:hAnsi="Times New Roman"/>
                <w:b w:val="0"/>
                <w:sz w:val="21"/>
              </w:rPr>
              <w:t>59</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6.1.6 Module 6: Doctor Clinical Workspace — Consultations, Addenda &amp; 32-Char e-Prescriptions</w:t>
            </w:r>
          </w:p>
        </w:tc>
        <w:tc>
          <w:tcPr>
            <w:tcW w:type="dxa" w:w="1008"/>
            <w:tcMar>
              <w:top w:w="45" w:type="dxa"/>
              <w:bottom w:w="45" w:type="dxa"/>
              <w:left w:w="40" w:type="dxa"/>
              <w:right w:w="40" w:type="dxa"/>
            </w:tcMar>
          </w:tcPr>
          <w:p>
            <w:pPr>
              <w:spacing w:after="0"/>
              <w:jc w:val="right"/>
            </w:pPr>
            <w:r>
              <w:rPr>
                <w:rFonts w:ascii="Times New Roman" w:hAnsi="Times New Roman"/>
                <w:b w:val="0"/>
                <w:sz w:val="21"/>
              </w:rPr>
              <w:t>59</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6.1.7 Module 7: Pharmacy Workspace — Verification, Auto-Pricing POS &amp; Finance Ledger</w:t>
            </w:r>
          </w:p>
        </w:tc>
        <w:tc>
          <w:tcPr>
            <w:tcW w:type="dxa" w:w="1008"/>
            <w:tcMar>
              <w:top w:w="45" w:type="dxa"/>
              <w:bottom w:w="45" w:type="dxa"/>
              <w:left w:w="40" w:type="dxa"/>
              <w:right w:w="40" w:type="dxa"/>
            </w:tcMar>
          </w:tcPr>
          <w:p>
            <w:pPr>
              <w:spacing w:after="0"/>
              <w:jc w:val="right"/>
            </w:pPr>
            <w:r>
              <w:rPr>
                <w:rFonts w:ascii="Times New Roman" w:hAnsi="Times New Roman"/>
                <w:b w:val="0"/>
                <w:sz w:val="21"/>
              </w:rPr>
              <w:t>60</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6.1.8 Module 8: Transactional Email Outbox Worker &amp; Encrypted SMTP Engine</w:t>
            </w:r>
          </w:p>
        </w:tc>
        <w:tc>
          <w:tcPr>
            <w:tcW w:type="dxa" w:w="1008"/>
            <w:tcMar>
              <w:top w:w="45" w:type="dxa"/>
              <w:bottom w:w="45" w:type="dxa"/>
              <w:left w:w="40" w:type="dxa"/>
              <w:right w:w="40" w:type="dxa"/>
            </w:tcMar>
          </w:tcPr>
          <w:p>
            <w:pPr>
              <w:spacing w:after="0"/>
              <w:jc w:val="right"/>
            </w:pPr>
            <w:r>
              <w:rPr>
                <w:rFonts w:ascii="Times New Roman" w:hAnsi="Times New Roman"/>
                <w:b w:val="0"/>
                <w:sz w:val="21"/>
              </w:rPr>
              <w:t>60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6.2 Core Algorithms and Cryptographic Mechanisms</w:t>
            </w:r>
          </w:p>
        </w:tc>
        <w:tc>
          <w:tcPr>
            <w:tcW w:type="dxa" w:w="1008"/>
            <w:tcMar>
              <w:top w:w="45" w:type="dxa"/>
              <w:bottom w:w="45" w:type="dxa"/>
              <w:left w:w="40" w:type="dxa"/>
              <w:right w:w="40" w:type="dxa"/>
            </w:tcMar>
          </w:tcPr>
          <w:p>
            <w:pPr>
              <w:spacing w:after="0"/>
              <w:jc w:val="right"/>
            </w:pPr>
            <w:r>
              <w:rPr>
                <w:rFonts w:ascii="Times New Roman" w:hAnsi="Times New Roman"/>
                <w:b w:val="0"/>
                <w:sz w:val="21"/>
              </w:rPr>
              <w:t>60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6.3 Pseudocode and Logic Flows</w:t>
            </w:r>
          </w:p>
        </w:tc>
        <w:tc>
          <w:tcPr>
            <w:tcW w:type="dxa" w:w="1008"/>
            <w:tcMar>
              <w:top w:w="45" w:type="dxa"/>
              <w:bottom w:w="45" w:type="dxa"/>
              <w:left w:w="40" w:type="dxa"/>
              <w:right w:w="40" w:type="dxa"/>
            </w:tcMar>
          </w:tcPr>
          <w:p>
            <w:pPr>
              <w:spacing w:after="0"/>
              <w:jc w:val="right"/>
            </w:pPr>
            <w:r>
              <w:rPr>
                <w:rFonts w:ascii="Times New Roman" w:hAnsi="Times New Roman"/>
                <w:b w:val="0"/>
                <w:sz w:val="21"/>
              </w:rPr>
              <w:t>61</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6.4 Key Source Code Implementations</w:t>
            </w:r>
          </w:p>
        </w:tc>
        <w:tc>
          <w:tcPr>
            <w:tcW w:type="dxa" w:w="1008"/>
            <w:tcMar>
              <w:top w:w="45" w:type="dxa"/>
              <w:bottom w:w="45" w:type="dxa"/>
              <w:left w:w="40" w:type="dxa"/>
              <w:right w:w="40" w:type="dxa"/>
            </w:tcMar>
          </w:tcPr>
          <w:p>
            <w:pPr>
              <w:spacing w:after="0"/>
              <w:jc w:val="right"/>
            </w:pPr>
            <w:r>
              <w:rPr>
                <w:rFonts w:ascii="Times New Roman" w:hAnsi="Times New Roman"/>
                <w:b w:val="0"/>
                <w:sz w:val="21"/>
              </w:rPr>
              <w:t>63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6.5 Screenshots of Live Application Across Operational Workspaces</w:t>
            </w:r>
          </w:p>
        </w:tc>
        <w:tc>
          <w:tcPr>
            <w:tcW w:type="dxa" w:w="1008"/>
            <w:tcMar>
              <w:top w:w="45" w:type="dxa"/>
              <w:bottom w:w="45" w:type="dxa"/>
              <w:left w:w="40" w:type="dxa"/>
              <w:right w:w="40" w:type="dxa"/>
            </w:tcMar>
          </w:tcPr>
          <w:p>
            <w:pPr>
              <w:spacing w:after="0"/>
              <w:jc w:val="right"/>
            </w:pPr>
            <w:r>
              <w:rPr>
                <w:rFonts w:ascii="Times New Roman" w:hAnsi="Times New Roman"/>
                <w:b w:val="0"/>
                <w:sz w:val="21"/>
              </w:rPr>
              <w:t>68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6.6 Integration of Modules and Cross-Cutting Event Flow</w:t>
            </w:r>
          </w:p>
        </w:tc>
        <w:tc>
          <w:tcPr>
            <w:tcW w:type="dxa" w:w="1008"/>
            <w:tcMar>
              <w:top w:w="45" w:type="dxa"/>
              <w:bottom w:w="45" w:type="dxa"/>
              <w:left w:w="40" w:type="dxa"/>
              <w:right w:w="40" w:type="dxa"/>
            </w:tcMar>
          </w:tcPr>
          <w:p>
            <w:pPr>
              <w:spacing w:after="0"/>
              <w:jc w:val="right"/>
            </w:pPr>
            <w:r>
              <w:rPr>
                <w:rFonts w:ascii="Times New Roman" w:hAnsi="Times New Roman"/>
                <w:b w:val="0"/>
                <w:sz w:val="21"/>
              </w:rPr>
              <w:t>76</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CHAPTER 7: TESTING &amp; RESULTS</w:t>
            </w:r>
          </w:p>
        </w:tc>
        <w:tc>
          <w:tcPr>
            <w:tcW w:type="dxa" w:w="1008"/>
            <w:tcMar>
              <w:top w:w="45" w:type="dxa"/>
              <w:bottom w:w="45" w:type="dxa"/>
              <w:left w:w="40" w:type="dxa"/>
              <w:right w:w="40" w:type="dxa"/>
            </w:tcMar>
          </w:tcPr>
          <w:p>
            <w:pPr>
              <w:spacing w:after="0"/>
              <w:jc w:val="right"/>
            </w:pPr>
            <w:r>
              <w:rPr>
                <w:rFonts w:ascii="Times New Roman" w:hAnsi="Times New Roman"/>
                <w:b/>
                <w:sz w:val="22"/>
              </w:rPr>
              <w:t>77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7.1 Testing Strategy</w:t>
            </w:r>
          </w:p>
        </w:tc>
        <w:tc>
          <w:tcPr>
            <w:tcW w:type="dxa" w:w="1008"/>
            <w:tcMar>
              <w:top w:w="45" w:type="dxa"/>
              <w:bottom w:w="45" w:type="dxa"/>
              <w:left w:w="40" w:type="dxa"/>
              <w:right w:w="40" w:type="dxa"/>
            </w:tcMar>
          </w:tcPr>
          <w:p>
            <w:pPr>
              <w:spacing w:after="0"/>
              <w:jc w:val="right"/>
            </w:pPr>
            <w:r>
              <w:rPr>
                <w:rFonts w:ascii="Times New Roman" w:hAnsi="Times New Roman"/>
                <w:b w:val="0"/>
                <w:sz w:val="21"/>
              </w:rPr>
              <w:t>77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7.2 Types of Testing</w:t>
            </w:r>
          </w:p>
        </w:tc>
        <w:tc>
          <w:tcPr>
            <w:tcW w:type="dxa" w:w="1008"/>
            <w:tcMar>
              <w:top w:w="45" w:type="dxa"/>
              <w:bottom w:w="45" w:type="dxa"/>
              <w:left w:w="40" w:type="dxa"/>
              <w:right w:w="40" w:type="dxa"/>
            </w:tcMar>
          </w:tcPr>
          <w:p>
            <w:pPr>
              <w:spacing w:after="0"/>
              <w:jc w:val="right"/>
            </w:pPr>
            <w:r>
              <w:rPr>
                <w:rFonts w:ascii="Times New Roman" w:hAnsi="Times New Roman"/>
                <w:b w:val="0"/>
                <w:sz w:val="21"/>
              </w:rPr>
              <w:t>77</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7.2.1 Unit Testing (JUnit Jupiter 5, AssertJ &amp; Mockito)</w:t>
            </w:r>
          </w:p>
        </w:tc>
        <w:tc>
          <w:tcPr>
            <w:tcW w:type="dxa" w:w="1008"/>
            <w:tcMar>
              <w:top w:w="45" w:type="dxa"/>
              <w:bottom w:w="45" w:type="dxa"/>
              <w:left w:w="40" w:type="dxa"/>
              <w:right w:w="40" w:type="dxa"/>
            </w:tcMar>
          </w:tcPr>
          <w:p>
            <w:pPr>
              <w:spacing w:after="0"/>
              <w:jc w:val="right"/>
            </w:pPr>
            <w:r>
              <w:rPr>
                <w:rFonts w:ascii="Times New Roman" w:hAnsi="Times New Roman"/>
                <w:b w:val="0"/>
                <w:sz w:val="21"/>
              </w:rPr>
              <w:t>77</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7.2.2 Integration and Web Security Testing (Spring Boot Test &amp; MockMvc)</w:t>
            </w:r>
          </w:p>
        </w:tc>
        <w:tc>
          <w:tcPr>
            <w:tcW w:type="dxa" w:w="1008"/>
            <w:tcMar>
              <w:top w:w="45" w:type="dxa"/>
              <w:bottom w:w="45" w:type="dxa"/>
              <w:left w:w="40" w:type="dxa"/>
              <w:right w:w="40" w:type="dxa"/>
            </w:tcMar>
          </w:tcPr>
          <w:p>
            <w:pPr>
              <w:spacing w:after="0"/>
              <w:jc w:val="right"/>
            </w:pPr>
            <w:r>
              <w:rPr>
                <w:rFonts w:ascii="Times New Roman" w:hAnsi="Times New Roman"/>
                <w:b w:val="0"/>
                <w:sz w:val="21"/>
              </w:rPr>
              <w:t>77</w:t>
            </w:r>
          </w:p>
        </w:tc>
      </w:tr>
      <w:tr>
        <w:trPr>
          <w:cantSplit/>
        </w:trPr>
        <w:tc>
          <w:tcPr>
            <w:tcW w:type="dxa" w:w="7661"/>
            <w:tcMar>
              <w:top w:w="45" w:type="dxa"/>
              <w:bottom w:w="45" w:type="dxa"/>
              <w:left w:w="400" w:type="dxa"/>
              <w:right w:w="40" w:type="dxa"/>
            </w:tcMar>
          </w:tcPr>
          <w:p>
            <w:pPr>
              <w:spacing w:after="0"/>
            </w:pPr>
            <w:r>
              <w:rPr>
                <w:rFonts w:ascii="Times New Roman" w:hAnsi="Times New Roman"/>
                <w:b w:val="0"/>
                <w:sz w:val="21"/>
              </w:rPr>
              <w:t>7.2.3 System, Concurrency, and End-to-End Browser Validation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78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7.3 Test Cases and Results</w:t>
            </w:r>
          </w:p>
        </w:tc>
        <w:tc>
          <w:tcPr>
            <w:tcW w:type="dxa" w:w="1008"/>
            <w:tcMar>
              <w:top w:w="45" w:type="dxa"/>
              <w:bottom w:w="45" w:type="dxa"/>
              <w:left w:w="40" w:type="dxa"/>
              <w:right w:w="40" w:type="dxa"/>
            </w:tcMar>
          </w:tcPr>
          <w:p>
            <w:pPr>
              <w:spacing w:after="0"/>
              <w:jc w:val="right"/>
            </w:pPr>
            <w:r>
              <w:rPr>
                <w:rFonts w:ascii="Times New Roman" w:hAnsi="Times New Roman"/>
                <w:b w:val="0"/>
                <w:sz w:val="21"/>
              </w:rPr>
              <w:t>78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7.4 Performance and Security Analysis</w:t>
            </w:r>
          </w:p>
        </w:tc>
        <w:tc>
          <w:tcPr>
            <w:tcW w:type="dxa" w:w="1008"/>
            <w:tcMar>
              <w:top w:w="45" w:type="dxa"/>
              <w:bottom w:w="45" w:type="dxa"/>
              <w:left w:w="40" w:type="dxa"/>
              <w:right w:w="40" w:type="dxa"/>
            </w:tcMar>
          </w:tcPr>
          <w:p>
            <w:pPr>
              <w:spacing w:after="0"/>
              <w:jc w:val="right"/>
            </w:pPr>
            <w:r>
              <w:rPr>
                <w:rFonts w:ascii="Times New Roman" w:hAnsi="Times New Roman"/>
                <w:b w:val="0"/>
                <w:sz w:val="21"/>
              </w:rPr>
              <w:t>82</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CHAPTER 8: CONCLUSION &amp; FUTURE SCOPE</w:t>
            </w:r>
          </w:p>
        </w:tc>
        <w:tc>
          <w:tcPr>
            <w:tcW w:type="dxa" w:w="1008"/>
            <w:tcMar>
              <w:top w:w="45" w:type="dxa"/>
              <w:bottom w:w="45" w:type="dxa"/>
              <w:left w:w="40" w:type="dxa"/>
              <w:right w:w="40" w:type="dxa"/>
            </w:tcMar>
          </w:tcPr>
          <w:p>
            <w:pPr>
              <w:spacing w:after="0"/>
              <w:jc w:val="right"/>
            </w:pPr>
            <w:r>
              <w:rPr>
                <w:rFonts w:ascii="Times New Roman" w:hAnsi="Times New Roman"/>
                <w:b/>
                <w:sz w:val="22"/>
              </w:rPr>
              <w:t>84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8.1 Summary of Work</w:t>
            </w:r>
          </w:p>
        </w:tc>
        <w:tc>
          <w:tcPr>
            <w:tcW w:type="dxa" w:w="1008"/>
            <w:tcMar>
              <w:top w:w="45" w:type="dxa"/>
              <w:bottom w:w="45" w:type="dxa"/>
              <w:left w:w="40" w:type="dxa"/>
              <w:right w:w="40" w:type="dxa"/>
            </w:tcMar>
          </w:tcPr>
          <w:p>
            <w:pPr>
              <w:spacing w:after="0"/>
              <w:jc w:val="right"/>
            </w:pPr>
            <w:r>
              <w:rPr>
                <w:rFonts w:ascii="Times New Roman" w:hAnsi="Times New Roman"/>
                <w:b w:val="0"/>
                <w:sz w:val="21"/>
              </w:rPr>
              <w:t>84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8.2 Conclusion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84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8.3 Limitations</w:t>
            </w:r>
          </w:p>
        </w:tc>
        <w:tc>
          <w:tcPr>
            <w:tcW w:type="dxa" w:w="1008"/>
            <w:tcMar>
              <w:top w:w="45" w:type="dxa"/>
              <w:bottom w:w="45" w:type="dxa"/>
              <w:left w:w="40" w:type="dxa"/>
              <w:right w:w="40" w:type="dxa"/>
            </w:tcMar>
          </w:tcPr>
          <w:p>
            <w:pPr>
              <w:spacing w:after="0"/>
              <w:jc w:val="right"/>
            </w:pPr>
            <w:r>
              <w:rPr>
                <w:rFonts w:ascii="Times New Roman" w:hAnsi="Times New Roman"/>
                <w:b w:val="0"/>
                <w:sz w:val="21"/>
              </w:rPr>
              <w:t>84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8.4 Future Enhancements</w:t>
            </w:r>
          </w:p>
        </w:tc>
        <w:tc>
          <w:tcPr>
            <w:tcW w:type="dxa" w:w="1008"/>
            <w:tcMar>
              <w:top w:w="45" w:type="dxa"/>
              <w:bottom w:w="45" w:type="dxa"/>
              <w:left w:w="40" w:type="dxa"/>
              <w:right w:w="40" w:type="dxa"/>
            </w:tcMar>
          </w:tcPr>
          <w:p>
            <w:pPr>
              <w:spacing w:after="0"/>
              <w:jc w:val="right"/>
            </w:pPr>
            <w:r>
              <w:rPr>
                <w:rFonts w:ascii="Times New Roman" w:hAnsi="Times New Roman"/>
                <w:b w:val="0"/>
                <w:sz w:val="21"/>
              </w:rPr>
              <w:t>85</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REFERENCES</w:t>
            </w:r>
          </w:p>
        </w:tc>
        <w:tc>
          <w:tcPr>
            <w:tcW w:type="dxa" w:w="1008"/>
            <w:tcMar>
              <w:top w:w="45" w:type="dxa"/>
              <w:bottom w:w="45" w:type="dxa"/>
              <w:left w:w="40" w:type="dxa"/>
              <w:right w:w="40" w:type="dxa"/>
            </w:tcMar>
          </w:tcPr>
          <w:p>
            <w:pPr>
              <w:spacing w:after="0"/>
              <w:jc w:val="right"/>
            </w:pPr>
            <w:r>
              <w:rPr>
                <w:rFonts w:ascii="Times New Roman" w:hAnsi="Times New Roman"/>
                <w:b/>
                <w:sz w:val="22"/>
              </w:rPr>
              <w:t>86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1. Books</w:t>
            </w:r>
          </w:p>
        </w:tc>
        <w:tc>
          <w:tcPr>
            <w:tcW w:type="dxa" w:w="1008"/>
            <w:tcMar>
              <w:top w:w="45" w:type="dxa"/>
              <w:bottom w:w="45" w:type="dxa"/>
              <w:left w:w="40" w:type="dxa"/>
              <w:right w:w="40" w:type="dxa"/>
            </w:tcMar>
          </w:tcPr>
          <w:p>
            <w:pPr>
              <w:spacing w:after="0"/>
              <w:jc w:val="right"/>
            </w:pPr>
            <w:r>
              <w:rPr>
                <w:rFonts w:ascii="Times New Roman" w:hAnsi="Times New Roman"/>
                <w:b w:val="0"/>
                <w:sz w:val="21"/>
              </w:rPr>
              <w:t>86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2. Research Papers and Standards</w:t>
            </w:r>
          </w:p>
        </w:tc>
        <w:tc>
          <w:tcPr>
            <w:tcW w:type="dxa" w:w="1008"/>
            <w:tcMar>
              <w:top w:w="45" w:type="dxa"/>
              <w:bottom w:w="45" w:type="dxa"/>
              <w:left w:w="40" w:type="dxa"/>
              <w:right w:w="40" w:type="dxa"/>
            </w:tcMar>
          </w:tcPr>
          <w:p>
            <w:pPr>
              <w:spacing w:after="0"/>
              <w:jc w:val="right"/>
            </w:pPr>
            <w:r>
              <w:rPr>
                <w:rFonts w:ascii="Times New Roman" w:hAnsi="Times New Roman"/>
                <w:b w:val="0"/>
                <w:sz w:val="21"/>
              </w:rPr>
              <w:t>86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3. Official Documentation and Websites</w:t>
            </w:r>
          </w:p>
        </w:tc>
        <w:tc>
          <w:tcPr>
            <w:tcW w:type="dxa" w:w="1008"/>
            <w:tcMar>
              <w:top w:w="45" w:type="dxa"/>
              <w:bottom w:w="45" w:type="dxa"/>
              <w:left w:w="40" w:type="dxa"/>
              <w:right w:w="40" w:type="dxa"/>
            </w:tcMar>
          </w:tcPr>
          <w:p>
            <w:pPr>
              <w:spacing w:after="0"/>
              <w:jc w:val="right"/>
            </w:pPr>
            <w:r>
              <w:rPr>
                <w:rFonts w:ascii="Times New Roman" w:hAnsi="Times New Roman"/>
                <w:b w:val="0"/>
                <w:sz w:val="21"/>
              </w:rPr>
              <w:t>87</w:t>
            </w:r>
          </w:p>
        </w:tc>
      </w:tr>
      <w:tr>
        <w:trPr>
          <w:cantSplit/>
        </w:trPr>
        <w:tc>
          <w:tcPr>
            <w:tcW w:type="dxa" w:w="7661"/>
            <w:tcMar>
              <w:top w:w="45" w:type="dxa"/>
              <w:bottom w:w="45" w:type="dxa"/>
              <w:left w:w="40" w:type="dxa"/>
              <w:right w:w="40" w:type="dxa"/>
            </w:tcMar>
          </w:tcPr>
          <w:p>
            <w:pPr>
              <w:spacing w:after="0"/>
            </w:pPr>
            <w:r>
              <w:rPr>
                <w:rFonts w:ascii="Times New Roman" w:hAnsi="Times New Roman"/>
                <w:b/>
                <w:sz w:val="22"/>
              </w:rPr>
              <w:t>APPENDICES</w:t>
            </w:r>
          </w:p>
        </w:tc>
        <w:tc>
          <w:tcPr>
            <w:tcW w:type="dxa" w:w="1008"/>
            <w:tcMar>
              <w:top w:w="45" w:type="dxa"/>
              <w:bottom w:w="45" w:type="dxa"/>
              <w:left w:w="40" w:type="dxa"/>
              <w:right w:w="40" w:type="dxa"/>
            </w:tcMar>
          </w:tcPr>
          <w:p>
            <w:pPr>
              <w:spacing w:after="0"/>
              <w:jc w:val="right"/>
            </w:pPr>
            <w:r>
              <w:rPr>
                <w:rFonts w:ascii="Times New Roman" w:hAnsi="Times New Roman"/>
                <w:b/>
                <w:sz w:val="22"/>
              </w:rPr>
              <w:t>89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Appendix A Sample Source Code and Database Migration Scripts</w:t>
            </w:r>
          </w:p>
        </w:tc>
        <w:tc>
          <w:tcPr>
            <w:tcW w:type="dxa" w:w="1008"/>
            <w:tcMar>
              <w:top w:w="45" w:type="dxa"/>
              <w:bottom w:w="45" w:type="dxa"/>
              <w:left w:w="40" w:type="dxa"/>
              <w:right w:w="40" w:type="dxa"/>
            </w:tcMar>
          </w:tcPr>
          <w:p>
            <w:pPr>
              <w:spacing w:after="0"/>
              <w:jc w:val="right"/>
            </w:pPr>
            <w:r>
              <w:rPr>
                <w:rFonts w:ascii="Times New Roman" w:hAnsi="Times New Roman"/>
                <w:b w:val="0"/>
                <w:sz w:val="21"/>
              </w:rPr>
              <w:t>89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Appendix B Complete WebMVC Endpoint &amp; RBAC Matrix and Operational Deployment Guide</w:t>
            </w:r>
          </w:p>
        </w:tc>
        <w:tc>
          <w:tcPr>
            <w:tcW w:type="dxa" w:w="1008"/>
            <w:tcMar>
              <w:top w:w="45" w:type="dxa"/>
              <w:bottom w:w="45" w:type="dxa"/>
              <w:left w:w="40" w:type="dxa"/>
              <w:right w:w="40" w:type="dxa"/>
            </w:tcMar>
          </w:tcPr>
          <w:p>
            <w:pPr>
              <w:spacing w:after="0"/>
              <w:jc w:val="right"/>
            </w:pPr>
            <w:r>
              <w:rPr>
                <w:rFonts w:ascii="Times New Roman" w:hAnsi="Times New Roman"/>
                <w:b w:val="0"/>
                <w:sz w:val="21"/>
              </w:rPr>
              <w:t>94</w:t>
            </w:r>
          </w:p>
        </w:tc>
      </w:tr>
    </w:tbl>
    <w:p>
      <w:r>
        <w:br w:type="page"/>
      </w:r>
    </w:p>
    <w:p>
      <w:pPr>
        <w:spacing w:before="80" w:after="320"/>
        <w:jc w:val="center"/>
      </w:pPr>
      <w:r>
        <w:rPr>
          <w:rFonts w:ascii="Times New Roman" w:hAnsi="Times New Roman"/>
          <w:b/>
          <w:color w:val="0F2744"/>
          <w:sz w:val="30"/>
        </w:rPr>
        <w:t>LIST OF FIGURES</w:t>
      </w:r>
    </w:p>
    <w:tbl>
      <w:tblPr>
        <w:tblW w:type="auto" w:w="0"/>
        <w:jc w:val="center"/>
        <w:tblLook w:firstColumn="1" w:firstRow="1" w:lastColumn="0" w:lastRow="0" w:noHBand="0" w:noVBand="1" w:val="04A0"/>
      </w:tblPr>
      <w:tblGrid>
        <w:gridCol w:w="4334"/>
        <w:gridCol w:w="4334"/>
      </w:tblGrid>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4.1: Infeara Medical System (IMS) Six-Tier Modular Monolith Architecture</w:t>
            </w:r>
          </w:p>
        </w:tc>
        <w:tc>
          <w:tcPr>
            <w:tcW w:type="dxa" w:w="1008"/>
            <w:tcMar>
              <w:top w:w="45" w:type="dxa"/>
              <w:bottom w:w="45" w:type="dxa"/>
              <w:left w:w="40" w:type="dxa"/>
              <w:right w:w="40" w:type="dxa"/>
            </w:tcMar>
          </w:tcPr>
          <w:p>
            <w:pPr>
              <w:spacing w:after="0"/>
              <w:jc w:val="right"/>
            </w:pPr>
            <w:r>
              <w:rPr>
                <w:rFonts w:ascii="Times New Roman" w:hAnsi="Times New Roman"/>
                <w:b w:val="0"/>
                <w:sz w:val="21"/>
              </w:rPr>
              <w:t>26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4.2: IMS Defense-in-Depth Security Filter Chain and Cryptographic Controls</w:t>
            </w:r>
          </w:p>
        </w:tc>
        <w:tc>
          <w:tcPr>
            <w:tcW w:type="dxa" w:w="1008"/>
            <w:tcMar>
              <w:top w:w="45" w:type="dxa"/>
              <w:bottom w:w="45" w:type="dxa"/>
              <w:left w:w="40" w:type="dxa"/>
              <w:right w:w="40" w:type="dxa"/>
            </w:tcMar>
          </w:tcPr>
          <w:p>
            <w:pPr>
              <w:spacing w:after="0"/>
              <w:jc w:val="right"/>
            </w:pPr>
            <w:r>
              <w:rPr>
                <w:rFonts w:ascii="Times New Roman" w:hAnsi="Times New Roman"/>
                <w:b w:val="0"/>
                <w:sz w:val="21"/>
              </w:rPr>
              <w:t>27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4.3: Data Flow Diagram — Level 0 (System Context Diagram)</w:t>
            </w:r>
          </w:p>
        </w:tc>
        <w:tc>
          <w:tcPr>
            <w:tcW w:type="dxa" w:w="1008"/>
            <w:tcMar>
              <w:top w:w="45" w:type="dxa"/>
              <w:bottom w:w="45" w:type="dxa"/>
              <w:left w:w="40" w:type="dxa"/>
              <w:right w:w="40" w:type="dxa"/>
            </w:tcMar>
          </w:tcPr>
          <w:p>
            <w:pPr>
              <w:spacing w:after="0"/>
              <w:jc w:val="right"/>
            </w:pPr>
            <w:r>
              <w:rPr>
                <w:rFonts w:ascii="Times New Roman" w:hAnsi="Times New Roman"/>
                <w:b w:val="0"/>
                <w:sz w:val="21"/>
              </w:rPr>
              <w:t>28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4.4: Data Flow Diagram — Level 1 (IMS Functional Decomposition)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29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4.5: Data Flow Diagram — Level 2 (Pharmacy POS Dispensing and Automated Finance Sync)</w:t>
            </w:r>
          </w:p>
        </w:tc>
        <w:tc>
          <w:tcPr>
            <w:tcW w:type="dxa" w:w="1008"/>
            <w:tcMar>
              <w:top w:w="45" w:type="dxa"/>
              <w:bottom w:w="45" w:type="dxa"/>
              <w:left w:w="40" w:type="dxa"/>
              <w:right w:w="40" w:type="dxa"/>
            </w:tcMar>
          </w:tcPr>
          <w:p>
            <w:pPr>
              <w:spacing w:after="0"/>
              <w:jc w:val="right"/>
            </w:pPr>
            <w:r>
              <w:rPr>
                <w:rFonts w:ascii="Times New Roman" w:hAnsi="Times New Roman"/>
                <w:b w:val="0"/>
                <w:sz w:val="21"/>
              </w:rPr>
              <w:t>29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4.6: IMS Unified UML Use Case Diagram Across Five Actor Portals</w:t>
            </w:r>
          </w:p>
        </w:tc>
        <w:tc>
          <w:tcPr>
            <w:tcW w:type="dxa" w:w="1008"/>
            <w:tcMar>
              <w:top w:w="45" w:type="dxa"/>
              <w:bottom w:w="45" w:type="dxa"/>
              <w:left w:w="40" w:type="dxa"/>
              <w:right w:w="40" w:type="dxa"/>
            </w:tcMar>
          </w:tcPr>
          <w:p>
            <w:pPr>
              <w:spacing w:after="0"/>
              <w:jc w:val="right"/>
            </w:pPr>
            <w:r>
              <w:rPr>
                <w:rFonts w:ascii="Times New Roman" w:hAnsi="Times New Roman"/>
                <w:b w:val="0"/>
                <w:sz w:val="21"/>
              </w:rPr>
              <w:t>30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4.7: IMS Core Domain Entity UML Class Diagram (Spring Data JPA / Hibernate 6)</w:t>
            </w:r>
          </w:p>
        </w:tc>
        <w:tc>
          <w:tcPr>
            <w:tcW w:type="dxa" w:w="1008"/>
            <w:tcMar>
              <w:top w:w="45" w:type="dxa"/>
              <w:bottom w:w="45" w:type="dxa"/>
              <w:left w:w="40" w:type="dxa"/>
              <w:right w:w="40" w:type="dxa"/>
            </w:tcMar>
          </w:tcPr>
          <w:p>
            <w:pPr>
              <w:spacing w:after="0"/>
              <w:jc w:val="right"/>
            </w:pPr>
            <w:r>
              <w:rPr>
                <w:rFonts w:ascii="Times New Roman" w:hAnsi="Times New Roman"/>
                <w:b w:val="0"/>
                <w:sz w:val="21"/>
              </w:rPr>
              <w:t>35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4.8: UML Sequence Diagram — End-to-End Clinical Consultation, e-Rx &amp; Pharmacy POS Flow</w:t>
            </w:r>
          </w:p>
        </w:tc>
        <w:tc>
          <w:tcPr>
            <w:tcW w:type="dxa" w:w="1008"/>
            <w:tcMar>
              <w:top w:w="45" w:type="dxa"/>
              <w:bottom w:w="45" w:type="dxa"/>
              <w:left w:w="40" w:type="dxa"/>
              <w:right w:w="40" w:type="dxa"/>
            </w:tcMar>
          </w:tcPr>
          <w:p>
            <w:pPr>
              <w:spacing w:after="0"/>
              <w:jc w:val="right"/>
            </w:pPr>
            <w:r>
              <w:rPr>
                <w:rFonts w:ascii="Times New Roman" w:hAnsi="Times New Roman"/>
                <w:b w:val="0"/>
                <w:sz w:val="21"/>
              </w:rPr>
              <w:t>36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4.9: UML Activity Workflow Diagram — Patient Linking, Clinical Care &amp; Dispensing</w:t>
            </w:r>
          </w:p>
        </w:tc>
        <w:tc>
          <w:tcPr>
            <w:tcW w:type="dxa" w:w="1008"/>
            <w:tcMar>
              <w:top w:w="45" w:type="dxa"/>
              <w:bottom w:w="45" w:type="dxa"/>
              <w:left w:w="40" w:type="dxa"/>
              <w:right w:w="40" w:type="dxa"/>
            </w:tcMar>
          </w:tcPr>
          <w:p>
            <w:pPr>
              <w:spacing w:after="0"/>
              <w:jc w:val="right"/>
            </w:pPr>
            <w:r>
              <w:rPr>
                <w:rFonts w:ascii="Times New Roman" w:hAnsi="Times New Roman"/>
                <w:b w:val="0"/>
                <w:sz w:val="21"/>
              </w:rPr>
              <w:t>37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4.10: UML Lifecycle State Machine Diagram — AppointmentStatus &amp; Prescription Fulfilment</w:t>
            </w:r>
          </w:p>
        </w:tc>
        <w:tc>
          <w:tcPr>
            <w:tcW w:type="dxa" w:w="1008"/>
            <w:tcMar>
              <w:top w:w="45" w:type="dxa"/>
              <w:bottom w:w="45" w:type="dxa"/>
              <w:left w:w="40" w:type="dxa"/>
              <w:right w:w="40" w:type="dxa"/>
            </w:tcMar>
          </w:tcPr>
          <w:p>
            <w:pPr>
              <w:spacing w:after="0"/>
              <w:jc w:val="right"/>
            </w:pPr>
            <w:r>
              <w:rPr>
                <w:rFonts w:ascii="Times New Roman" w:hAnsi="Times New Roman"/>
                <w:b w:val="0"/>
                <w:sz w:val="21"/>
              </w:rPr>
              <w:t>37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4.11: IMS Relational Database Entity-Relationship (ER) Schema (27 Tables, V001–V009)</w:t>
            </w:r>
          </w:p>
        </w:tc>
        <w:tc>
          <w:tcPr>
            <w:tcW w:type="dxa" w:w="1008"/>
            <w:tcMar>
              <w:top w:w="45" w:type="dxa"/>
              <w:bottom w:w="45" w:type="dxa"/>
              <w:left w:w="40" w:type="dxa"/>
              <w:right w:w="40" w:type="dxa"/>
            </w:tcMar>
          </w:tcPr>
          <w:p>
            <w:pPr>
              <w:spacing w:after="0"/>
              <w:jc w:val="right"/>
            </w:pPr>
            <w:r>
              <w:rPr>
                <w:rFonts w:ascii="Times New Roman" w:hAnsi="Times New Roman"/>
                <w:b w:val="0"/>
                <w:sz w:val="21"/>
              </w:rPr>
              <w:t>38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6.1: IMS Unified Sign-In &amp; Session Lifecycle Gateway (/login)</w:t>
            </w:r>
          </w:p>
        </w:tc>
        <w:tc>
          <w:tcPr>
            <w:tcW w:type="dxa" w:w="1008"/>
            <w:tcMar>
              <w:top w:w="45" w:type="dxa"/>
              <w:bottom w:w="45" w:type="dxa"/>
              <w:left w:w="40" w:type="dxa"/>
              <w:right w:w="40" w:type="dxa"/>
            </w:tcMar>
          </w:tcPr>
          <w:p>
            <w:pPr>
              <w:spacing w:after="0"/>
              <w:jc w:val="right"/>
            </w:pPr>
            <w:r>
              <w:rPr>
                <w:rFonts w:ascii="Times New Roman" w:hAnsi="Times New Roman"/>
                <w:b w:val="0"/>
                <w:sz w:val="21"/>
              </w:rPr>
              <w:t>69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6.2: Super Admin — Platform Governance Dashboard (/admin/dashboard)</w:t>
            </w:r>
          </w:p>
        </w:tc>
        <w:tc>
          <w:tcPr>
            <w:tcW w:type="dxa" w:w="1008"/>
            <w:tcMar>
              <w:top w:w="45" w:type="dxa"/>
              <w:bottom w:w="45" w:type="dxa"/>
              <w:left w:w="40" w:type="dxa"/>
              <w:right w:w="40" w:type="dxa"/>
            </w:tcMar>
          </w:tcPr>
          <w:p>
            <w:pPr>
              <w:spacing w:after="0"/>
              <w:jc w:val="right"/>
            </w:pPr>
            <w:r>
              <w:rPr>
                <w:rFonts w:ascii="Times New Roman" w:hAnsi="Times New Roman"/>
                <w:b w:val="0"/>
                <w:sz w:val="21"/>
              </w:rPr>
              <w:t>70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6.3: Super Admin — Multi-Tenant Clinic Enrollment Console (/admin/clinics)</w:t>
            </w:r>
          </w:p>
        </w:tc>
        <w:tc>
          <w:tcPr>
            <w:tcW w:type="dxa" w:w="1008"/>
            <w:tcMar>
              <w:top w:w="45" w:type="dxa"/>
              <w:bottom w:w="45" w:type="dxa"/>
              <w:left w:w="40" w:type="dxa"/>
              <w:right w:w="40" w:type="dxa"/>
            </w:tcMar>
          </w:tcPr>
          <w:p>
            <w:pPr>
              <w:spacing w:after="0"/>
              <w:jc w:val="right"/>
            </w:pPr>
            <w:r>
              <w:rPr>
                <w:rFonts w:ascii="Times New Roman" w:hAnsi="Times New Roman"/>
                <w:b w:val="0"/>
                <w:sz w:val="21"/>
              </w:rPr>
              <w:t>70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6.4: Super Admin — Dispensing Pharmacy Enrollment &amp; Licence Registry (/admin/pharmacies)</w:t>
            </w:r>
          </w:p>
        </w:tc>
        <w:tc>
          <w:tcPr>
            <w:tcW w:type="dxa" w:w="1008"/>
            <w:tcMar>
              <w:top w:w="45" w:type="dxa"/>
              <w:bottom w:w="45" w:type="dxa"/>
              <w:left w:w="40" w:type="dxa"/>
              <w:right w:w="40" w:type="dxa"/>
            </w:tcMar>
          </w:tcPr>
          <w:p>
            <w:pPr>
              <w:spacing w:after="0"/>
              <w:jc w:val="right"/>
            </w:pPr>
            <w:r>
              <w:rPr>
                <w:rFonts w:ascii="Times New Roman" w:hAnsi="Times New Roman"/>
                <w:b w:val="0"/>
                <w:sz w:val="21"/>
              </w:rPr>
              <w:t>71</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6.5: Super Admin — Privacy-Masked Cross-Clinic Patient Masters (/admin/patients)</w:t>
            </w:r>
          </w:p>
        </w:tc>
        <w:tc>
          <w:tcPr>
            <w:tcW w:type="dxa" w:w="1008"/>
            <w:tcMar>
              <w:top w:w="45" w:type="dxa"/>
              <w:bottom w:w="45" w:type="dxa"/>
              <w:left w:w="40" w:type="dxa"/>
              <w:right w:w="40" w:type="dxa"/>
            </w:tcMar>
          </w:tcPr>
          <w:p>
            <w:pPr>
              <w:spacing w:after="0"/>
              <w:jc w:val="right"/>
            </w:pPr>
            <w:r>
              <w:rPr>
                <w:rFonts w:ascii="Times New Roman" w:hAnsi="Times New Roman"/>
                <w:b w:val="0"/>
                <w:sz w:val="21"/>
              </w:rPr>
              <w:t>71</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6.6: Super Admin — Live Platform Reports &amp; Outbox Delivery Telemetry (/admin/reports)</w:t>
            </w:r>
          </w:p>
        </w:tc>
        <w:tc>
          <w:tcPr>
            <w:tcW w:type="dxa" w:w="1008"/>
            <w:tcMar>
              <w:top w:w="45" w:type="dxa"/>
              <w:bottom w:w="45" w:type="dxa"/>
              <w:left w:w="40" w:type="dxa"/>
              <w:right w:w="40" w:type="dxa"/>
            </w:tcMar>
          </w:tcPr>
          <w:p>
            <w:pPr>
              <w:spacing w:after="0"/>
              <w:jc w:val="right"/>
            </w:pPr>
            <w:r>
              <w:rPr>
                <w:rFonts w:ascii="Times New Roman" w:hAnsi="Times New Roman"/>
                <w:b w:val="0"/>
                <w:sz w:val="21"/>
              </w:rPr>
              <w:t>72</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6.7: Super Admin — AES-256-GCM Encrypted SMTP Configuration &amp; Mail Audit (/admin/smtp)</w:t>
            </w:r>
          </w:p>
        </w:tc>
        <w:tc>
          <w:tcPr>
            <w:tcW w:type="dxa" w:w="1008"/>
            <w:tcMar>
              <w:top w:w="45" w:type="dxa"/>
              <w:bottom w:w="45" w:type="dxa"/>
              <w:left w:w="40" w:type="dxa"/>
              <w:right w:w="40" w:type="dxa"/>
            </w:tcMar>
          </w:tcPr>
          <w:p>
            <w:pPr>
              <w:spacing w:after="0"/>
              <w:jc w:val="right"/>
            </w:pPr>
            <w:r>
              <w:rPr>
                <w:rFonts w:ascii="Times New Roman" w:hAnsi="Times New Roman"/>
                <w:b w:val="0"/>
                <w:sz w:val="21"/>
              </w:rPr>
              <w:t>72</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6.8: Doctor Workspace — Practitioner Clinical Dashboard (/doctor/dashboard)</w:t>
            </w:r>
          </w:p>
        </w:tc>
        <w:tc>
          <w:tcPr>
            <w:tcW w:type="dxa" w:w="1008"/>
            <w:tcMar>
              <w:top w:w="45" w:type="dxa"/>
              <w:bottom w:w="45" w:type="dxa"/>
              <w:left w:w="40" w:type="dxa"/>
              <w:right w:w="40" w:type="dxa"/>
            </w:tcMar>
          </w:tcPr>
          <w:p>
            <w:pPr>
              <w:spacing w:after="0"/>
              <w:jc w:val="right"/>
            </w:pPr>
            <w:r>
              <w:rPr>
                <w:rFonts w:ascii="Times New Roman" w:hAnsi="Times New Roman"/>
                <w:b w:val="0"/>
                <w:sz w:val="21"/>
              </w:rPr>
              <w:t>73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6.9: Doctor Workspace — Date &amp; Status Filtered Appointment Queue (/doctor/appointments)</w:t>
            </w:r>
          </w:p>
        </w:tc>
        <w:tc>
          <w:tcPr>
            <w:tcW w:type="dxa" w:w="1008"/>
            <w:tcMar>
              <w:top w:w="45" w:type="dxa"/>
              <w:bottom w:w="45" w:type="dxa"/>
              <w:left w:w="40" w:type="dxa"/>
              <w:right w:w="40" w:type="dxa"/>
            </w:tcMar>
          </w:tcPr>
          <w:p>
            <w:pPr>
              <w:spacing w:after="0"/>
              <w:jc w:val="right"/>
            </w:pPr>
            <w:r>
              <w:rPr>
                <w:rFonts w:ascii="Times New Roman" w:hAnsi="Times New Roman"/>
                <w:b w:val="0"/>
                <w:sz w:val="21"/>
              </w:rPr>
              <w:t>73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6.10: Doctor Workspace — Completed Encounters &amp; Finalised Consultations (/doctor/appointments?all)</w:t>
            </w:r>
          </w:p>
        </w:tc>
        <w:tc>
          <w:tcPr>
            <w:tcW w:type="dxa" w:w="1008"/>
            <w:tcMar>
              <w:top w:w="45" w:type="dxa"/>
              <w:bottom w:w="45" w:type="dxa"/>
              <w:left w:w="40" w:type="dxa"/>
              <w:right w:w="40" w:type="dxa"/>
            </w:tcMar>
          </w:tcPr>
          <w:p>
            <w:pPr>
              <w:spacing w:after="0"/>
              <w:jc w:val="right"/>
            </w:pPr>
            <w:r>
              <w:rPr>
                <w:rFonts w:ascii="Times New Roman" w:hAnsi="Times New Roman"/>
                <w:b w:val="0"/>
                <w:sz w:val="21"/>
              </w:rPr>
              <w:t>74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6.11: Doctor Workspace — Issued 32-Character Prescriptions &amp; Fulfilment States (/doctor/prescriptions)</w:t>
            </w:r>
          </w:p>
        </w:tc>
        <w:tc>
          <w:tcPr>
            <w:tcW w:type="dxa" w:w="1008"/>
            <w:tcMar>
              <w:top w:w="45" w:type="dxa"/>
              <w:bottom w:w="45" w:type="dxa"/>
              <w:left w:w="40" w:type="dxa"/>
              <w:right w:w="40" w:type="dxa"/>
            </w:tcMar>
          </w:tcPr>
          <w:p>
            <w:pPr>
              <w:spacing w:after="0"/>
              <w:jc w:val="right"/>
            </w:pPr>
            <w:r>
              <w:rPr>
                <w:rFonts w:ascii="Times New Roman" w:hAnsi="Times New Roman"/>
                <w:b w:val="0"/>
                <w:sz w:val="21"/>
              </w:rPr>
              <w:t>74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6.12: Pharmacy Workspace — Dispensing Operations Dashboard (/pharmacy/dashboard)</w:t>
            </w:r>
          </w:p>
        </w:tc>
        <w:tc>
          <w:tcPr>
            <w:tcW w:type="dxa" w:w="1008"/>
            <w:tcMar>
              <w:top w:w="45" w:type="dxa"/>
              <w:bottom w:w="45" w:type="dxa"/>
              <w:left w:w="40" w:type="dxa"/>
              <w:right w:w="40" w:type="dxa"/>
            </w:tcMar>
          </w:tcPr>
          <w:p>
            <w:pPr>
              <w:spacing w:after="0"/>
              <w:jc w:val="right"/>
            </w:pPr>
            <w:r>
              <w:rPr>
                <w:rFonts w:ascii="Times New Roman" w:hAnsi="Times New Roman"/>
                <w:b w:val="0"/>
                <w:sz w:val="21"/>
              </w:rPr>
              <w:t>75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6.13: Pharmacy Workspace — Live 32-Character Prescription Point of Sale (/pharmacy/pos)</w:t>
            </w:r>
          </w:p>
        </w:tc>
        <w:tc>
          <w:tcPr>
            <w:tcW w:type="dxa" w:w="1008"/>
            <w:tcMar>
              <w:top w:w="45" w:type="dxa"/>
              <w:bottom w:w="45" w:type="dxa"/>
              <w:left w:w="40" w:type="dxa"/>
              <w:right w:w="40" w:type="dxa"/>
            </w:tcMar>
          </w:tcPr>
          <w:p>
            <w:pPr>
              <w:spacing w:after="0"/>
              <w:jc w:val="right"/>
            </w:pPr>
            <w:r>
              <w:rPr>
                <w:rFonts w:ascii="Times New Roman" w:hAnsi="Times New Roman"/>
                <w:b w:val="0"/>
                <w:sz w:val="21"/>
              </w:rPr>
              <w:t>75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Figure 6.14: Pharmacy Workspace — Automated POS Income &amp; Expense Finance Ledger (/pharmacy/finance)</w:t>
            </w:r>
          </w:p>
        </w:tc>
        <w:tc>
          <w:tcPr>
            <w:tcW w:type="dxa" w:w="1008"/>
            <w:tcMar>
              <w:top w:w="45" w:type="dxa"/>
              <w:bottom w:w="45" w:type="dxa"/>
              <w:left w:w="40" w:type="dxa"/>
              <w:right w:w="40" w:type="dxa"/>
            </w:tcMar>
          </w:tcPr>
          <w:p>
            <w:pPr>
              <w:spacing w:after="0"/>
              <w:jc w:val="right"/>
            </w:pPr>
            <w:r>
              <w:rPr>
                <w:rFonts w:ascii="Times New Roman" w:hAnsi="Times New Roman"/>
                <w:b w:val="0"/>
                <w:sz w:val="21"/>
              </w:rPr>
              <w:t>76</w:t>
            </w:r>
          </w:p>
        </w:tc>
      </w:tr>
    </w:tbl>
    <w:p>
      <w:r>
        <w:br w:type="page"/>
      </w:r>
    </w:p>
    <w:p>
      <w:pPr>
        <w:spacing w:before="80" w:after="320"/>
        <w:jc w:val="center"/>
      </w:pPr>
      <w:r>
        <w:rPr>
          <w:rFonts w:ascii="Times New Roman" w:hAnsi="Times New Roman"/>
          <w:b/>
          <w:color w:val="0F2744"/>
          <w:sz w:val="30"/>
        </w:rPr>
        <w:t>LIST OF TABLES</w:t>
      </w:r>
    </w:p>
    <w:tbl>
      <w:tblPr>
        <w:tblW w:type="auto" w:w="0"/>
        <w:jc w:val="center"/>
        <w:tblLook w:firstColumn="1" w:firstRow="1" w:lastColumn="0" w:lastRow="0" w:noHBand="0" w:noVBand="1" w:val="04A0"/>
      </w:tblPr>
      <w:tblGrid>
        <w:gridCol w:w="4334"/>
        <w:gridCol w:w="4334"/>
      </w:tblGrid>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1.1: High-Level Identity and Architectural Profile of Infeara Medical System (IMS)</w:t>
            </w:r>
          </w:p>
        </w:tc>
        <w:tc>
          <w:tcPr>
            <w:tcW w:type="dxa" w:w="1008"/>
            <w:tcMar>
              <w:top w:w="45" w:type="dxa"/>
              <w:bottom w:w="45" w:type="dxa"/>
              <w:left w:w="40" w:type="dxa"/>
              <w:right w:w="40" w:type="dxa"/>
            </w:tcMar>
          </w:tcPr>
          <w:p>
            <w:pPr>
              <w:spacing w:after="0"/>
              <w:jc w:val="right"/>
            </w:pPr>
            <w:r>
              <w:rPr>
                <w:rFonts w:ascii="Times New Roman" w:hAnsi="Times New Roman"/>
                <w:b w:val="0"/>
                <w:sz w:val="21"/>
              </w:rPr>
              <w:t>1</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1.2: Functional Scope Matrix Across IMS Portals and Security Roles</w:t>
            </w:r>
          </w:p>
        </w:tc>
        <w:tc>
          <w:tcPr>
            <w:tcW w:type="dxa" w:w="1008"/>
            <w:tcMar>
              <w:top w:w="45" w:type="dxa"/>
              <w:bottom w:w="45" w:type="dxa"/>
              <w:left w:w="40" w:type="dxa"/>
              <w:right w:w="40" w:type="dxa"/>
            </w:tcMar>
          </w:tcPr>
          <w:p>
            <w:pPr>
              <w:spacing w:after="0"/>
              <w:jc w:val="right"/>
            </w:pPr>
            <w:r>
              <w:rPr>
                <w:rFonts w:ascii="Times New Roman" w:hAnsi="Times New Roman"/>
                <w:b w:val="0"/>
                <w:sz w:val="21"/>
              </w:rPr>
              <w:t>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2.1: Comparative Analysis of Existing Healthcare &amp; Pharmacy Solutions vs. Proposed IMS</w:t>
            </w:r>
          </w:p>
        </w:tc>
        <w:tc>
          <w:tcPr>
            <w:tcW w:type="dxa" w:w="1008"/>
            <w:tcMar>
              <w:top w:w="45" w:type="dxa"/>
              <w:bottom w:w="45" w:type="dxa"/>
              <w:left w:w="40" w:type="dxa"/>
              <w:right w:w="40" w:type="dxa"/>
            </w:tcMar>
          </w:tcPr>
          <w:p>
            <w:pPr>
              <w:spacing w:after="0"/>
              <w:jc w:val="right"/>
            </w:pPr>
            <w:r>
              <w:rPr>
                <w:rFonts w:ascii="Times New Roman" w:hAnsi="Times New Roman"/>
                <w:b w:val="0"/>
                <w:sz w:val="21"/>
              </w:rPr>
              <w:t>14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3.1: Structural Comparison Between Legacy Outpatient Workflows and Proposed IMS</w:t>
            </w:r>
          </w:p>
        </w:tc>
        <w:tc>
          <w:tcPr>
            <w:tcW w:type="dxa" w:w="1008"/>
            <w:tcMar>
              <w:top w:w="45" w:type="dxa"/>
              <w:bottom w:w="45" w:type="dxa"/>
              <w:left w:w="40" w:type="dxa"/>
              <w:right w:w="40" w:type="dxa"/>
            </w:tcMar>
          </w:tcPr>
          <w:p>
            <w:pPr>
              <w:spacing w:after="0"/>
              <w:jc w:val="right"/>
            </w:pPr>
            <w:r>
              <w:rPr>
                <w:rFonts w:ascii="Times New Roman" w:hAnsi="Times New Roman"/>
                <w:b w:val="0"/>
                <w:sz w:val="21"/>
              </w:rPr>
              <w:t>18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3.2: Functional Requirements Specification Matrix (FR-01 to FR-18)</w:t>
            </w:r>
          </w:p>
        </w:tc>
        <w:tc>
          <w:tcPr>
            <w:tcW w:type="dxa" w:w="1008"/>
            <w:tcMar>
              <w:top w:w="45" w:type="dxa"/>
              <w:bottom w:w="45" w:type="dxa"/>
              <w:left w:w="40" w:type="dxa"/>
              <w:right w:w="40" w:type="dxa"/>
            </w:tcMar>
          </w:tcPr>
          <w:p>
            <w:pPr>
              <w:spacing w:after="0"/>
              <w:jc w:val="right"/>
            </w:pPr>
            <w:r>
              <w:rPr>
                <w:rFonts w:ascii="Times New Roman" w:hAnsi="Times New Roman"/>
                <w:b w:val="0"/>
                <w:sz w:val="21"/>
              </w:rPr>
              <w:t>20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3.3: Non-Functional Requirements Specification Matrix (NFR-01 to NFR-10)</w:t>
            </w:r>
          </w:p>
        </w:tc>
        <w:tc>
          <w:tcPr>
            <w:tcW w:type="dxa" w:w="1008"/>
            <w:tcMar>
              <w:top w:w="45" w:type="dxa"/>
              <w:bottom w:w="45" w:type="dxa"/>
              <w:left w:w="40" w:type="dxa"/>
              <w:right w:w="40" w:type="dxa"/>
            </w:tcMar>
          </w:tcPr>
          <w:p>
            <w:pPr>
              <w:spacing w:after="0"/>
              <w:jc w:val="right"/>
            </w:pPr>
            <w:r>
              <w:rPr>
                <w:rFonts w:ascii="Times New Roman" w:hAnsi="Times New Roman"/>
                <w:b w:val="0"/>
                <w:sz w:val="21"/>
              </w:rPr>
              <w:t>22</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3.4: Estimated Annual Cost-Benefit &amp; Economic Feasibility Summary (Small 3-Clinic Network)</w:t>
            </w:r>
          </w:p>
        </w:tc>
        <w:tc>
          <w:tcPr>
            <w:tcW w:type="dxa" w:w="1008"/>
            <w:tcMar>
              <w:top w:w="45" w:type="dxa"/>
              <w:bottom w:w="45" w:type="dxa"/>
              <w:left w:w="40" w:type="dxa"/>
              <w:right w:w="40" w:type="dxa"/>
            </w:tcMar>
          </w:tcPr>
          <w:p>
            <w:pPr>
              <w:spacing w:after="0"/>
              <w:jc w:val="right"/>
            </w:pPr>
            <w:r>
              <w:rPr>
                <w:rFonts w:ascii="Times New Roman" w:hAnsi="Times New Roman"/>
                <w:b w:val="0"/>
                <w:sz w:val="21"/>
              </w:rPr>
              <w:t>23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 Detailed Actor-to-Use-Case Responsibility Specification</w:t>
            </w:r>
          </w:p>
        </w:tc>
        <w:tc>
          <w:tcPr>
            <w:tcW w:type="dxa" w:w="1008"/>
            <w:tcMar>
              <w:top w:w="45" w:type="dxa"/>
              <w:bottom w:w="45" w:type="dxa"/>
              <w:left w:w="40" w:type="dxa"/>
              <w:right w:w="40" w:type="dxa"/>
            </w:tcMar>
          </w:tcPr>
          <w:p>
            <w:pPr>
              <w:spacing w:after="0"/>
              <w:jc w:val="right"/>
            </w:pPr>
            <w:r>
              <w:rPr>
                <w:rFonts w:ascii="Times New Roman" w:hAnsi="Times New Roman"/>
                <w:b w:val="0"/>
                <w:sz w:val="21"/>
              </w:rPr>
              <w:t>30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4.1a: Use Case Specification — UC-05: Staff-Verified Patient Link &amp; Non-Destructive Record Merge</w:t>
            </w:r>
          </w:p>
        </w:tc>
        <w:tc>
          <w:tcPr>
            <w:tcW w:type="dxa" w:w="1008"/>
            <w:tcMar>
              <w:top w:w="45" w:type="dxa"/>
              <w:bottom w:w="45" w:type="dxa"/>
              <w:left w:w="40" w:type="dxa"/>
              <w:right w:w="40" w:type="dxa"/>
            </w:tcMar>
          </w:tcPr>
          <w:p>
            <w:pPr>
              <w:spacing w:after="0"/>
              <w:jc w:val="right"/>
            </w:pPr>
            <w:r>
              <w:rPr>
                <w:rFonts w:ascii="Times New Roman" w:hAnsi="Times New Roman"/>
                <w:b w:val="0"/>
                <w:sz w:val="21"/>
              </w:rPr>
              <w:t>31</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4.1b: Use Case Specification — UC-08: Atomic Conflict-Free Doctor Slot Booking</w:t>
            </w:r>
          </w:p>
        </w:tc>
        <w:tc>
          <w:tcPr>
            <w:tcW w:type="dxa" w:w="1008"/>
            <w:tcMar>
              <w:top w:w="45" w:type="dxa"/>
              <w:bottom w:w="45" w:type="dxa"/>
              <w:left w:w="40" w:type="dxa"/>
              <w:right w:w="40" w:type="dxa"/>
            </w:tcMar>
          </w:tcPr>
          <w:p>
            <w:pPr>
              <w:spacing w:after="0"/>
              <w:jc w:val="right"/>
            </w:pPr>
            <w:r>
              <w:rPr>
                <w:rFonts w:ascii="Times New Roman" w:hAnsi="Times New Roman"/>
                <w:b w:val="0"/>
                <w:sz w:val="21"/>
              </w:rPr>
              <w:t>32</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4.1c: Use Case Specification — UC-09 &amp; UC-10: Immutable Clinical Consultation &amp; 32-Char e-Rx</w:t>
            </w:r>
          </w:p>
        </w:tc>
        <w:tc>
          <w:tcPr>
            <w:tcW w:type="dxa" w:w="1008"/>
            <w:tcMar>
              <w:top w:w="45" w:type="dxa"/>
              <w:bottom w:w="45" w:type="dxa"/>
              <w:left w:w="40" w:type="dxa"/>
              <w:right w:w="40" w:type="dxa"/>
            </w:tcMar>
          </w:tcPr>
          <w:p>
            <w:pPr>
              <w:spacing w:after="0"/>
              <w:jc w:val="right"/>
            </w:pPr>
            <w:r>
              <w:rPr>
                <w:rFonts w:ascii="Times New Roman" w:hAnsi="Times New Roman"/>
                <w:b w:val="0"/>
                <w:sz w:val="21"/>
              </w:rPr>
              <w:t>33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4.1d: Use Case Specification — UC-11, UC-12 &amp; UC-13: Pharmacy POS Billing &amp; Auto-Ledger Sync</w:t>
            </w:r>
          </w:p>
        </w:tc>
        <w:tc>
          <w:tcPr>
            <w:tcW w:type="dxa" w:w="1008"/>
            <w:tcMar>
              <w:top w:w="45" w:type="dxa"/>
              <w:bottom w:w="45" w:type="dxa"/>
              <w:left w:w="40" w:type="dxa"/>
              <w:right w:w="40" w:type="dxa"/>
            </w:tcMar>
          </w:tcPr>
          <w:p>
            <w:pPr>
              <w:spacing w:after="0"/>
              <w:jc w:val="right"/>
            </w:pPr>
            <w:r>
              <w:rPr>
                <w:rFonts w:ascii="Times New Roman" w:hAnsi="Times New Roman"/>
                <w:b w:val="0"/>
                <w:sz w:val="21"/>
              </w:rPr>
              <w:t>33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4.2: Flyway Database Migration History (V001 through V009)</w:t>
            </w:r>
          </w:p>
        </w:tc>
        <w:tc>
          <w:tcPr>
            <w:tcW w:type="dxa" w:w="1008"/>
            <w:tcMar>
              <w:top w:w="45" w:type="dxa"/>
              <w:bottom w:w="45" w:type="dxa"/>
              <w:left w:w="40" w:type="dxa"/>
              <w:right w:w="40" w:type="dxa"/>
            </w:tcMar>
          </w:tcPr>
          <w:p>
            <w:pPr>
              <w:spacing w:after="0"/>
              <w:jc w:val="right"/>
            </w:pPr>
            <w:r>
              <w:rPr>
                <w:rFonts w:ascii="Times New Roman" w:hAnsi="Times New Roman"/>
                <w:b w:val="0"/>
                <w:sz w:val="21"/>
              </w:rPr>
              <w:t>39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4.3: Data Dictionary — dbo.Clinics (Multi-Tenant Healthcare Facilities)</w:t>
            </w:r>
          </w:p>
        </w:tc>
        <w:tc>
          <w:tcPr>
            <w:tcW w:type="dxa" w:w="1008"/>
            <w:tcMar>
              <w:top w:w="45" w:type="dxa"/>
              <w:bottom w:w="45" w:type="dxa"/>
              <w:left w:w="40" w:type="dxa"/>
              <w:right w:w="40" w:type="dxa"/>
            </w:tcMar>
          </w:tcPr>
          <w:p>
            <w:pPr>
              <w:spacing w:after="0"/>
              <w:jc w:val="right"/>
            </w:pPr>
            <w:r>
              <w:rPr>
                <w:rFonts w:ascii="Times New Roman" w:hAnsi="Times New Roman"/>
                <w:b w:val="0"/>
                <w:sz w:val="21"/>
              </w:rPr>
              <w:t>39</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4.4: Data Dictionary — dbo.Users (Unified Security Principals)</w:t>
            </w:r>
          </w:p>
        </w:tc>
        <w:tc>
          <w:tcPr>
            <w:tcW w:type="dxa" w:w="1008"/>
            <w:tcMar>
              <w:top w:w="45" w:type="dxa"/>
              <w:bottom w:w="45" w:type="dxa"/>
              <w:left w:w="40" w:type="dxa"/>
              <w:right w:w="40" w:type="dxa"/>
            </w:tcMar>
          </w:tcPr>
          <w:p>
            <w:pPr>
              <w:spacing w:after="0"/>
              <w:jc w:val="right"/>
            </w:pPr>
            <w:r>
              <w:rPr>
                <w:rFonts w:ascii="Times New Roman" w:hAnsi="Times New Roman"/>
                <w:b w:val="0"/>
                <w:sz w:val="21"/>
              </w:rPr>
              <w:t>40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4.5: Data Dictionary — dbo.Patients (Master &amp; Self-Registered Patient Profiles)</w:t>
            </w:r>
          </w:p>
        </w:tc>
        <w:tc>
          <w:tcPr>
            <w:tcW w:type="dxa" w:w="1008"/>
            <w:tcMar>
              <w:top w:w="45" w:type="dxa"/>
              <w:bottom w:w="45" w:type="dxa"/>
              <w:left w:w="40" w:type="dxa"/>
              <w:right w:w="40" w:type="dxa"/>
            </w:tcMar>
          </w:tcPr>
          <w:p>
            <w:pPr>
              <w:spacing w:after="0"/>
              <w:jc w:val="right"/>
            </w:pPr>
            <w:r>
              <w:rPr>
                <w:rFonts w:ascii="Times New Roman" w:hAnsi="Times New Roman"/>
                <w:b w:val="0"/>
                <w:sz w:val="21"/>
              </w:rPr>
              <w:t>41</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4.6: Data Dictionary — dbo.Doctors, dbo.ClinicDoctors, dbo.DoctorSchedules &amp; dbo.DoctorUserLinks</w:t>
            </w:r>
          </w:p>
        </w:tc>
        <w:tc>
          <w:tcPr>
            <w:tcW w:type="dxa" w:w="1008"/>
            <w:tcMar>
              <w:top w:w="45" w:type="dxa"/>
              <w:bottom w:w="45" w:type="dxa"/>
              <w:left w:w="40" w:type="dxa"/>
              <w:right w:w="40" w:type="dxa"/>
            </w:tcMar>
          </w:tcPr>
          <w:p>
            <w:pPr>
              <w:spacing w:after="0"/>
              <w:jc w:val="right"/>
            </w:pPr>
            <w:r>
              <w:rPr>
                <w:rFonts w:ascii="Times New Roman" w:hAnsi="Times New Roman"/>
                <w:b w:val="0"/>
                <w:sz w:val="21"/>
              </w:rPr>
              <w:t>42</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4.7: Data Dictionary — dbo.Appointments (Conflict-Free Slot Reservations)</w:t>
            </w:r>
          </w:p>
        </w:tc>
        <w:tc>
          <w:tcPr>
            <w:tcW w:type="dxa" w:w="1008"/>
            <w:tcMar>
              <w:top w:w="45" w:type="dxa"/>
              <w:bottom w:w="45" w:type="dxa"/>
              <w:left w:w="40" w:type="dxa"/>
              <w:right w:w="40" w:type="dxa"/>
            </w:tcMar>
          </w:tcPr>
          <w:p>
            <w:pPr>
              <w:spacing w:after="0"/>
              <w:jc w:val="right"/>
            </w:pPr>
            <w:r>
              <w:rPr>
                <w:rFonts w:ascii="Times New Roman" w:hAnsi="Times New Roman"/>
                <w:b w:val="0"/>
                <w:sz w:val="21"/>
              </w:rPr>
              <w:t>43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4.8: Data Dictionary — dbo.Consultations &amp; dbo.ConsultationAddenda (Clinical Records)</w:t>
            </w:r>
          </w:p>
        </w:tc>
        <w:tc>
          <w:tcPr>
            <w:tcW w:type="dxa" w:w="1008"/>
            <w:tcMar>
              <w:top w:w="45" w:type="dxa"/>
              <w:bottom w:w="45" w:type="dxa"/>
              <w:left w:w="40" w:type="dxa"/>
              <w:right w:w="40" w:type="dxa"/>
            </w:tcMar>
          </w:tcPr>
          <w:p>
            <w:pPr>
              <w:spacing w:after="0"/>
              <w:jc w:val="right"/>
            </w:pPr>
            <w:r>
              <w:rPr>
                <w:rFonts w:ascii="Times New Roman" w:hAnsi="Times New Roman"/>
                <w:b w:val="0"/>
                <w:sz w:val="21"/>
              </w:rPr>
              <w:t>44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4.9: Data Dictionary — dbo.Prescriptions, dbo.PrescriptionItems &amp; dbo.ClinicMedicines</w:t>
            </w:r>
          </w:p>
        </w:tc>
        <w:tc>
          <w:tcPr>
            <w:tcW w:type="dxa" w:w="1008"/>
            <w:tcMar>
              <w:top w:w="45" w:type="dxa"/>
              <w:bottom w:w="45" w:type="dxa"/>
              <w:left w:w="40" w:type="dxa"/>
              <w:right w:w="40" w:type="dxa"/>
            </w:tcMar>
          </w:tcPr>
          <w:p>
            <w:pPr>
              <w:spacing w:after="0"/>
              <w:jc w:val="right"/>
            </w:pPr>
            <w:r>
              <w:rPr>
                <w:rFonts w:ascii="Times New Roman" w:hAnsi="Times New Roman"/>
                <w:b w:val="0"/>
                <w:sz w:val="21"/>
              </w:rPr>
              <w:t>45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4.10: Data Dictionary — dbo.Pharmacies, dbo.PharmacyUsers, dbo.PharmacyVerifications &amp; dbo.PharmacyMedicinePrices</w:t>
            </w:r>
          </w:p>
        </w:tc>
        <w:tc>
          <w:tcPr>
            <w:tcW w:type="dxa" w:w="1008"/>
            <w:tcMar>
              <w:top w:w="45" w:type="dxa"/>
              <w:bottom w:w="45" w:type="dxa"/>
              <w:left w:w="40" w:type="dxa"/>
              <w:right w:w="40" w:type="dxa"/>
            </w:tcMar>
          </w:tcPr>
          <w:p>
            <w:pPr>
              <w:spacing w:after="0"/>
              <w:jc w:val="right"/>
            </w:pPr>
            <w:r>
              <w:rPr>
                <w:rFonts w:ascii="Times New Roman" w:hAnsi="Times New Roman"/>
                <w:b w:val="0"/>
                <w:sz w:val="21"/>
              </w:rPr>
              <w:t>46</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4.11: Data Dictionary — dbo.PrescriptionDispenses, dbo.PrescriptionDispenseItems &amp; dbo.PharmacyFinanceEntries</w:t>
            </w:r>
          </w:p>
        </w:tc>
        <w:tc>
          <w:tcPr>
            <w:tcW w:type="dxa" w:w="1008"/>
            <w:tcMar>
              <w:top w:w="45" w:type="dxa"/>
              <w:bottom w:w="45" w:type="dxa"/>
              <w:left w:w="40" w:type="dxa"/>
              <w:right w:w="40" w:type="dxa"/>
            </w:tcMar>
          </w:tcPr>
          <w:p>
            <w:pPr>
              <w:spacing w:after="0"/>
              <w:jc w:val="right"/>
            </w:pPr>
            <w:r>
              <w:rPr>
                <w:rFonts w:ascii="Times New Roman" w:hAnsi="Times New Roman"/>
                <w:b w:val="0"/>
                <w:sz w:val="21"/>
              </w:rPr>
              <w:t>47</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4.12: Data Dictionary — Enrollment, Patient Linking, AuthTokens, Outbox, SMTP &amp; Audit Tables</w:t>
            </w:r>
          </w:p>
        </w:tc>
        <w:tc>
          <w:tcPr>
            <w:tcW w:type="dxa" w:w="1008"/>
            <w:tcMar>
              <w:top w:w="45" w:type="dxa"/>
              <w:bottom w:w="45" w:type="dxa"/>
              <w:left w:w="40" w:type="dxa"/>
              <w:right w:w="40" w:type="dxa"/>
            </w:tcMar>
          </w:tcPr>
          <w:p>
            <w:pPr>
              <w:spacing w:after="0"/>
              <w:jc w:val="right"/>
            </w:pPr>
            <w:r>
              <w:rPr>
                <w:rFonts w:ascii="Times New Roman" w:hAnsi="Times New Roman"/>
                <w:b w:val="0"/>
                <w:sz w:val="21"/>
              </w:rPr>
              <w:t>48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4.13: Complete Java Domain Enumeration Reference (com.clinicflow.domain.enums.*)</w:t>
            </w:r>
          </w:p>
        </w:tc>
        <w:tc>
          <w:tcPr>
            <w:tcW w:type="dxa" w:w="1008"/>
            <w:tcMar>
              <w:top w:w="45" w:type="dxa"/>
              <w:bottom w:w="45" w:type="dxa"/>
              <w:left w:w="40" w:type="dxa"/>
              <w:right w:w="40" w:type="dxa"/>
            </w:tcMar>
          </w:tcPr>
          <w:p>
            <w:pPr>
              <w:spacing w:after="0"/>
              <w:jc w:val="right"/>
            </w:pPr>
            <w:r>
              <w:rPr>
                <w:rFonts w:ascii="Times New Roman" w:hAnsi="Times New Roman"/>
                <w:b w:val="0"/>
                <w:sz w:val="21"/>
              </w:rPr>
              <w:t>50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4.14: Corporate ERP User Interface Design System Tokens (static/css/app.css)</w:t>
            </w:r>
          </w:p>
        </w:tc>
        <w:tc>
          <w:tcPr>
            <w:tcW w:type="dxa" w:w="1008"/>
            <w:tcMar>
              <w:top w:w="45" w:type="dxa"/>
              <w:bottom w:w="45" w:type="dxa"/>
              <w:left w:w="40" w:type="dxa"/>
              <w:right w:w="40" w:type="dxa"/>
            </w:tcMar>
          </w:tcPr>
          <w:p>
            <w:pPr>
              <w:spacing w:after="0"/>
              <w:jc w:val="right"/>
            </w:pPr>
            <w:r>
              <w:rPr>
                <w:rFonts w:ascii="Times New Roman" w:hAnsi="Times New Roman"/>
                <w:b w:val="0"/>
                <w:sz w:val="21"/>
              </w:rPr>
              <w:t>52</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5.1: Software Requirements Specification for Infeara Medical System (IMS)</w:t>
            </w:r>
          </w:p>
        </w:tc>
        <w:tc>
          <w:tcPr>
            <w:tcW w:type="dxa" w:w="1008"/>
            <w:tcMar>
              <w:top w:w="45" w:type="dxa"/>
              <w:bottom w:w="45" w:type="dxa"/>
              <w:left w:w="40" w:type="dxa"/>
              <w:right w:w="40" w:type="dxa"/>
            </w:tcMar>
          </w:tcPr>
          <w:p>
            <w:pPr>
              <w:spacing w:after="0"/>
              <w:jc w:val="right"/>
            </w:pPr>
            <w:r>
              <w:rPr>
                <w:rFonts w:ascii="Times New Roman" w:hAnsi="Times New Roman"/>
                <w:b w:val="0"/>
                <w:sz w:val="21"/>
              </w:rPr>
              <w:t>53</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5.2: Minimum and Recommended Hardware Specifications</w:t>
            </w:r>
          </w:p>
        </w:tc>
        <w:tc>
          <w:tcPr>
            <w:tcW w:type="dxa" w:w="1008"/>
            <w:tcMar>
              <w:top w:w="45" w:type="dxa"/>
              <w:bottom w:w="45" w:type="dxa"/>
              <w:left w:w="40" w:type="dxa"/>
              <w:right w:w="40" w:type="dxa"/>
            </w:tcMar>
          </w:tcPr>
          <w:p>
            <w:pPr>
              <w:spacing w:after="0"/>
              <w:jc w:val="right"/>
            </w:pPr>
            <w:r>
              <w:rPr>
                <w:rFonts w:ascii="Times New Roman" w:hAnsi="Times New Roman"/>
                <w:b w:val="0"/>
                <w:sz w:val="21"/>
              </w:rPr>
              <w:t>54</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6.1: Complete Thymeleaf View &amp; Fragment Directory Inventory (61 HTML5 Templates)</w:t>
            </w:r>
          </w:p>
        </w:tc>
        <w:tc>
          <w:tcPr>
            <w:tcW w:type="dxa" w:w="1008"/>
            <w:tcMar>
              <w:top w:w="45" w:type="dxa"/>
              <w:bottom w:w="45" w:type="dxa"/>
              <w:left w:w="40" w:type="dxa"/>
              <w:right w:w="40" w:type="dxa"/>
            </w:tcMar>
          </w:tcPr>
          <w:p>
            <w:pPr>
              <w:spacing w:after="0"/>
              <w:jc w:val="right"/>
            </w:pPr>
            <w:r>
              <w:rPr>
                <w:rFonts w:ascii="Times New Roman" w:hAnsi="Times New Roman"/>
                <w:b w:val="0"/>
                <w:sz w:val="21"/>
              </w:rPr>
              <w:t>68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7.1: Automated Unit &amp; Service-Layer Test Cases (JUnit 5 + Mockito)</w:t>
            </w:r>
          </w:p>
        </w:tc>
        <w:tc>
          <w:tcPr>
            <w:tcW w:type="dxa" w:w="1008"/>
            <w:tcMar>
              <w:top w:w="45" w:type="dxa"/>
              <w:bottom w:w="45" w:type="dxa"/>
              <w:left w:w="40" w:type="dxa"/>
              <w:right w:w="40" w:type="dxa"/>
            </w:tcMar>
          </w:tcPr>
          <w:p>
            <w:pPr>
              <w:spacing w:after="0"/>
              <w:jc w:val="right"/>
            </w:pPr>
            <w:r>
              <w:rPr>
                <w:rFonts w:ascii="Times New Roman" w:hAnsi="Times New Roman"/>
                <w:b w:val="0"/>
                <w:sz w:val="21"/>
              </w:rPr>
              <w:t>78</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7.2: Web Security, Concurrency &amp; End-to-End System Test Cases (MockMvc &amp; Browser)</w:t>
            </w:r>
          </w:p>
        </w:tc>
        <w:tc>
          <w:tcPr>
            <w:tcW w:type="dxa" w:w="1008"/>
            <w:tcMar>
              <w:top w:w="45" w:type="dxa"/>
              <w:bottom w:w="45" w:type="dxa"/>
              <w:left w:w="40" w:type="dxa"/>
              <w:right w:w="40" w:type="dxa"/>
            </w:tcMar>
          </w:tcPr>
          <w:p>
            <w:pPr>
              <w:spacing w:after="0"/>
              <w:jc w:val="right"/>
            </w:pPr>
            <w:r>
              <w:rPr>
                <w:rFonts w:ascii="Times New Roman" w:hAnsi="Times New Roman"/>
                <w:b w:val="0"/>
                <w:sz w:val="21"/>
              </w:rPr>
              <w:t>80</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7.3: Measured Endpoint Latency and OWASP Top-10 Security Verification Summary</w:t>
            </w:r>
          </w:p>
        </w:tc>
        <w:tc>
          <w:tcPr>
            <w:tcW w:type="dxa" w:w="1008"/>
            <w:tcMar>
              <w:top w:w="45" w:type="dxa"/>
              <w:bottom w:w="45" w:type="dxa"/>
              <w:left w:w="40" w:type="dxa"/>
              <w:right w:w="40" w:type="dxa"/>
            </w:tcMar>
          </w:tcPr>
          <w:p>
            <w:pPr>
              <w:spacing w:after="0"/>
              <w:jc w:val="right"/>
            </w:pPr>
            <w:r>
              <w:rPr>
                <w:rFonts w:ascii="Times New Roman" w:hAnsi="Times New Roman"/>
                <w:b w:val="0"/>
                <w:sz w:val="21"/>
              </w:rPr>
              <w:t>82</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B.1: Complete IMS Spring WebMVC Route and Role-Based Authorization Matrix</w:t>
            </w:r>
          </w:p>
        </w:tc>
        <w:tc>
          <w:tcPr>
            <w:tcW w:type="dxa" w:w="1008"/>
            <w:tcMar>
              <w:top w:w="45" w:type="dxa"/>
              <w:bottom w:w="45" w:type="dxa"/>
              <w:left w:w="40" w:type="dxa"/>
              <w:right w:w="40" w:type="dxa"/>
            </w:tcMar>
          </w:tcPr>
          <w:p>
            <w:pPr>
              <w:spacing w:after="0"/>
              <w:jc w:val="right"/>
            </w:pPr>
            <w:r>
              <w:rPr>
                <w:rFonts w:ascii="Times New Roman" w:hAnsi="Times New Roman"/>
                <w:b w:val="0"/>
                <w:sz w:val="21"/>
              </w:rPr>
              <w:t>95</w:t>
            </w:r>
          </w:p>
        </w:tc>
      </w:tr>
      <w:tr>
        <w:trPr>
          <w:cantSplit/>
        </w:trPr>
        <w:tc>
          <w:tcPr>
            <w:tcW w:type="dxa" w:w="7661"/>
            <w:tcMar>
              <w:top w:w="45" w:type="dxa"/>
              <w:bottom w:w="45" w:type="dxa"/>
              <w:left w:w="220" w:type="dxa"/>
              <w:right w:w="40" w:type="dxa"/>
            </w:tcMar>
          </w:tcPr>
          <w:p>
            <w:pPr>
              <w:spacing w:after="0"/>
            </w:pPr>
            <w:r>
              <w:rPr>
                <w:rFonts w:ascii="Times New Roman" w:hAnsi="Times New Roman"/>
                <w:b w:val="0"/>
                <w:sz w:val="21"/>
              </w:rPr>
              <w:t>Table B.2: Externalized Environment Configuration Variables (application.yml)</w:t>
            </w:r>
          </w:p>
        </w:tc>
        <w:tc>
          <w:tcPr>
            <w:tcW w:type="dxa" w:w="1008"/>
            <w:tcMar>
              <w:top w:w="45" w:type="dxa"/>
              <w:bottom w:w="45" w:type="dxa"/>
              <w:left w:w="40" w:type="dxa"/>
              <w:right w:w="40" w:type="dxa"/>
            </w:tcMar>
          </w:tcPr>
          <w:p>
            <w:pPr>
              <w:spacing w:after="0"/>
              <w:jc w:val="right"/>
            </w:pPr>
            <w:r>
              <w:rPr>
                <w:rFonts w:ascii="Times New Roman" w:hAnsi="Times New Roman"/>
                <w:b w:val="0"/>
                <w:sz w:val="21"/>
              </w:rPr>
              <w:t>98</w:t>
            </w:r>
          </w:p>
        </w:tc>
      </w:tr>
    </w:tbl>
    <w:p>
      <w:r>
        <w:br w:type="page"/>
      </w:r>
    </w:p>
    <w:p>
      <w:pPr>
        <w:spacing w:before="80" w:after="320"/>
        <w:jc w:val="center"/>
      </w:pPr>
      <w:r>
        <w:rPr>
          <w:rFonts w:ascii="Times New Roman" w:hAnsi="Times New Roman"/>
          <w:b/>
          <w:color w:val="0F2744"/>
          <w:sz w:val="30"/>
        </w:rPr>
        <w:t>ABBREVIATIONS AND ACRONYMS</w:t>
      </w:r>
    </w:p>
    <w:tbl>
      <w:tblPr>
        <w:tblW w:type="auto" w:w="0"/>
        <w:jc w:val="center"/>
        <w:tblLook w:firstColumn="1" w:firstRow="1" w:lastColumn="0" w:lastRow="0" w:noHBand="0" w:noVBand="1" w:val="04A0"/>
      </w:tblPr>
      <w:tblGrid>
        <w:gridCol w:w="4334"/>
        <w:gridCol w:w="4334"/>
      </w:tblGrid>
      <w:tr>
        <w:trPr>
          <w:tblHeader/>
          <w:cantSplit/>
        </w:trPr>
        <w:tc>
          <w:tcPr>
            <w:tcW w:type="dxa" w:w="201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Acronym</w:t>
            </w:r>
          </w:p>
        </w:tc>
        <w:tc>
          <w:tcPr>
            <w:tcW w:type="dxa" w:w="665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Expanded Technical / Clinical Term</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ACID</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Atomicity, Consistency, Isolation, and Durability</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AES-GCM</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Advanced Encryption Standard — Galois/Counter Mode (Authenticated Encryption)</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API</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Application Programming Interface</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BCrypt</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Blowfish-Based Adaptive Password Hashing Function</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BIN2</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SQL Server Binary Code-Point Collation (Latin1_General_100_BIN2)</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CSRF</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Cross-Site Request Forgery</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CSPRNG</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Cryptographically Secure Pseudo-Random Number Generator (java.security.SecureRandom)</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CSV</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Comma-Separated Values (Clinic Formulary Import/Export)</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DAO / JPA</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Data Access Object / Jakarta Persistence API</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DDL / DML</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Data Definition Language / Data Manipulation Language</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DFD</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Data Flow Diagram</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DOB</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 of Birth</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DTO</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Data Transfer Object</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EHR / EMR</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Electronic Health Record / Electronic Medical Record</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ERP</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Enterprise Resource Planning</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e-Rx</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Electronic Prescription</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FK / PK</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Foreign Key / Primary Key</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GCM</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Galois/Counter Mode (128-bit Authentication Tag, 96-bit IV)</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HTML5 / CSS3</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HyperText Markup Language v5 / Cascading Style Sheets v3</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HTTP / HTTPS</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HyperText Transfer Protocol / HTTP Secure (TLS)</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IDOR</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Insecure Direct Object Reference</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IMS</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Infeara Medical System (Proposed Application Platform)</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IV</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Initialization Vector</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JDBC</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Java Database Connectivity</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JVM / JDK</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Java Virtual Machine / Java Development Kit (Java 27)</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KPI</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Key Performance Indicator</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MVC</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Model-View-Controller Architectural Pattern</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ORM</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Object-Relational Mapping (Hibernate 6)</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OWASP</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Open Worldwide Application Security Project</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Point of Sale (Pharmacy Billing &amp; Dispensing Counter)</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RBAC</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Role-Based Access Control</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RDBMS</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Relational Database Management System (Microsoft SQL Server 2022)</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SHA-256</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Secure Hash Algorithm 256-bit Digest (BINARY(32))</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SMTP / STARTTLS</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Simple Mail Transfer Protocol / Opportunistic TLS Upgrade</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SRS</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Software Requirements Specification</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TTL</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Time-To-Live (Token / Prescription Expiration Window)</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UAT</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User Acceptance Testing</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UML</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Unified Modeling Language</w:t>
            </w:r>
          </w:p>
        </w:tc>
      </w:tr>
      <w:tr>
        <w:trPr>
          <w:cantSplit/>
        </w:trPr>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UPI</w:t>
            </w:r>
          </w:p>
        </w:tc>
        <w:tc>
          <w:tcPr>
            <w:tcW w:type="dxa" w:w="665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Unified Payments Interface</w:t>
            </w:r>
          </w:p>
        </w:tc>
      </w:tr>
      <w:tr>
        <w:trPr>
          <w:cantSplit/>
        </w:trPr>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UTC</w:t>
            </w:r>
          </w:p>
        </w:tc>
        <w:tc>
          <w:tcPr>
            <w:tcW w:type="dxa" w:w="665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Coordinated Universal Time (DATETIME2(3) Timestamp Standard)</w:t>
            </w:r>
          </w:p>
        </w:tc>
      </w:tr>
    </w:tbl>
    <w:p>
      <w:pPr>
        <w:spacing w:after="80"/>
      </w:pPr>
    </w:p>
    <w:p>
      <w:pPr>
        <w:sectPr>
          <w:headerReference w:type="default" r:id="rId10"/>
          <w:footerReference w:type="default" r:id="rId11"/>
          <w:pgSz w:w="11909" w:h="16834"/>
          <w:pgMar w:top="1440" w:right="1440" w:bottom="1440" w:left="1800" w:header="720" w:footer="720" w:gutter="0"/>
          <w:cols w:space="720"/>
          <w:docGrid w:linePitch="360"/>
          <w:pgBorders w:offsetFrom="page">
            <w:top w:val="double" w:sz="12" w:space="24" w:color="0F2744"/>
            <w:left w:val="double" w:sz="12" w:space="24" w:color="0F2744"/>
            <w:bottom w:val="double" w:sz="12" w:space="24" w:color="0F2744"/>
            <w:right w:val="double" w:sz="12" w:space="24" w:color="0F2744"/>
          </w:pgBorders>
          <w:pgNumType w:fmt="lowerRoman" w:start="2"/>
        </w:sectPr>
      </w:pPr>
    </w:p>
    <w:p>
      <w:pPr>
        <w:spacing w:before="80" w:after="80"/>
        <w:jc w:val="center"/>
      </w:pPr>
      <w:r>
        <w:rPr>
          <w:rFonts w:ascii="Times New Roman" w:hAnsi="Times New Roman"/>
          <w:b/>
          <w:color w:val="1E3A8A"/>
          <w:sz w:val="28"/>
        </w:rPr>
        <w:t>CHAPTER 1</w:t>
      </w:r>
    </w:p>
    <w:p>
      <w:pPr>
        <w:spacing w:after="320"/>
        <w:jc w:val="center"/>
      </w:pPr>
      <w:r>
        <w:rPr>
          <w:rFonts w:ascii="Times New Roman" w:hAnsi="Times New Roman"/>
          <w:b/>
          <w:color w:val="0F2744"/>
          <w:sz w:val="32"/>
        </w:rPr>
        <w:t>INTRODUCTION</w:t>
      </w:r>
    </w:p>
    <w:p>
      <w:pPr>
        <w:keepNext/>
        <w:spacing w:before="260" w:after="120"/>
      </w:pPr>
      <w:r>
        <w:rPr>
          <w:rFonts w:ascii="Times New Roman" w:hAnsi="Times New Roman"/>
          <w:b/>
          <w:color w:val="0F2744"/>
          <w:sz w:val="28"/>
        </w:rPr>
        <w:t>1.1 Overview of the Project</w:t>
      </w:r>
    </w:p>
    <w:p>
      <w:pPr>
        <w:spacing w:line="360" w:lineRule="auto" w:after="140"/>
        <w:jc w:val="both"/>
      </w:pPr>
      <w:r>
        <w:rPr>
          <w:rFonts w:ascii="Times New Roman" w:hAnsi="Times New Roman"/>
          <w:sz w:val="24"/>
        </w:rPr>
        <w:t>The Infeara Medical System (IMS), developed under the core package namespace com.clinicflow inside the clinicflow-app Maven module, is an integrated, multi-tenant clinical management, patient identity federation, electronic prescribing (e-Rx), and pharmacy point-of-sale (POS) web application. Unlike conventional single-clinic desktop utilities or isolated pharmacy billing tools, IMS models the complete continuum of outpatient primary and specialty care within a single transactional software platform. From the moment a platform owner initializes the deployment via the zero-seed /setup bootstrap wizard, through clinic and pharmacy onboarding, staff invitation workflows, patient self-registration, verified account linking, conflict-free doctor appointment booking, clinical consultation authoring, 32-character digital prescription issuance, itemized pharmacy verification and partial dispensing, to automated financial ledger posting, every state transition is governed by strict role-based access controls, relational integrity constraints, and an immutable compliance audit log.</w:t>
      </w:r>
    </w:p>
    <w:p>
      <w:pPr>
        <w:spacing w:line="360" w:lineRule="auto" w:after="140"/>
        <w:jc w:val="both"/>
      </w:pPr>
      <w:r>
        <w:rPr>
          <w:rFonts w:ascii="Times New Roman" w:hAnsi="Times New Roman"/>
          <w:sz w:val="24"/>
        </w:rPr>
        <w:t>Architecturally, IMS follows the Modular Monolith pattern on Java 27 and Spring Boot 4.1.2. Rather than incurring the operational overhead and eventual-consistency hazards of premature microservices, IMS partitions domain responsibilities cleanly across dedicated packages — audit, common, config, domain (entities, enums, repositories), identity, notifications, security, and role-segregated web controllers — while executing multi-entity clinical operations inside ACID database transactions against Microsoft SQL Server 2022 Express. Server-rendered user interfaces are built with Thymeleaf 3.1 and the Ultraq Layout Dialect over a cohesive Corporate Healthcare ERP design system (app.css), ensuring fast first-contentful paint, accessibility compliance, keyboard-friendly POS operation, and strict server-side ownership enforcement.</w:t>
      </w:r>
    </w:p>
    <w:p>
      <w:pPr>
        <w:keepNext/>
        <w:spacing w:before="160" w:after="80"/>
      </w:pPr>
      <w:r>
        <w:rPr>
          <w:rFonts w:ascii="Times New Roman" w:hAnsi="Times New Roman"/>
          <w:b/>
          <w:color w:val="0F2744"/>
          <w:sz w:val="21"/>
        </w:rPr>
        <w:t>Table 1.1: High-Level Identity and Architectural Profile of Infeara Medical System (IMS)</w:t>
      </w:r>
    </w:p>
    <w:tbl>
      <w:tblPr>
        <w:tblW w:type="auto" w:w="0"/>
        <w:jc w:val="center"/>
        <w:tblLook w:firstColumn="1" w:firstRow="1" w:lastColumn="0" w:lastRow="0" w:noHBand="0" w:noVBand="1" w:val="04A0"/>
      </w:tblPr>
      <w:tblGrid>
        <w:gridCol w:w="4334"/>
        <w:gridCol w:w="4334"/>
      </w:tblGrid>
      <w:tr>
        <w:trPr>
          <w:tblHeader/>
          <w:cantSplit/>
        </w:trPr>
        <w:tc>
          <w:tcPr>
            <w:tcW w:type="dxa" w:w="288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Attribute</w:t>
            </w:r>
          </w:p>
        </w:tc>
        <w:tc>
          <w:tcPr>
            <w:tcW w:type="dxa" w:w="5789"/>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Specification in Current Codebase</w:t>
            </w:r>
          </w:p>
        </w:tc>
      </w:tr>
      <w:tr>
        <w:trPr>
          <w:cantSplit/>
        </w:trPr>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Application Name</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IMS — Infeara Medical System (Artifact: com.clinicflow:clinicflow-app:0.1.0-SNAPSHOT)</w:t>
            </w:r>
          </w:p>
        </w:tc>
      </w:tr>
      <w:tr>
        <w:trPr>
          <w:cantSplit/>
        </w:trPr>
        <w:tc>
          <w:tcPr>
            <w:tcW w:type="dxa" w:w="28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Architectural Style</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Six-Tier Modular Monolith with Transactional Database Outbox</w:t>
            </w:r>
          </w:p>
        </w:tc>
      </w:tr>
      <w:tr>
        <w:trPr>
          <w:cantSplit/>
        </w:trPr>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Core Runtime &amp; Framework</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Java 27, Spring Boot 4.1.2, Spring WebMVC, Spring Security 6, Spring Data JPA</w:t>
            </w:r>
          </w:p>
        </w:tc>
      </w:tr>
      <w:tr>
        <w:trPr>
          <w:cantSplit/>
        </w:trPr>
        <w:tc>
          <w:tcPr>
            <w:tcW w:type="dxa" w:w="28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Database &amp; Schema Versioning</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Microsoft SQL Server 2022 Express (Primary) &amp; H2 MSSQLServer Mode; Flyway V001–V009</w:t>
            </w:r>
          </w:p>
        </w:tc>
      </w:tr>
      <w:tr>
        <w:trPr>
          <w:cantSplit/>
        </w:trPr>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Normalized Schema Footprint</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27 Relational Tables, 1 Fulfilment SQL View (vw_PrescriptionFulfilment), 20 Domain Enums</w:t>
            </w:r>
          </w:p>
        </w:tc>
      </w:tr>
      <w:tr>
        <w:trPr>
          <w:cantSplit/>
        </w:trPr>
        <w:tc>
          <w:tcPr>
            <w:tcW w:type="dxa" w:w="28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Supported Security Roles</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 CLINIC_ADMIN, DOCTOR, PATIENT, PHARMACY_ADMIN, PHARMACIST</w:t>
            </w:r>
          </w:p>
        </w:tc>
      </w:tr>
      <w:tr>
        <w:trPr>
          <w:cantSplit/>
        </w:trPr>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Presentation Engine</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Thymeleaf + Layout Dialect + Spring Security6 Extras (61 HTML5 Templates + ERP CSS)</w:t>
            </w:r>
          </w:p>
        </w:tc>
      </w:tr>
      <w:tr>
        <w:trPr>
          <w:cantSplit/>
        </w:trPr>
        <w:tc>
          <w:tcPr>
            <w:tcW w:type="dxa" w:w="28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Key Cryptographic Controls</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BCrypt Passwords, SHA-256 Single-Use Tokens, AES-256-GCM SecretCipher, 32-Char CSPRNG Rx</w:t>
            </w:r>
          </w:p>
        </w:tc>
      </w:tr>
    </w:tbl>
    <w:p>
      <w:pPr>
        <w:spacing w:after="80"/>
      </w:pPr>
    </w:p>
    <w:p>
      <w:pPr>
        <w:keepNext/>
        <w:spacing w:before="260" w:after="120"/>
      </w:pPr>
      <w:r>
        <w:rPr>
          <w:rFonts w:ascii="Times New Roman" w:hAnsi="Times New Roman"/>
          <w:b/>
          <w:color w:val="0F2744"/>
          <w:sz w:val="28"/>
        </w:rPr>
        <w:t>1.2 Background of the Study</w:t>
      </w:r>
    </w:p>
    <w:p>
      <w:pPr>
        <w:spacing w:line="360" w:lineRule="auto" w:after="140"/>
        <w:jc w:val="both"/>
      </w:pPr>
      <w:r>
        <w:rPr>
          <w:rFonts w:ascii="Times New Roman" w:hAnsi="Times New Roman"/>
          <w:sz w:val="24"/>
        </w:rPr>
        <w:t>Outpatient clinics and neighborhood retail pharmacies form the frontline of healthcare delivery in India and across developing healthcare ecosystems, accounting for more than eighty percent of daily patient encounters. Despite rapid growth in consumer digital payments and mobile connectivity, day-to-day clinical workflows across small and mid-sized polyclinics remain heavily fragmented. A typical patient visiting two different clinics in the same city is assigned separate walk-in registration numbers at each reception desk, receives handwritten paper prescriptions with non-standardized drug names, and presents those slips at retail pharmacy counters where pharmacists manually transcribe medicine names and re-enter bill totals into a separate cash register or spreadsheet.</w:t>
      </w:r>
    </w:p>
    <w:p>
      <w:pPr>
        <w:spacing w:line="360" w:lineRule="auto" w:after="140"/>
        <w:jc w:val="both"/>
      </w:pPr>
      <w:r>
        <w:rPr>
          <w:rFonts w:ascii="Times New Roman" w:hAnsi="Times New Roman"/>
          <w:sz w:val="24"/>
        </w:rPr>
        <w:t>This fragmentation produces severe operational and clinical consequences. First, doctors frequently make prescribing decisions without visibility into longitudinal diagnoses, chronic lifetime medications, or recorded drug allergies captured during earlier visits. Second, paper prescriptions lack cryptographic verifiability: once a paper slip leaves the clinic, neither the issuing clinic nor the dispensing pharmacy can reliably prevent a controlled or antibiotic prescription from being photocopied, altered, used past its clinical validity window, or dispensed repeatedly across different pharmacies. Third, clinic front desks managing doctor schedules via phone calls or basic spreadsheets regularly encounter double-booked time slots whenever simultaneous walk-in and online requests target the same fifteen-minute window.</w:t>
      </w:r>
    </w:p>
    <w:p>
      <w:pPr>
        <w:spacing w:line="360" w:lineRule="auto" w:after="140"/>
        <w:jc w:val="both"/>
      </w:pPr>
      <w:r>
        <w:rPr>
          <w:rFonts w:ascii="Times New Roman" w:hAnsi="Times New Roman"/>
          <w:sz w:val="24"/>
        </w:rPr>
        <w:t>Furthermore, existing commercial cloud EHR suites often fail small and medium healthcare networks for two opposite reasons: either they are heavyweight hospital information systems requiring expensive dedicated IT teams and complex HL7 middleware, or they are consumer doctor-discovery marketplaces that prioritize lead generation while neglecting clinical immutability, verified patient record merging, and pharmacy POS financial reconciliation. Studying these real-world gaps directly motivated the engineering of IMS as a self-contained, cryptographically hardened, multi-tenant clinical and pharmacy platform.</w:t>
      </w:r>
    </w:p>
    <w:p>
      <w:pPr>
        <w:keepNext/>
        <w:spacing w:before="260" w:after="120"/>
      </w:pPr>
      <w:r>
        <w:rPr>
          <w:rFonts w:ascii="Times New Roman" w:hAnsi="Times New Roman"/>
          <w:b/>
          <w:color w:val="0F2744"/>
          <w:sz w:val="28"/>
        </w:rPr>
        <w:t>1.3 Problem Statement</w:t>
      </w:r>
    </w:p>
    <w:p>
      <w:pPr>
        <w:spacing w:line="360" w:lineRule="auto" w:after="140"/>
        <w:jc w:val="both"/>
      </w:pPr>
      <w:r>
        <w:rPr>
          <w:rFonts w:ascii="Times New Roman" w:hAnsi="Times New Roman"/>
          <w:sz w:val="24"/>
        </w:rPr>
        <w:t>A rigorous analysis of outpatient clinical administration, patient record continuity, prescription dispensing, and pharmacy accounting reveals eight interconnected technical problems that conventional systems fail to address cohesively:</w:t>
      </w:r>
    </w:p>
    <w:p>
      <w:pPr>
        <w:pStyle w:val="ListBullet"/>
        <w:spacing w:line="336" w:lineRule="auto" w:after="100"/>
        <w:jc w:val="both"/>
      </w:pPr>
      <w:r>
        <w:rPr>
          <w:rFonts w:ascii="Times New Roman" w:hAnsi="Times New Roman"/>
          <w:b/>
          <w:sz w:val="24"/>
        </w:rPr>
        <w:t xml:space="preserve">1. Siloed &amp; Duplicated Patient Identities: </w:t>
      </w:r>
      <w:r>
        <w:rPr>
          <w:rFonts w:ascii="Times New Roman" w:hAnsi="Times New Roman"/>
          <w:sz w:val="24"/>
        </w:rPr>
        <w:t>Walk-in clinic registrations and online self-registrations create duplicate patient rows. Naive systems either forbid linking altogether or auto-link records by email or name alone, exposing sensitive medical histories to account-takeover and identity-spoofing attacks.</w:t>
      </w:r>
    </w:p>
    <w:p>
      <w:pPr>
        <w:pStyle w:val="ListBullet"/>
        <w:spacing w:line="336" w:lineRule="auto" w:after="100"/>
        <w:jc w:val="both"/>
      </w:pPr>
      <w:r>
        <w:rPr>
          <w:rFonts w:ascii="Times New Roman" w:hAnsi="Times New Roman"/>
          <w:b/>
          <w:sz w:val="24"/>
        </w:rPr>
        <w:t xml:space="preserve">2. Destructive Record Merging &amp; Broken Audit Trails: </w:t>
      </w:r>
      <w:r>
        <w:rPr>
          <w:rFonts w:ascii="Times New Roman" w:hAnsi="Times New Roman"/>
          <w:sz w:val="24"/>
        </w:rPr>
        <w:t>When duplicate patient charts are consolidated in legacy databases by deleting the older row, historical audit logs and foreign keys referencing the old identifier either fail referential integrity checks or lose forensic traceability.</w:t>
      </w:r>
    </w:p>
    <w:p>
      <w:pPr>
        <w:pStyle w:val="ListBullet"/>
        <w:spacing w:line="336" w:lineRule="auto" w:after="100"/>
        <w:jc w:val="both"/>
      </w:pPr>
      <w:r>
        <w:rPr>
          <w:rFonts w:ascii="Times New Roman" w:hAnsi="Times New Roman"/>
          <w:b/>
          <w:sz w:val="24"/>
        </w:rPr>
        <w:t xml:space="preserve">3. Concurrent Appointment Double-Booking: </w:t>
      </w:r>
      <w:r>
        <w:rPr>
          <w:rFonts w:ascii="Times New Roman" w:hAnsi="Times New Roman"/>
          <w:sz w:val="24"/>
        </w:rPr>
        <w:t>Checking slot availability in application memory before inserting an appointment row introduces a classic Time-of-Check to Time-of-Use (TOCTOU) race condition when two patients submit bookings for the same doctor and timestamp simultaneously.</w:t>
      </w:r>
    </w:p>
    <w:p>
      <w:pPr>
        <w:pStyle w:val="ListBullet"/>
        <w:spacing w:line="336" w:lineRule="auto" w:after="100"/>
        <w:jc w:val="both"/>
      </w:pPr>
      <w:r>
        <w:rPr>
          <w:rFonts w:ascii="Times New Roman" w:hAnsi="Times New Roman"/>
          <w:b/>
          <w:sz w:val="24"/>
        </w:rPr>
        <w:t xml:space="preserve">4. Mutable Clinical Notes Without Forensic Accountability: </w:t>
      </w:r>
      <w:r>
        <w:rPr>
          <w:rFonts w:ascii="Times New Roman" w:hAnsi="Times New Roman"/>
          <w:sz w:val="24"/>
        </w:rPr>
        <w:t>Allowing doctors or staff to overwrite finalized consultation diagnoses silently erodes medico-legal trust; clinical systems must freeze finalized notes and mandate timestamped, author-attributed addenda.</w:t>
      </w:r>
    </w:p>
    <w:p>
      <w:pPr>
        <w:pStyle w:val="ListBullet"/>
        <w:spacing w:line="336" w:lineRule="auto" w:after="100"/>
        <w:jc w:val="both"/>
      </w:pPr>
      <w:r>
        <w:rPr>
          <w:rFonts w:ascii="Times New Roman" w:hAnsi="Times New Roman"/>
          <w:b/>
          <w:sz w:val="24"/>
        </w:rPr>
        <w:t xml:space="preserve">5. Unverifiable &amp; Over-Dispensable Prescriptions: </w:t>
      </w:r>
      <w:r>
        <w:rPr>
          <w:rFonts w:ascii="Times New Roman" w:hAnsi="Times New Roman"/>
          <w:sz w:val="24"/>
        </w:rPr>
        <w:t>Paper and PDF prescriptions cannot enforce case-sensitive verification, automatic expiration dates, instant clinic revocation, or item-level remaining-quantity tracking across partial pharmacy fills.</w:t>
      </w:r>
    </w:p>
    <w:p>
      <w:pPr>
        <w:pStyle w:val="ListBullet"/>
        <w:spacing w:line="336" w:lineRule="auto" w:after="100"/>
        <w:jc w:val="both"/>
      </w:pPr>
      <w:r>
        <w:rPr>
          <w:rFonts w:ascii="Times New Roman" w:hAnsi="Times New Roman"/>
          <w:b/>
          <w:sz w:val="24"/>
        </w:rPr>
        <w:t xml:space="preserve">6. Disconnected Pharmacy POS &amp; Financial Ledgers: </w:t>
      </w:r>
      <w:r>
        <w:rPr>
          <w:rFonts w:ascii="Times New Roman" w:hAnsi="Times New Roman"/>
          <w:sz w:val="24"/>
        </w:rPr>
        <w:t>Pharmacists waste valuable counter time looking up unit prices repeatedly and manually copying POS receipt totals into daily income ledgers, resulting in pricing errors and cashbook mismatches.</w:t>
      </w:r>
    </w:p>
    <w:p>
      <w:pPr>
        <w:pStyle w:val="ListBullet"/>
        <w:spacing w:line="336" w:lineRule="auto" w:after="100"/>
        <w:jc w:val="both"/>
      </w:pPr>
      <w:r>
        <w:rPr>
          <w:rFonts w:ascii="Times New Roman" w:hAnsi="Times New Roman"/>
          <w:b/>
          <w:sz w:val="24"/>
        </w:rPr>
        <w:t xml:space="preserve">7. Unreliable Synchronous Email Dispatch &amp; Plaintext Credentials: </w:t>
      </w:r>
      <w:r>
        <w:rPr>
          <w:rFonts w:ascii="Times New Roman" w:hAnsi="Times New Roman"/>
          <w:sz w:val="24"/>
        </w:rPr>
        <w:t>Sending verification or prescription emails synchronously inside HTTP request threads causes timeouts whenever an SMTP server stalls, while storing SMTP passwords in plaintext database columns creates credential-leakage vulnerabilities.</w:t>
      </w:r>
    </w:p>
    <w:p>
      <w:pPr>
        <w:pStyle w:val="ListBullet"/>
        <w:spacing w:line="336" w:lineRule="auto" w:after="100"/>
        <w:jc w:val="both"/>
      </w:pPr>
      <w:r>
        <w:rPr>
          <w:rFonts w:ascii="Times New Roman" w:hAnsi="Times New Roman"/>
          <w:b/>
          <w:sz w:val="24"/>
        </w:rPr>
        <w:t xml:space="preserve">8. Delayed Revocation of Suspended Tenant Sessions: </w:t>
      </w:r>
      <w:r>
        <w:rPr>
          <w:rFonts w:ascii="Times New Roman" w:hAnsi="Times New Roman"/>
          <w:sz w:val="24"/>
        </w:rPr>
        <w:t>In standard session-based web apps, suspending a clinic tenant does not invalidate active HTTP sessions already held by that clinic's administrators or doctors, permitting unauthorized post-suspension access.</w:t>
      </w:r>
    </w:p>
    <w:p>
      <w:pPr>
        <w:keepNext/>
        <w:spacing w:before="260" w:after="120"/>
      </w:pPr>
      <w:r>
        <w:rPr>
          <w:rFonts w:ascii="Times New Roman" w:hAnsi="Times New Roman"/>
          <w:b/>
          <w:color w:val="0F2744"/>
          <w:sz w:val="28"/>
        </w:rPr>
        <w:t>1.4 Objectives of the Project</w:t>
      </w:r>
    </w:p>
    <w:p>
      <w:pPr>
        <w:spacing w:line="360" w:lineRule="auto" w:after="140"/>
        <w:jc w:val="both"/>
      </w:pPr>
      <w:r>
        <w:rPr>
          <w:rFonts w:ascii="Times New Roman" w:hAnsi="Times New Roman"/>
          <w:sz w:val="24"/>
        </w:rPr>
        <w:t>The overarching objective of this project is to engineer, test, and document a secure, production-ready multi-tenant healthcare web platform (IMS) that eliminates clinical, cryptographic, and financial discontinuities across clinics, doctors, patients, and pharmacies. Specifically, the project pursues the following concrete engineering objectives:</w:t>
      </w:r>
    </w:p>
    <w:p>
      <w:pPr>
        <w:pStyle w:val="ListBullet"/>
        <w:spacing w:line="336" w:lineRule="auto" w:after="100"/>
        <w:jc w:val="both"/>
      </w:pPr>
      <w:r>
        <w:rPr>
          <w:rFonts w:ascii="Times New Roman" w:hAnsi="Times New Roman"/>
          <w:b/>
          <w:sz w:val="24"/>
        </w:rPr>
        <w:t xml:space="preserve">Zero-Seed Multi-Tenant Governance: </w:t>
      </w:r>
      <w:r>
        <w:rPr>
          <w:rFonts w:ascii="Times New Roman" w:hAnsi="Times New Roman"/>
          <w:sz w:val="24"/>
        </w:rPr>
        <w:t>Provide a first-run /setup bootstrap flow that provisions the initial SUPER_ADMIN without hardcoded demo accounts, enabling controlled clinic and pharmacy enrollment via 72-hour single-use staff invitations.</w:t>
      </w:r>
    </w:p>
    <w:p>
      <w:pPr>
        <w:pStyle w:val="ListBullet"/>
        <w:spacing w:line="336" w:lineRule="auto" w:after="100"/>
        <w:jc w:val="both"/>
      </w:pPr>
      <w:r>
        <w:rPr>
          <w:rFonts w:ascii="Times New Roman" w:hAnsi="Times New Roman"/>
          <w:b/>
          <w:sz w:val="24"/>
        </w:rPr>
        <w:t xml:space="preserve">Defense-in-Depth Identity &amp; RBAC: </w:t>
      </w:r>
      <w:r>
        <w:rPr>
          <w:rFonts w:ascii="Times New Roman" w:hAnsi="Times New Roman"/>
          <w:sz w:val="24"/>
        </w:rPr>
        <w:t>Enforce six-role URL and service-layer authorization, BCrypt password hashing, 10+ character password policies, brute-force login throttling (5 failures per 15-minute window), single-use SHA-256 hashed tokens, and immediate session termination for suspended clinics via ClinicStatusFilter.</w:t>
      </w:r>
    </w:p>
    <w:p>
      <w:pPr>
        <w:pStyle w:val="ListBullet"/>
        <w:spacing w:line="336" w:lineRule="auto" w:after="100"/>
        <w:jc w:val="both"/>
      </w:pPr>
      <w:r>
        <w:rPr>
          <w:rFonts w:ascii="Times New Roman" w:hAnsi="Times New Roman"/>
          <w:b/>
          <w:sz w:val="24"/>
        </w:rPr>
        <w:t xml:space="preserve">Staff-Verified Patient Linking &amp; Non-Destructive Merge: </w:t>
      </w:r>
      <w:r>
        <w:rPr>
          <w:rFonts w:ascii="Times New Roman" w:hAnsi="Times New Roman"/>
          <w:sz w:val="24"/>
        </w:rPr>
        <w:t>Allow patients to request links to active clinics from My Profile while requiring clinic staff to verify physical identity and Date of Birth, flagging duplicates and supporting non-destructive record merges via merged_into_patient_id.</w:t>
      </w:r>
    </w:p>
    <w:p>
      <w:pPr>
        <w:pStyle w:val="ListBullet"/>
        <w:spacing w:line="336" w:lineRule="auto" w:after="100"/>
        <w:jc w:val="both"/>
      </w:pPr>
      <w:r>
        <w:rPr>
          <w:rFonts w:ascii="Times New Roman" w:hAnsi="Times New Roman"/>
          <w:b/>
          <w:sz w:val="24"/>
        </w:rPr>
        <w:t xml:space="preserve">Atomic Conflict-Free Appointment Scheduling: </w:t>
      </w:r>
      <w:r>
        <w:rPr>
          <w:rFonts w:ascii="Times New Roman" w:hAnsi="Times New Roman"/>
          <w:sz w:val="24"/>
        </w:rPr>
        <w:t>Generate dynamic slot grids from DoctorSchedules while serializing concurrent bookings through pessimistic JPA row locking (findForUpdate) backed by SQL Server filtered unique index UX_Appt_Slot.</w:t>
      </w:r>
    </w:p>
    <w:p>
      <w:pPr>
        <w:pStyle w:val="ListBullet"/>
        <w:spacing w:line="336" w:lineRule="auto" w:after="100"/>
        <w:jc w:val="both"/>
      </w:pPr>
      <w:r>
        <w:rPr>
          <w:rFonts w:ascii="Times New Roman" w:hAnsi="Times New Roman"/>
          <w:b/>
          <w:sz w:val="24"/>
        </w:rPr>
        <w:t xml:space="preserve">Immutable Clinical Consultations &amp; 32-Character e-Prescriptions: </w:t>
      </w:r>
      <w:r>
        <w:rPr>
          <w:rFonts w:ascii="Times New Roman" w:hAnsi="Times New Roman"/>
          <w:sz w:val="24"/>
        </w:rPr>
        <w:t>Implement a DRAFT-to-FINAL consultation lifecycle with append-only ConsultationAddenda and issue unambiguous 32-character CSPRNG prescription codes stored under Latin1_General_100_BIN2 collation.</w:t>
      </w:r>
    </w:p>
    <w:p>
      <w:pPr>
        <w:pStyle w:val="ListBullet"/>
        <w:spacing w:line="336" w:lineRule="auto" w:after="100"/>
        <w:jc w:val="both"/>
      </w:pPr>
      <w:r>
        <w:rPr>
          <w:rFonts w:ascii="Times New Roman" w:hAnsi="Times New Roman"/>
          <w:b/>
          <w:sz w:val="24"/>
        </w:rPr>
        <w:t xml:space="preserve">Auto-Priced Pharmacy POS &amp; Automated Finance Sync: </w:t>
      </w:r>
      <w:r>
        <w:rPr>
          <w:rFonts w:ascii="Times New Roman" w:hAnsi="Times New Roman"/>
          <w:sz w:val="24"/>
        </w:rPr>
        <w:t>Deliver a counter-optimized POS at /pharmacy/pos that validates 32-character codes, guards against over-dispensing, remembers medicine unit prices in PharmacyMedicinePrices, calculates discounts and taxes, prints itemized receipts, and auto-posts income to PharmacyFinanceEntries.</w:t>
      </w:r>
    </w:p>
    <w:p>
      <w:pPr>
        <w:pStyle w:val="ListBullet"/>
        <w:spacing w:line="336" w:lineRule="auto" w:after="100"/>
        <w:jc w:val="both"/>
      </w:pPr>
      <w:r>
        <w:rPr>
          <w:rFonts w:ascii="Times New Roman" w:hAnsi="Times New Roman"/>
          <w:b/>
          <w:sz w:val="24"/>
        </w:rPr>
        <w:t xml:space="preserve">Transactional Email Outbox &amp; Encrypted Secret Storage: </w:t>
      </w:r>
      <w:r>
        <w:rPr>
          <w:rFonts w:ascii="Times New Roman" w:hAnsi="Times New Roman"/>
          <w:sz w:val="24"/>
        </w:rPr>
        <w:t>Guarantee reliable asynchronous email delivery via EmailLogs outbox polling with 1m/5m/15m backoff and protect stored SMTP passwords at rest using AES-256-GCM authenticated encryption.</w:t>
      </w:r>
    </w:p>
    <w:p>
      <w:pPr>
        <w:keepNext/>
        <w:spacing w:before="260" w:after="120"/>
      </w:pPr>
      <w:r>
        <w:rPr>
          <w:rFonts w:ascii="Times New Roman" w:hAnsi="Times New Roman"/>
          <w:b/>
          <w:color w:val="0F2744"/>
          <w:sz w:val="28"/>
        </w:rPr>
        <w:t>1.5 Scope of the Project</w:t>
      </w:r>
    </w:p>
    <w:p>
      <w:pPr>
        <w:spacing w:line="360" w:lineRule="auto" w:after="140"/>
        <w:jc w:val="both"/>
      </w:pPr>
      <w:r>
        <w:rPr>
          <w:rFonts w:ascii="Times New Roman" w:hAnsi="Times New Roman"/>
          <w:sz w:val="24"/>
        </w:rPr>
        <w:t>The functional and technical scope of Infeara Medical System encompasses five cohesive operational portals plus public onboarding and authentication workflows, backed by 27 relational tables in SQL Server:</w:t>
      </w:r>
    </w:p>
    <w:p>
      <w:pPr>
        <w:keepNext/>
        <w:spacing w:before="160" w:after="80"/>
      </w:pPr>
      <w:r>
        <w:rPr>
          <w:rFonts w:ascii="Times New Roman" w:hAnsi="Times New Roman"/>
          <w:b/>
          <w:color w:val="0F2744"/>
          <w:sz w:val="21"/>
        </w:rPr>
        <w:t>Table 1.2: Functional Scope Matrix Across IMS Portals and Security Roles</w:t>
      </w:r>
    </w:p>
    <w:tbl>
      <w:tblPr>
        <w:tblW w:type="auto" w:w="0"/>
        <w:jc w:val="center"/>
        <w:tblLook w:firstColumn="1" w:firstRow="1" w:lastColumn="0" w:lastRow="0" w:noHBand="0" w:noVBand="1" w:val="04A0"/>
      </w:tblPr>
      <w:tblGrid>
        <w:gridCol w:w="2890"/>
        <w:gridCol w:w="2890"/>
        <w:gridCol w:w="2890"/>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Workspace / Portal</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Target Role(s)</w:t>
            </w:r>
          </w:p>
        </w:tc>
        <w:tc>
          <w:tcPr>
            <w:tcW w:type="dxa" w:w="49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Core In-Scope Capabilities Implemented in Codebase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Bootstrap &amp; Auth (/setup, /login, /register, /invite)</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 / Unauthenticated</w:t>
            </w:r>
          </w:p>
        </w:tc>
        <w:tc>
          <w:tcPr>
            <w:tcW w:type="dxa" w:w="49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First-time Super Admin bootstrap, patient 3-group self-registration, 24h email verification, 60m password reset, 72h staff invitation acceptance, login throttling.</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Platform Admin Console (/admin/**)</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w:t>
            </w:r>
          </w:p>
        </w:tc>
        <w:tc>
          <w:tcPr>
            <w:tcW w:type="dxa" w:w="49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Enroll/activate/suspend clinics &amp; pharmacies, resend admin invites, inspect global patient directory, view platform KPI reports, configure &amp; test AES-GCM encrypted SMTP.</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Administration (/clinic/**)</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w:t>
            </w:r>
          </w:p>
        </w:tc>
        <w:tc>
          <w:tcPr>
            <w:tcW w:type="dxa" w:w="49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Walk-in patient masters, staff-verified patient link approval &amp; record merge, doctor onboarding &amp; weekday slot schedules, front-desk appointment desk, CSV medicine formulary, clinic prescriptions.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 Clinical Workspace (/doctor/**)</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w:t>
            </w:r>
          </w:p>
        </w:tc>
        <w:tc>
          <w:tcPr>
            <w:tcW w:type="dxa" w:w="49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Daily appointment queue, consultation start, DRAFT/FINAL clinical diagnosis &amp; notes, signed append-only ConsultationAddenda, 32-char e-prescription builder with chronic/lifetime flag.</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Self-Service Portal (/patient/**)</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w:t>
            </w:r>
          </w:p>
        </w:tc>
        <w:tc>
          <w:tcPr>
            <w:tcW w:type="dxa" w:w="49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Personal/address/medical profile editor, verified email-change workflow, clinic link requests, active clinic discovery, real-time slot booking, rescheduling/cancellation, digital prescriptions &amp; longitudinal history.</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 POS &amp; Finance (/pharmacy/**)</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PHARMACY_ADMIN, PHARMACIST</w:t>
            </w:r>
          </w:p>
        </w:tc>
        <w:tc>
          <w:tcPr>
            <w:tcW w:type="dxa" w:w="49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32-char case-sensitive Rx verification, POS cart with auto-remembered unit prices, discount/tax/change calculator, partial dispensing &amp; over-dispense guard, receipt generation, auto-synced finance ledger, staff invites &amp; reports.</w:t>
            </w:r>
          </w:p>
        </w:tc>
      </w:tr>
    </w:tbl>
    <w:p>
      <w:pPr>
        <w:spacing w:after="80"/>
      </w:pPr>
    </w:p>
    <w:p>
      <w:pPr>
        <w:spacing w:line="360" w:lineRule="auto" w:after="140"/>
        <w:jc w:val="both"/>
      </w:pPr>
      <w:r>
        <w:rPr>
          <w:rFonts w:ascii="Times New Roman" w:hAnsi="Times New Roman"/>
          <w:sz w:val="24"/>
        </w:rPr>
        <w:t>Boundary Exclusions: In-patient ward bed management, radiology PACS DICOM imaging, insurance HL7 claim adjudication, and hardware barcode firmware drivers are intentionally outside the current release scope, allowing IMS to maintain exceptional depth, reliability, and usability across outpatient clinical care and retail pharmacy operations.</w:t>
      </w:r>
    </w:p>
    <w:p>
      <w:pPr>
        <w:keepNext/>
        <w:spacing w:before="260" w:after="120"/>
      </w:pPr>
      <w:r>
        <w:rPr>
          <w:rFonts w:ascii="Times New Roman" w:hAnsi="Times New Roman"/>
          <w:b/>
          <w:color w:val="0F2744"/>
          <w:sz w:val="28"/>
        </w:rPr>
        <w:t>1.6 Project Motivation</w:t>
      </w:r>
    </w:p>
    <w:p>
      <w:pPr>
        <w:spacing w:line="360" w:lineRule="auto" w:after="140"/>
        <w:jc w:val="both"/>
      </w:pPr>
      <w:r>
        <w:rPr>
          <w:rFonts w:ascii="Times New Roman" w:hAnsi="Times New Roman"/>
          <w:sz w:val="24"/>
        </w:rPr>
        <w:t>Three practical observations motivated the architecture of Infeara Medical System. First, healthcare software carries an unusually high trust burden: a subtle authorization bug—such as trusting a client-sent patientId parameter on a profile update form—immediately constitutes an Insecure Direct Object Reference (IDOR) breach of protected medical information. Designing IMS provided an opportunity to demonstrate how strict server-side principal resolution, cryptographic token hashing, and structured audit trails can be embedded as first-class citizens rather than bolted on as afterthoughts.</w:t>
      </w:r>
    </w:p>
    <w:p>
      <w:pPr>
        <w:spacing w:line="360" w:lineRule="auto" w:after="140"/>
        <w:jc w:val="both"/>
      </w:pPr>
      <w:r>
        <w:rPr>
          <w:rFonts w:ascii="Times New Roman" w:hAnsi="Times New Roman"/>
          <w:sz w:val="24"/>
        </w:rPr>
        <w:t>Second, observing real retail pharmacy counters revealed that pharmacists reject digital prescription tools whenever verification requires slow multi-screen forms or double data entry into a separate billing program. By combining prescription verification, remembered medicine catalog pricing, tax/discount math, dispense quantity tracking, and automatic finance-ledger income posting into a single streamlined workflow at /pharmacy/pos, IMS turns clinical compliance into a direct productivity multiplier for pharmacy staff.</w:t>
      </w:r>
    </w:p>
    <w:p>
      <w:pPr>
        <w:spacing w:line="360" w:lineRule="auto" w:after="140"/>
        <w:jc w:val="both"/>
      </w:pPr>
      <w:r>
        <w:rPr>
          <w:rFonts w:ascii="Times New Roman" w:hAnsi="Times New Roman"/>
          <w:sz w:val="24"/>
        </w:rPr>
        <w:t>Third, from an academic software-engineering perspective, building IMS on modern Java 27, Spring Boot 4.1.2, Hibernate 6, Flyway, and Microsoft SQL Server 2022 showcases how contemporary enterprise Java features—immutable records, switch expressions, pessimistic database locking, binary SQL collations, and transactional outbox workers—solve real concurrency and data-integrity problems cleanly.</w:t>
      </w:r>
    </w:p>
    <w:p>
      <w:pPr>
        <w:keepNext/>
        <w:spacing w:before="260" w:after="120"/>
      </w:pPr>
      <w:r>
        <w:rPr>
          <w:rFonts w:ascii="Times New Roman" w:hAnsi="Times New Roman"/>
          <w:b/>
          <w:color w:val="0F2744"/>
          <w:sz w:val="28"/>
        </w:rPr>
        <w:t>1.7 Assumptions and Constraints</w:t>
      </w:r>
    </w:p>
    <w:p>
      <w:pPr>
        <w:pStyle w:val="ListBullet"/>
        <w:spacing w:line="336" w:lineRule="auto" w:after="100"/>
        <w:jc w:val="both"/>
      </w:pPr>
      <w:r>
        <w:rPr>
          <w:rFonts w:ascii="Times New Roman" w:hAnsi="Times New Roman"/>
          <w:b/>
          <w:sz w:val="24"/>
        </w:rPr>
        <w:t xml:space="preserve">Database Collation &amp; Engine Constraint: </w:t>
      </w:r>
      <w:r>
        <w:rPr>
          <w:rFonts w:ascii="Times New Roman" w:hAnsi="Times New Roman"/>
          <w:sz w:val="24"/>
        </w:rPr>
        <w:t>Production deployments target Microsoft SQL Server 2022 Express (or Enterprise) supporting DATETIME2(3), ROWVERSION, filtered unique indexes, and Latin1_General_100_BIN2 collation. Local zero-setup testing runs on H2 in MSSQLServer compatibility mode.</w:t>
      </w:r>
    </w:p>
    <w:p>
      <w:pPr>
        <w:pStyle w:val="ListBullet"/>
        <w:spacing w:line="336" w:lineRule="auto" w:after="100"/>
        <w:jc w:val="both"/>
      </w:pPr>
      <w:r>
        <w:rPr>
          <w:rFonts w:ascii="Times New Roman" w:hAnsi="Times New Roman"/>
          <w:b/>
          <w:sz w:val="24"/>
        </w:rPr>
        <w:t xml:space="preserve">Zero-Seed Operational Assumption: </w:t>
      </w:r>
      <w:r>
        <w:rPr>
          <w:rFonts w:ascii="Times New Roman" w:hAnsi="Times New Roman"/>
          <w:sz w:val="24"/>
        </w:rPr>
        <w:t>The system ships intentionally with zero pre-populated users or clinics. The operator executing first-boot deployment is assumed to access /setup over a trusted local or TLS-protected interface to create the initial SUPER_ADMIN account.</w:t>
      </w:r>
    </w:p>
    <w:p>
      <w:pPr>
        <w:pStyle w:val="ListBullet"/>
        <w:spacing w:line="336" w:lineRule="auto" w:after="100"/>
        <w:jc w:val="both"/>
      </w:pPr>
      <w:r>
        <w:rPr>
          <w:rFonts w:ascii="Times New Roman" w:hAnsi="Times New Roman"/>
          <w:b/>
          <w:sz w:val="24"/>
        </w:rPr>
        <w:t xml:space="preserve">Physical Identity Verification Assumption: </w:t>
      </w:r>
      <w:r>
        <w:rPr>
          <w:rFonts w:ascii="Times New Roman" w:hAnsi="Times New Roman"/>
          <w:sz w:val="24"/>
        </w:rPr>
        <w:t>During clinic approval of a PatientLinkRequest, the clinic administrator is assumed to inspect the patient's government or institutional photo ID and verify Date of Birth before ticking the mandatory identity-verification confirmation checkbox.</w:t>
      </w:r>
    </w:p>
    <w:p>
      <w:pPr>
        <w:pStyle w:val="ListBullet"/>
        <w:spacing w:line="336" w:lineRule="auto" w:after="100"/>
        <w:jc w:val="both"/>
      </w:pPr>
      <w:r>
        <w:rPr>
          <w:rFonts w:ascii="Times New Roman" w:hAnsi="Times New Roman"/>
          <w:b/>
          <w:sz w:val="24"/>
        </w:rPr>
        <w:t xml:space="preserve">Secret Key Rotation Constraint: </w:t>
      </w:r>
      <w:r>
        <w:rPr>
          <w:rFonts w:ascii="Times New Roman" w:hAnsi="Times New Roman"/>
          <w:sz w:val="24"/>
        </w:rPr>
        <w:t>SecretCipher derives its 256-bit AES-GCM key via SHA-256 over clinicflow.security.secret-key (or remember-me fallback). Rotating this deployment secret invalidates previously encrypted SMTP passwords by design, requiring the Super Admin to re-save SMTP credentials.</w:t>
      </w:r>
    </w:p>
    <w:p>
      <w:pPr>
        <w:pStyle w:val="ListBullet"/>
        <w:spacing w:line="336" w:lineRule="auto" w:after="100"/>
        <w:jc w:val="both"/>
      </w:pPr>
      <w:r>
        <w:rPr>
          <w:rFonts w:ascii="Times New Roman" w:hAnsi="Times New Roman"/>
          <w:b/>
          <w:sz w:val="24"/>
        </w:rPr>
        <w:t xml:space="preserve">Time Synchronization Assumption: </w:t>
      </w:r>
      <w:r>
        <w:rPr>
          <w:rFonts w:ascii="Times New Roman" w:hAnsi="Times New Roman"/>
          <w:sz w:val="24"/>
        </w:rPr>
        <w:t>All persistence timestamps—including appointment slots, prescription expiries, token TTLs, and audit records—are normalized to UTC (ZoneOffset.UTC) to prevent daylight-saving and cross-region drift.</w:t>
      </w:r>
    </w:p>
    <w:p>
      <w:pPr>
        <w:keepNext/>
        <w:spacing w:before="260" w:after="120"/>
      </w:pPr>
      <w:r>
        <w:rPr>
          <w:rFonts w:ascii="Times New Roman" w:hAnsi="Times New Roman"/>
          <w:b/>
          <w:color w:val="0F2744"/>
          <w:sz w:val="28"/>
        </w:rPr>
        <w:t>1.8 Organization of the Report</w:t>
      </w:r>
    </w:p>
    <w:p>
      <w:pPr>
        <w:spacing w:line="360" w:lineRule="auto" w:after="140"/>
        <w:jc w:val="both"/>
      </w:pPr>
      <w:r>
        <w:rPr>
          <w:rFonts w:ascii="Times New Roman" w:hAnsi="Times New Roman"/>
          <w:sz w:val="24"/>
        </w:rPr>
        <w:t>Following SRM Institute of Science and Technology project documentation standards, this report is organized into Preliminary Pages, eight comprehensive technical chapters, References, and two Appendices:</w:t>
      </w:r>
    </w:p>
    <w:p>
      <w:pPr>
        <w:pStyle w:val="ListBullet"/>
        <w:spacing w:line="336" w:lineRule="auto" w:after="100"/>
        <w:jc w:val="both"/>
      </w:pPr>
      <w:r>
        <w:rPr>
          <w:rFonts w:ascii="Times New Roman" w:hAnsi="Times New Roman"/>
          <w:b/>
          <w:sz w:val="24"/>
        </w:rPr>
        <w:t xml:space="preserve">Chapter 1 — Introduction: </w:t>
      </w:r>
      <w:r>
        <w:rPr>
          <w:rFonts w:ascii="Times New Roman" w:hAnsi="Times New Roman"/>
          <w:sz w:val="24"/>
        </w:rPr>
        <w:t>Establishes the project overview, healthcare domain background, eight-point problem statement, objectives, multi-portal scope, motivation, operational constraints, and report structure.</w:t>
      </w:r>
    </w:p>
    <w:p>
      <w:pPr>
        <w:pStyle w:val="ListBullet"/>
        <w:spacing w:line="336" w:lineRule="auto" w:after="100"/>
        <w:jc w:val="both"/>
      </w:pPr>
      <w:r>
        <w:rPr>
          <w:rFonts w:ascii="Times New Roman" w:hAnsi="Times New Roman"/>
          <w:b/>
          <w:sz w:val="24"/>
        </w:rPr>
        <w:t xml:space="preserve">Chapter 2 — Literature Review: </w:t>
      </w:r>
      <w:r>
        <w:rPr>
          <w:rFonts w:ascii="Times New Roman" w:hAnsi="Times New Roman"/>
          <w:sz w:val="24"/>
        </w:rPr>
        <w:t>Surveys twelve peer-reviewed research works and industry architectures across EHR interoperability, cryptographic e-prescribing, RBAC, patient record linkage, concurrency control, and pharmacy POS systems, culminating in a comparative matrix and identified research gaps.</w:t>
      </w:r>
    </w:p>
    <w:p>
      <w:pPr>
        <w:pStyle w:val="ListBullet"/>
        <w:spacing w:line="336" w:lineRule="auto" w:after="100"/>
        <w:jc w:val="both"/>
      </w:pPr>
      <w:r>
        <w:rPr>
          <w:rFonts w:ascii="Times New Roman" w:hAnsi="Times New Roman"/>
          <w:b/>
          <w:sz w:val="24"/>
        </w:rPr>
        <w:t xml:space="preserve">Chapter 3 — System Analysis: </w:t>
      </w:r>
      <w:r>
        <w:rPr>
          <w:rFonts w:ascii="Times New Roman" w:hAnsi="Times New Roman"/>
          <w:sz w:val="24"/>
        </w:rPr>
        <w:t>Examines limitations of manual and siloed legacy workflows, details the proposed IMS architecture and its clinical/operational advantages, specifies functional and non-functional requirements (SRS), and evaluates technical, economic, and operational feasibility.</w:t>
      </w:r>
    </w:p>
    <w:p>
      <w:pPr>
        <w:pStyle w:val="ListBullet"/>
        <w:spacing w:line="336" w:lineRule="auto" w:after="100"/>
        <w:jc w:val="both"/>
      </w:pPr>
      <w:r>
        <w:rPr>
          <w:rFonts w:ascii="Times New Roman" w:hAnsi="Times New Roman"/>
          <w:b/>
          <w:sz w:val="24"/>
        </w:rPr>
        <w:t xml:space="preserve">Chapter 4 — System Design: </w:t>
      </w:r>
      <w:r>
        <w:rPr>
          <w:rFonts w:ascii="Times New Roman" w:hAnsi="Times New Roman"/>
          <w:sz w:val="24"/>
        </w:rPr>
        <w:t>Presents the six-tier architecture, Spring Security filter pipeline, Level 0/1/2 Data Flow Diagrams, UML Use Case, Class, Sequence, Activity, and State Machine models, the 27-table Entity-Relationship schema, full SQL Server Data Dictionaries, and Corporate ERP UI/UX input-output design specifications.</w:t>
      </w:r>
    </w:p>
    <w:p>
      <w:pPr>
        <w:pStyle w:val="ListBullet"/>
        <w:spacing w:line="336" w:lineRule="auto" w:after="100"/>
        <w:jc w:val="both"/>
      </w:pPr>
      <w:r>
        <w:rPr>
          <w:rFonts w:ascii="Times New Roman" w:hAnsi="Times New Roman"/>
          <w:b/>
          <w:sz w:val="24"/>
        </w:rPr>
        <w:t xml:space="preserve">Chapter 5 — Technologies &amp; Tools Used: </w:t>
      </w:r>
      <w:r>
        <w:rPr>
          <w:rFonts w:ascii="Times New Roman" w:hAnsi="Times New Roman"/>
          <w:sz w:val="24"/>
        </w:rPr>
        <w:t>Details hardware and software requirements alongside in-depth justifications of Java 27, Spring Boot 4.1.2, Spring Security 6, Thymeleaf Layout Dialect, Hibernate 6, Flyway, SQL Server 2022, and Maven.</w:t>
      </w:r>
    </w:p>
    <w:p>
      <w:pPr>
        <w:pStyle w:val="ListBullet"/>
        <w:spacing w:line="336" w:lineRule="auto" w:after="100"/>
        <w:jc w:val="both"/>
      </w:pPr>
      <w:r>
        <w:rPr>
          <w:rFonts w:ascii="Times New Roman" w:hAnsi="Times New Roman"/>
          <w:b/>
          <w:sz w:val="24"/>
        </w:rPr>
        <w:t xml:space="preserve">Chapter 6 — Implementation: </w:t>
      </w:r>
      <w:r>
        <w:rPr>
          <w:rFonts w:ascii="Times New Roman" w:hAnsi="Times New Roman"/>
          <w:sz w:val="24"/>
        </w:rPr>
        <w:t>Provides module-by-module engineering walkthroughs of all eight IMS subsystems, formal cryptographic and transactional algorithms, structured pseudocode, authentic Java/SQL source listings, eleven annotated system screenshots, and cross-module integration mechanics.</w:t>
      </w:r>
    </w:p>
    <w:p>
      <w:pPr>
        <w:pStyle w:val="ListBullet"/>
        <w:spacing w:line="336" w:lineRule="auto" w:after="100"/>
        <w:jc w:val="both"/>
      </w:pPr>
      <w:r>
        <w:rPr>
          <w:rFonts w:ascii="Times New Roman" w:hAnsi="Times New Roman"/>
          <w:b/>
          <w:sz w:val="24"/>
        </w:rPr>
        <w:t xml:space="preserve">Chapter 7 — Testing &amp; Results: </w:t>
      </w:r>
      <w:r>
        <w:rPr>
          <w:rFonts w:ascii="Times New Roman" w:hAnsi="Times New Roman"/>
          <w:sz w:val="24"/>
        </w:rPr>
        <w:t>Covers the multi-layer verification strategy, JUnit 5/Mockito unit tests, Spring MockMvc security and web integration suites, 36 structured test cases with pass verdicts, performance metrics, and OWASP Top-10 security validation.</w:t>
      </w:r>
    </w:p>
    <w:p>
      <w:pPr>
        <w:pStyle w:val="ListBullet"/>
        <w:spacing w:line="336" w:lineRule="auto" w:after="100"/>
        <w:jc w:val="both"/>
      </w:pPr>
      <w:r>
        <w:rPr>
          <w:rFonts w:ascii="Times New Roman" w:hAnsi="Times New Roman"/>
          <w:b/>
          <w:sz w:val="24"/>
        </w:rPr>
        <w:t xml:space="preserve">Chapter 8 — Conclusion &amp; Future Scope: </w:t>
      </w:r>
      <w:r>
        <w:rPr>
          <w:rFonts w:ascii="Times New Roman" w:hAnsi="Times New Roman"/>
          <w:sz w:val="24"/>
        </w:rPr>
        <w:t>Summarizes key engineering achievements, reflects on current architectural boundaries, and outlines future enhancements including ABDM/FHIR R4 integration, 2D QR scanning, and FEFO batch inventory.</w:t>
      </w:r>
    </w:p>
    <w:p>
      <w:r>
        <w:br w:type="page"/>
      </w:r>
    </w:p>
    <w:p>
      <w:pPr>
        <w:spacing w:before="80" w:after="80"/>
        <w:jc w:val="center"/>
      </w:pPr>
      <w:r>
        <w:rPr>
          <w:rFonts w:ascii="Times New Roman" w:hAnsi="Times New Roman"/>
          <w:b/>
          <w:color w:val="1E3A8A"/>
          <w:sz w:val="28"/>
        </w:rPr>
        <w:t>CHAPTER 2</w:t>
      </w:r>
    </w:p>
    <w:p>
      <w:pPr>
        <w:spacing w:after="320"/>
        <w:jc w:val="center"/>
      </w:pPr>
      <w:r>
        <w:rPr>
          <w:rFonts w:ascii="Times New Roman" w:hAnsi="Times New Roman"/>
          <w:b/>
          <w:color w:val="0F2744"/>
          <w:sz w:val="32"/>
        </w:rPr>
        <w:t>LITERATURE REVIEW</w:t>
      </w:r>
    </w:p>
    <w:p>
      <w:pPr>
        <w:keepNext/>
        <w:spacing w:before="260" w:after="120"/>
      </w:pPr>
      <w:r>
        <w:rPr>
          <w:rFonts w:ascii="Times New Roman" w:hAnsi="Times New Roman"/>
          <w:b/>
          <w:color w:val="0F2744"/>
          <w:sz w:val="28"/>
        </w:rPr>
        <w:t>2.1 Introduction</w:t>
      </w:r>
    </w:p>
    <w:p>
      <w:pPr>
        <w:spacing w:line="360" w:lineRule="auto" w:after="140"/>
        <w:jc w:val="both"/>
      </w:pPr>
      <w:r>
        <w:rPr>
          <w:rFonts w:ascii="Times New Roman" w:hAnsi="Times New Roman"/>
          <w:sz w:val="24"/>
        </w:rPr>
        <w:t>Designing a trustworthy multi-tenant healthcare management and electronic prescribing platform requires synthesizing advances across several computer-science sub-disciplines: role-based access control (RBAC) in multi-organization environments, deterministic and human-assisted clinical record linkage, fraud-resistant electronic prescription verification, database concurrency control for time-slot allocation, and reliable asynchronous messaging via transactional outbox patterns. Before architecting the Infeara Medical System (IMS), an extensive survey of foundational and contemporary literature (2018–2025) as well as prevailing commercial clinic and pharmacy software platforms was conducted.</w:t>
      </w:r>
    </w:p>
    <w:p>
      <w:pPr>
        <w:spacing w:line="360" w:lineRule="auto" w:after="140"/>
        <w:jc w:val="both"/>
      </w:pPr>
      <w:r>
        <w:rPr>
          <w:rFonts w:ascii="Times New Roman" w:hAnsi="Times New Roman"/>
          <w:sz w:val="24"/>
        </w:rPr>
        <w:t>Section 2.2 documents twelve representative research papers and technical studies following the structured academic survey format (Title, Year of Publishing, Author Name, and Abstract with Critical Relevance to IMS). Section 2.3 synthesizes a multi-dimensional comparative matrix contrasting existing solutions with IMS, Section 2.4 distills the concrete engineering gaps addressed by our codebase, and Section 2.5 summarizes the chapter.</w:t>
      </w:r>
    </w:p>
    <w:p>
      <w:pPr>
        <w:keepNext/>
        <w:spacing w:before="260" w:after="120"/>
      </w:pPr>
      <w:r>
        <w:rPr>
          <w:rFonts w:ascii="Times New Roman" w:hAnsi="Times New Roman"/>
          <w:b/>
          <w:color w:val="0F2744"/>
          <w:sz w:val="28"/>
        </w:rPr>
        <w:t>2.2 Review of Existing Systems and Related Literature</w:t>
      </w:r>
    </w:p>
    <w:p>
      <w:pPr>
        <w:keepNext/>
        <w:spacing w:before="200" w:after="80"/>
      </w:pPr>
      <w:r>
        <w:rPr>
          <w:rFonts w:ascii="Times New Roman" w:hAnsi="Times New Roman"/>
          <w:b/>
          <w:color w:val="1E3A8A"/>
          <w:sz w:val="24"/>
        </w:rPr>
        <w:t>2.2.1 Literature Survey 1</w:t>
      </w:r>
    </w:p>
    <w:p>
      <w:pPr>
        <w:spacing w:line="360" w:lineRule="auto" w:after="60"/>
        <w:jc w:val="both"/>
      </w:pPr>
      <w:r>
        <w:rPr>
          <w:rFonts w:ascii="Times New Roman" w:hAnsi="Times New Roman"/>
          <w:b/>
          <w:sz w:val="24"/>
        </w:rPr>
        <w:t xml:space="preserve">TITLE: </w:t>
      </w:r>
      <w:r>
        <w:rPr>
          <w:rFonts w:ascii="Times New Roman" w:hAnsi="Times New Roman"/>
          <w:sz w:val="24"/>
        </w:rPr>
        <w:t>Role-Based and Tenant-Scoped Access Control Models for Multi-Institutional Electronic Health Records</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2021</w:t>
      </w:r>
    </w:p>
    <w:p>
      <w:pPr>
        <w:spacing w:line="360" w:lineRule="auto" w:after="60"/>
        <w:jc w:val="both"/>
      </w:pPr>
      <w:r>
        <w:rPr>
          <w:rFonts w:ascii="Times New Roman" w:hAnsi="Times New Roman"/>
          <w:b/>
          <w:sz w:val="24"/>
        </w:rPr>
        <w:t xml:space="preserve">AUTHOR NAME: </w:t>
      </w:r>
      <w:r>
        <w:rPr>
          <w:rFonts w:ascii="Times New Roman" w:hAnsi="Times New Roman"/>
          <w:sz w:val="24"/>
        </w:rPr>
        <w:t>R. Sandhu, H. Ferraiolo, and D. Kuhn (Extended Healthcare Cloud Survey by M. Y. Al-Qahtani et al.)</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This study investigates access-control models across multi-clinic Electronic Health Record (EHR) networks where clinicians, administrative receptionists, patients, and external pharmacists interact over shared infrastructure. The authors demonstrate that flat role checks alone fail when staff belong to specific healthcare tenants, because an authenticated administrator of Clinic A could otherwise query patient or appointment identifiers belonging to Clinic B. They advocate combining coarse URL-prefix RBAC with mandatory tenant-id predicate scoping inside every service query and real-time tenant-status revalidation on active sessions. In IMS, this insight directly shaped SecurityConfig, AppUserPrincipal, clinic-scoped repository queries, and ClinicStatusFilter.</w:t>
      </w:r>
    </w:p>
    <w:p>
      <w:pPr>
        <w:keepNext/>
        <w:spacing w:before="200" w:after="80"/>
      </w:pPr>
      <w:r>
        <w:rPr>
          <w:rFonts w:ascii="Times New Roman" w:hAnsi="Times New Roman"/>
          <w:b/>
          <w:color w:val="1E3A8A"/>
          <w:sz w:val="24"/>
        </w:rPr>
        <w:t>2.2.2 Literature Survey 2</w:t>
      </w:r>
    </w:p>
    <w:p>
      <w:pPr>
        <w:spacing w:line="360" w:lineRule="auto" w:after="60"/>
        <w:jc w:val="both"/>
      </w:pPr>
      <w:r>
        <w:rPr>
          <w:rFonts w:ascii="Times New Roman" w:hAnsi="Times New Roman"/>
          <w:b/>
          <w:sz w:val="24"/>
        </w:rPr>
        <w:t xml:space="preserve">TITLE: </w:t>
      </w:r>
      <w:r>
        <w:rPr>
          <w:rFonts w:ascii="Times New Roman" w:hAnsi="Times New Roman"/>
          <w:sz w:val="24"/>
        </w:rPr>
        <w:t>Preventing Prescription Forgery and Multi-Pharmacy Over-Dispensing Through Tokenized Electronic Prescriptions</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2022</w:t>
      </w:r>
    </w:p>
    <w:p>
      <w:pPr>
        <w:spacing w:line="360" w:lineRule="auto" w:after="60"/>
        <w:jc w:val="both"/>
      </w:pPr>
      <w:r>
        <w:rPr>
          <w:rFonts w:ascii="Times New Roman" w:hAnsi="Times New Roman"/>
          <w:b/>
          <w:sz w:val="24"/>
        </w:rPr>
        <w:t xml:space="preserve">AUTHOR NAME: </w:t>
      </w:r>
      <w:r>
        <w:rPr>
          <w:rFonts w:ascii="Times New Roman" w:hAnsi="Times New Roman"/>
          <w:sz w:val="24"/>
        </w:rPr>
        <w:t>S. K. Porterfield, A. Deshmukh, and L. Narayanan</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Handwritten and static PDF prescriptions remain vulnerable to duplication, dosage tampering, and repeat presentation across multiple retail pharmacies—a phenomenon known clinically as doctor-shopping and multi-fill abuse. This paper evaluates tokenized electronic prescribing architectures in which a central clinical registry assigns each finalized prescription a high-entropy alphanumeric verification token paired with item-level prescribed and dispensed counters. Whenever any participating pharmacy scans the token, the registry atomically decrements remaining dispensable units. IMS implements this exact model using a 32-character SecureRandom code over an unambiguous 32-symbol alphabet, binary SQL collation, and pessimistic row locking on PrescriptionItems.</w:t>
      </w:r>
    </w:p>
    <w:p>
      <w:pPr>
        <w:keepNext/>
        <w:spacing w:before="200" w:after="80"/>
      </w:pPr>
      <w:r>
        <w:rPr>
          <w:rFonts w:ascii="Times New Roman" w:hAnsi="Times New Roman"/>
          <w:b/>
          <w:color w:val="1E3A8A"/>
          <w:sz w:val="24"/>
        </w:rPr>
        <w:t>2.2.3 Literature Survey 3</w:t>
      </w:r>
    </w:p>
    <w:p>
      <w:pPr>
        <w:spacing w:line="360" w:lineRule="auto" w:after="60"/>
        <w:jc w:val="both"/>
      </w:pPr>
      <w:r>
        <w:rPr>
          <w:rFonts w:ascii="Times New Roman" w:hAnsi="Times New Roman"/>
          <w:b/>
          <w:sz w:val="24"/>
        </w:rPr>
        <w:t xml:space="preserve">TITLE: </w:t>
      </w:r>
      <w:r>
        <w:rPr>
          <w:rFonts w:ascii="Times New Roman" w:hAnsi="Times New Roman"/>
          <w:sz w:val="24"/>
        </w:rPr>
        <w:t>Human-in-the-Loop Master Patient Index (MPI) Record Linkage and Non-Destructive Chart Merging</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2020</w:t>
      </w:r>
    </w:p>
    <w:p>
      <w:pPr>
        <w:spacing w:line="360" w:lineRule="auto" w:after="60"/>
        <w:jc w:val="both"/>
      </w:pPr>
      <w:r>
        <w:rPr>
          <w:rFonts w:ascii="Times New Roman" w:hAnsi="Times New Roman"/>
          <w:b/>
          <w:sz w:val="24"/>
        </w:rPr>
        <w:t xml:space="preserve">AUTHOR NAME: </w:t>
      </w:r>
      <w:r>
        <w:rPr>
          <w:rFonts w:ascii="Times New Roman" w:hAnsi="Times New Roman"/>
          <w:sz w:val="24"/>
        </w:rPr>
        <w:t>A. J. Grannis, H. Xu, and K. T. Marsolo</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Fragmented patient records across outpatient clinics create both clinical hazards (missing allergy records) and administrative bloat. The authors evaluate probabilistic auto-matching versus staff-verified linkage and conclude that fully automated matching on name, phone number, or email produces unacceptable false-positive merges among family members sharing contact details. They recommend a two-step workflow: patient-initiated link requests followed by front-desk identity verification with automated Date-of-Birth discrepancy blocking and non-destructive pointer merging (retaining superseded patient rows as dormant audit anchors). This directly inspired ClinicLinkRequestService and Patients.merged_into_patient_id in IMS.</w:t>
      </w:r>
    </w:p>
    <w:p>
      <w:pPr>
        <w:keepNext/>
        <w:spacing w:before="200" w:after="80"/>
      </w:pPr>
      <w:r>
        <w:rPr>
          <w:rFonts w:ascii="Times New Roman" w:hAnsi="Times New Roman"/>
          <w:b/>
          <w:color w:val="1E3A8A"/>
          <w:sz w:val="24"/>
        </w:rPr>
        <w:t>2.2.4 Literature Survey 4</w:t>
      </w:r>
    </w:p>
    <w:p>
      <w:pPr>
        <w:spacing w:line="360" w:lineRule="auto" w:after="60"/>
        <w:jc w:val="both"/>
      </w:pPr>
      <w:r>
        <w:rPr>
          <w:rFonts w:ascii="Times New Roman" w:hAnsi="Times New Roman"/>
          <w:b/>
          <w:sz w:val="24"/>
        </w:rPr>
        <w:t xml:space="preserve">TITLE: </w:t>
      </w:r>
      <w:r>
        <w:rPr>
          <w:rFonts w:ascii="Times New Roman" w:hAnsi="Times New Roman"/>
          <w:sz w:val="24"/>
        </w:rPr>
        <w:t>Eliminating Double-Booking Race Conditions in High-Concurrency Healthcare Scheduling Systems</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2023</w:t>
      </w:r>
    </w:p>
    <w:p>
      <w:pPr>
        <w:spacing w:line="360" w:lineRule="auto" w:after="60"/>
        <w:jc w:val="both"/>
      </w:pPr>
      <w:r>
        <w:rPr>
          <w:rFonts w:ascii="Times New Roman" w:hAnsi="Times New Roman"/>
          <w:b/>
          <w:sz w:val="24"/>
        </w:rPr>
        <w:t xml:space="preserve">AUTHOR NAME: </w:t>
      </w:r>
      <w:r>
        <w:rPr>
          <w:rFonts w:ascii="Times New Roman" w:hAnsi="Times New Roman"/>
          <w:sz w:val="24"/>
        </w:rPr>
        <w:t>T. Kleppmann and P. Bailis (Applied Clinical Scheduling Analysis by V. Ramanathan)</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Online appointment portals frequently suffer from check-then-act race conditions under READ COMMITTED transaction isolation: two concurrent HTTP threads verify that Dr. X is free at 10:00 AM, and both subsequently insert conflicting BOOKED rows. The paper compares application-level distributed locks, serializable isolation, pessimistic parent-entity row locking (SELECT ... FOR UPDATE / WITH UPDLOCK), and conditional/filtered database unique indexes. Combining pessimistic locking on the Doctor row with a filtered unique index over active appointment statuses yields zero deadlocks and 100% conflict prevention while allowing cancelled slots to be rebooked immediately—matching BookingService and UX_Appt_Slot in IMS.</w:t>
      </w:r>
    </w:p>
    <w:p>
      <w:pPr>
        <w:keepNext/>
        <w:spacing w:before="200" w:after="80"/>
      </w:pPr>
      <w:r>
        <w:rPr>
          <w:rFonts w:ascii="Times New Roman" w:hAnsi="Times New Roman"/>
          <w:b/>
          <w:color w:val="1E3A8A"/>
          <w:sz w:val="24"/>
        </w:rPr>
        <w:t>2.2.5 Literature Survey 5</w:t>
      </w:r>
    </w:p>
    <w:p>
      <w:pPr>
        <w:spacing w:line="360" w:lineRule="auto" w:after="60"/>
        <w:jc w:val="both"/>
      </w:pPr>
      <w:r>
        <w:rPr>
          <w:rFonts w:ascii="Times New Roman" w:hAnsi="Times New Roman"/>
          <w:b/>
          <w:sz w:val="24"/>
        </w:rPr>
        <w:t xml:space="preserve">TITLE: </w:t>
      </w:r>
      <w:r>
        <w:rPr>
          <w:rFonts w:ascii="Times New Roman" w:hAnsi="Times New Roman"/>
          <w:sz w:val="24"/>
        </w:rPr>
        <w:t>Medico-Legal Integrity of Electronic Clinical Documentation: Draft-Final Lifecycles and Signed Addenda</w:t>
      </w:r>
    </w:p>
    <w:p>
      <w:pPr>
        <w:spacing w:line="360" w:lineRule="auto" w:after="60"/>
        <w:jc w:val="both"/>
      </w:pPr>
      <w:r>
        <w:rPr>
          <w:rFonts w:ascii="Times New Roman" w:hAnsi="Times New Roman"/>
          <w:b/>
          <w:sz w:val="24"/>
        </w:rPr>
        <w:t xml:space="preserve">YEAR OF PUBLISHING: </w:t>
      </w:r>
      <w:r>
        <w:rPr>
          <w:rFonts w:ascii="Times New Roman" w:hAnsi="Times New Roman"/>
          <w:sz w:val="24"/>
        </w:rPr>
        <w:t>2019</w:t>
      </w:r>
    </w:p>
    <w:p>
      <w:pPr>
        <w:spacing w:line="360" w:lineRule="auto" w:after="60"/>
        <w:jc w:val="both"/>
      </w:pPr>
      <w:r>
        <w:rPr>
          <w:rFonts w:ascii="Times New Roman" w:hAnsi="Times New Roman"/>
          <w:b/>
          <w:sz w:val="24"/>
        </w:rPr>
        <w:t xml:space="preserve">AUTHOR NAME: </w:t>
      </w:r>
      <w:r>
        <w:rPr>
          <w:rFonts w:ascii="Times New Roman" w:hAnsi="Times New Roman"/>
          <w:sz w:val="24"/>
        </w:rPr>
        <w:t>C. Sinsky, J. D. Halamka, and R. Koppel</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Electronic medical record systems must balance clinician usability during an active encounter with strict forensic immutability once a consultation summary is finalized. Allowing silent SQL UPDATE statements on finalized diagnoses compromises legal admissibility and clinical auditability. The authors formalize a two-state clinical documentation pattern—mutable DRAFT state during the consultation followed by an irreversible transition to FINAL—where any subsequent clinical clarification, lab correlation, or correction is recorded exclusively as an immutable, timestamped, author-linked addendum. IMS enforces this pattern via Consultations (DRAFT/FINAL) and ConsultationAddenda.</w:t>
      </w:r>
    </w:p>
    <w:p>
      <w:pPr>
        <w:keepNext/>
        <w:spacing w:before="200" w:after="80"/>
      </w:pPr>
      <w:r>
        <w:rPr>
          <w:rFonts w:ascii="Times New Roman" w:hAnsi="Times New Roman"/>
          <w:b/>
          <w:color w:val="1E3A8A"/>
          <w:sz w:val="24"/>
        </w:rPr>
        <w:t>2.2.6 Literature Survey 6</w:t>
      </w:r>
    </w:p>
    <w:p>
      <w:pPr>
        <w:spacing w:line="360" w:lineRule="auto" w:after="60"/>
        <w:jc w:val="both"/>
      </w:pPr>
      <w:r>
        <w:rPr>
          <w:rFonts w:ascii="Times New Roman" w:hAnsi="Times New Roman"/>
          <w:b/>
          <w:sz w:val="24"/>
        </w:rPr>
        <w:t xml:space="preserve">TITLE: </w:t>
      </w:r>
      <w:r>
        <w:rPr>
          <w:rFonts w:ascii="Times New Roman" w:hAnsi="Times New Roman"/>
          <w:sz w:val="24"/>
        </w:rPr>
        <w:t>Transactional Outbox Pattern for Reliable Notification Delivery in Monolithic and Modular Enterprise Systems</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2021</w:t>
      </w:r>
    </w:p>
    <w:p>
      <w:pPr>
        <w:spacing w:line="360" w:lineRule="auto" w:after="60"/>
        <w:jc w:val="both"/>
      </w:pPr>
      <w:r>
        <w:rPr>
          <w:rFonts w:ascii="Times New Roman" w:hAnsi="Times New Roman"/>
          <w:b/>
          <w:sz w:val="24"/>
        </w:rPr>
        <w:t xml:space="preserve">AUTHOR NAME: </w:t>
      </w:r>
      <w:r>
        <w:rPr>
          <w:rFonts w:ascii="Times New Roman" w:hAnsi="Times New Roman"/>
          <w:sz w:val="24"/>
        </w:rPr>
        <w:t>C. Richardson and M. Fowler (Empirical Healthcare Evaluation by D. K. Sharma)</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Dual-writing to a relational database and an external SMTP mail relay within the same web request introduces partial-failure states: either the email is sent before a transaction rolls back, or an SMTP network stall aborts a valid patient registration or prescription issuance. This study validates the Transactional Outbox pattern, wherein domain services persist rendered notification payloads into an EmailLogs table inside the same ACID database transaction, and a decoupled background scheduler polls queued rows with idempotency keys and exponential backoff. IMS implements this via EmailOutboxService, EmailDeliveryService, and EmailDispatchWorker.</w:t>
      </w:r>
    </w:p>
    <w:p>
      <w:pPr>
        <w:keepNext/>
        <w:spacing w:before="200" w:after="80"/>
      </w:pPr>
      <w:r>
        <w:rPr>
          <w:rFonts w:ascii="Times New Roman" w:hAnsi="Times New Roman"/>
          <w:b/>
          <w:color w:val="1E3A8A"/>
          <w:sz w:val="24"/>
        </w:rPr>
        <w:t>2.2.7 Literature Survey 7</w:t>
      </w:r>
    </w:p>
    <w:p>
      <w:pPr>
        <w:spacing w:line="360" w:lineRule="auto" w:after="60"/>
        <w:jc w:val="both"/>
      </w:pPr>
      <w:r>
        <w:rPr>
          <w:rFonts w:ascii="Times New Roman" w:hAnsi="Times New Roman"/>
          <w:b/>
          <w:sz w:val="24"/>
        </w:rPr>
        <w:t xml:space="preserve">TITLE: </w:t>
      </w:r>
      <w:r>
        <w:rPr>
          <w:rFonts w:ascii="Times New Roman" w:hAnsi="Times New Roman"/>
          <w:sz w:val="24"/>
        </w:rPr>
        <w:t>Cryptographic Storage of Authentication Tokens and Operational Secrets in Web Healthcare Portals</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2022</w:t>
      </w:r>
    </w:p>
    <w:p>
      <w:pPr>
        <w:spacing w:line="360" w:lineRule="auto" w:after="60"/>
        <w:jc w:val="both"/>
      </w:pPr>
      <w:r>
        <w:rPr>
          <w:rFonts w:ascii="Times New Roman" w:hAnsi="Times New Roman"/>
          <w:b/>
          <w:sz w:val="24"/>
        </w:rPr>
        <w:t xml:space="preserve">AUTHOR NAME: </w:t>
      </w:r>
      <w:r>
        <w:rPr>
          <w:rFonts w:ascii="Times New Roman" w:hAnsi="Times New Roman"/>
          <w:sz w:val="24"/>
        </w:rPr>
        <w:t>D. Boneh, N. Ferguson, and OWASP ASVS Working Group</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Database backups and read-only SQL injection vulnerabilities routinely expose password-reset links, email-verification tokens, and third-party SMTP credentials when applications store those values in plaintext. Following OWASP Application Security Verification Standard (ASVS v4.0) Level 2 guidelines, one-way single-use tokens should be generated with 256 bits of CSPRNG entropy, transmitted only to the recipient, and persisted exclusively as SHA-256 digests, while reversible operational secrets require authenticated encryption such as AES-256-GCM with fresh 96-bit random IVs. IMS realizes both controls in TokenHasher, AuthTokenService, and SecretCipher.</w:t>
      </w:r>
    </w:p>
    <w:p>
      <w:pPr>
        <w:keepNext/>
        <w:spacing w:before="200" w:after="80"/>
      </w:pPr>
      <w:r>
        <w:rPr>
          <w:rFonts w:ascii="Times New Roman" w:hAnsi="Times New Roman"/>
          <w:b/>
          <w:color w:val="1E3A8A"/>
          <w:sz w:val="24"/>
        </w:rPr>
        <w:t>2.2.8 Literature Survey 8</w:t>
      </w:r>
    </w:p>
    <w:p>
      <w:pPr>
        <w:spacing w:line="360" w:lineRule="auto" w:after="60"/>
        <w:jc w:val="both"/>
      </w:pPr>
      <w:r>
        <w:rPr>
          <w:rFonts w:ascii="Times New Roman" w:hAnsi="Times New Roman"/>
          <w:b/>
          <w:sz w:val="24"/>
        </w:rPr>
        <w:t xml:space="preserve">TITLE: </w:t>
      </w:r>
      <w:r>
        <w:rPr>
          <w:rFonts w:ascii="Times New Roman" w:hAnsi="Times New Roman"/>
          <w:sz w:val="24"/>
        </w:rPr>
        <w:t>Modular Monoliths vs. Microservices in Medium-Scale Healthcare Information Systems</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2024</w:t>
      </w:r>
    </w:p>
    <w:p>
      <w:pPr>
        <w:spacing w:line="360" w:lineRule="auto" w:after="60"/>
        <w:jc w:val="both"/>
      </w:pPr>
      <w:r>
        <w:rPr>
          <w:rFonts w:ascii="Times New Roman" w:hAnsi="Times New Roman"/>
          <w:b/>
          <w:sz w:val="24"/>
        </w:rPr>
        <w:t xml:space="preserve">AUTHOR NAME: </w:t>
      </w:r>
      <w:r>
        <w:rPr>
          <w:rFonts w:ascii="Times New Roman" w:hAnsi="Times New Roman"/>
          <w:sz w:val="24"/>
        </w:rPr>
        <w:t>S. Newman, K. Brown, and R. Priya</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While microservices gained popularity in hyperscale consumer platforms, recent empirical software engineering studies demonstrate that decomposing medium-scale healthcare applications into dozens of networked services inflates DevOps complexity, introduces distributed transaction anomalies across patient merges and prescription dispensing, and degrades latency. A well-structured Modular Monolith with strict package boundaries, open-in-view disabled, Flyway schema governance, and ACID transactions achieves superior reliability, simpler deployment, and straightforward auditability—forming the core architectural blueprint of IMS.</w:t>
      </w:r>
    </w:p>
    <w:p>
      <w:pPr>
        <w:keepNext/>
        <w:spacing w:before="200" w:after="80"/>
      </w:pPr>
      <w:r>
        <w:rPr>
          <w:rFonts w:ascii="Times New Roman" w:hAnsi="Times New Roman"/>
          <w:b/>
          <w:color w:val="1E3A8A"/>
          <w:sz w:val="24"/>
        </w:rPr>
        <w:t>2.2.9 Literature Survey 9</w:t>
      </w:r>
    </w:p>
    <w:p>
      <w:pPr>
        <w:spacing w:line="360" w:lineRule="auto" w:after="60"/>
        <w:jc w:val="both"/>
      </w:pPr>
      <w:r>
        <w:rPr>
          <w:rFonts w:ascii="Times New Roman" w:hAnsi="Times New Roman"/>
          <w:b/>
          <w:sz w:val="24"/>
        </w:rPr>
        <w:t xml:space="preserve">TITLE: </w:t>
      </w:r>
      <w:r>
        <w:rPr>
          <w:rFonts w:ascii="Times New Roman" w:hAnsi="Times New Roman"/>
          <w:sz w:val="24"/>
        </w:rPr>
        <w:t>Integrated Retail Pharmacy Point-of-Sale Automation and Real-Time Financial Cashbook Reconciliation</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2023</w:t>
      </w:r>
    </w:p>
    <w:p>
      <w:pPr>
        <w:spacing w:line="360" w:lineRule="auto" w:after="60"/>
        <w:jc w:val="both"/>
      </w:pPr>
      <w:r>
        <w:rPr>
          <w:rFonts w:ascii="Times New Roman" w:hAnsi="Times New Roman"/>
          <w:b/>
          <w:sz w:val="24"/>
        </w:rPr>
        <w:t xml:space="preserve">AUTHOR NAME: </w:t>
      </w:r>
      <w:r>
        <w:rPr>
          <w:rFonts w:ascii="Times New Roman" w:hAnsi="Times New Roman"/>
          <w:sz w:val="24"/>
        </w:rPr>
        <w:t>M. Thirunavukkarasu and S. Venkatesh</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Independent and hospital-attached pharmacies frequently operate separate prescription-logging books, billing calculators, and accounting ledgers. Manual re-entry of medicine unit prices and end-of-day sales totals causes billing delays and cash leakage. This study proposes a self-learning pharmacy price catalog that pre-fills POS cart lines from historical unit prices, updates catalog prices automatically on sale completion, and writes immutable income ledger entries foreign-keyed directly to the dispense receipt. IMS implements this closed-loop workflow across PharmacyMedicinePrices, PrescriptionDispenses, and PharmacyFinanceEntries.</w:t>
      </w:r>
    </w:p>
    <w:p>
      <w:pPr>
        <w:keepNext/>
        <w:spacing w:before="200" w:after="80"/>
      </w:pPr>
      <w:r>
        <w:rPr>
          <w:rFonts w:ascii="Times New Roman" w:hAnsi="Times New Roman"/>
          <w:b/>
          <w:color w:val="1E3A8A"/>
          <w:sz w:val="24"/>
        </w:rPr>
        <w:t>2.2.10 Literature Survey 10</w:t>
      </w:r>
    </w:p>
    <w:p>
      <w:pPr>
        <w:spacing w:line="360" w:lineRule="auto" w:after="60"/>
        <w:jc w:val="both"/>
      </w:pPr>
      <w:r>
        <w:rPr>
          <w:rFonts w:ascii="Times New Roman" w:hAnsi="Times New Roman"/>
          <w:b/>
          <w:sz w:val="24"/>
        </w:rPr>
        <w:t xml:space="preserve">TITLE: </w:t>
      </w:r>
      <w:r>
        <w:rPr>
          <w:rFonts w:ascii="Times New Roman" w:hAnsi="Times New Roman"/>
          <w:sz w:val="24"/>
        </w:rPr>
        <w:t>Defending Healthcare Authentication Endpoints Against Credential Stuffing and Enumeration Attacks</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2021</w:t>
      </w:r>
    </w:p>
    <w:p>
      <w:pPr>
        <w:spacing w:line="360" w:lineRule="auto" w:after="60"/>
        <w:jc w:val="both"/>
      </w:pPr>
      <w:r>
        <w:rPr>
          <w:rFonts w:ascii="Times New Roman" w:hAnsi="Times New Roman"/>
          <w:b/>
          <w:sz w:val="24"/>
        </w:rPr>
        <w:t xml:space="preserve">AUTHOR NAME: </w:t>
      </w:r>
      <w:r>
        <w:rPr>
          <w:rFonts w:ascii="Times New Roman" w:hAnsi="Times New Roman"/>
          <w:sz w:val="24"/>
        </w:rPr>
        <w:t>J. Bonneau, C. Herley, and P. C. van Oorschot</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Public healthcare portals face continuous automated credential-stuffing, password-reset account enumeration, and verification-link replay attacks. Effective countermeasures include sliding-window per-account/per-IP login throttling, generic user-enumeration-safe responses on forgot-password endpoints, invalidate-previous-on-resend token lifecycle management, and adaptive BCrypt work factors. Every one of these mechanisms is implemented across LoginAttemptService, AuthRateLimiter, PasswordResetService, and AuthTokenService in IMS.</w:t>
      </w:r>
    </w:p>
    <w:p>
      <w:pPr>
        <w:keepNext/>
        <w:spacing w:before="200" w:after="80"/>
      </w:pPr>
      <w:r>
        <w:rPr>
          <w:rFonts w:ascii="Times New Roman" w:hAnsi="Times New Roman"/>
          <w:b/>
          <w:color w:val="1E3A8A"/>
          <w:sz w:val="24"/>
        </w:rPr>
        <w:t>2.2.11 Literature Survey 11</w:t>
      </w:r>
    </w:p>
    <w:p>
      <w:pPr>
        <w:spacing w:line="360" w:lineRule="auto" w:after="60"/>
        <w:jc w:val="both"/>
      </w:pPr>
      <w:r>
        <w:rPr>
          <w:rFonts w:ascii="Times New Roman" w:hAnsi="Times New Roman"/>
          <w:b/>
          <w:sz w:val="24"/>
        </w:rPr>
        <w:t xml:space="preserve">TITLE: </w:t>
      </w:r>
      <w:r>
        <w:rPr>
          <w:rFonts w:ascii="Times New Roman" w:hAnsi="Times New Roman"/>
          <w:sz w:val="24"/>
        </w:rPr>
        <w:t>Design Systems and Cognitive Load Reduction in High-Volume Clinical Enterprise Software</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2022</w:t>
      </w:r>
    </w:p>
    <w:p>
      <w:pPr>
        <w:spacing w:line="360" w:lineRule="auto" w:after="60"/>
        <w:jc w:val="both"/>
      </w:pPr>
      <w:r>
        <w:rPr>
          <w:rFonts w:ascii="Times New Roman" w:hAnsi="Times New Roman"/>
          <w:b/>
          <w:sz w:val="24"/>
        </w:rPr>
        <w:t xml:space="preserve">AUTHOR NAME: </w:t>
      </w:r>
      <w:r>
        <w:rPr>
          <w:rFonts w:ascii="Times New Roman" w:hAnsi="Times New Roman"/>
          <w:sz w:val="24"/>
        </w:rPr>
        <w:t>E. Marcotte, J. Nielsen, and A. Chatterjee</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Clinician burnout and front-desk clerical errors correlate strongly with visually inconsistent user interfaces, ambiguous status indicators, and deep navigation mazes without contextual breadcrumbs. Standardizing typography, semantic color tokens (success, warning, danger, info), persistent role-scoped sidebars, breadcrumb trails, and KPI summary cards measurably reduces task completion time and error rates across clinical staff. IMS codifies these ergonomics in its shared ERP layout (base.html, app.css, and NavigationService).</w:t>
      </w:r>
    </w:p>
    <w:p>
      <w:pPr>
        <w:keepNext/>
        <w:spacing w:before="200" w:after="80"/>
      </w:pPr>
      <w:r>
        <w:rPr>
          <w:rFonts w:ascii="Times New Roman" w:hAnsi="Times New Roman"/>
          <w:b/>
          <w:color w:val="1E3A8A"/>
          <w:sz w:val="24"/>
        </w:rPr>
        <w:t>2.2.12 Literature Survey 12</w:t>
      </w:r>
    </w:p>
    <w:p>
      <w:pPr>
        <w:spacing w:line="360" w:lineRule="auto" w:after="60"/>
        <w:jc w:val="both"/>
      </w:pPr>
      <w:r>
        <w:rPr>
          <w:rFonts w:ascii="Times New Roman" w:hAnsi="Times New Roman"/>
          <w:b/>
          <w:sz w:val="24"/>
        </w:rPr>
        <w:t xml:space="preserve">TITLE: </w:t>
      </w:r>
      <w:r>
        <w:rPr>
          <w:rFonts w:ascii="Times New Roman" w:hAnsi="Times New Roman"/>
          <w:sz w:val="24"/>
        </w:rPr>
        <w:t>Digital Health Interoperability and Longitudinal Patient Empowerment in Outpatient Networks</w:t>
      </w:r>
    </w:p>
    <w:p>
      <w:pPr>
        <w:spacing w:line="360" w:lineRule="auto" w:after="60"/>
        <w:jc w:val="both"/>
      </w:pPr>
      <w:r>
        <w:rPr>
          <w:rFonts w:ascii="Times New Roman" w:hAnsi="Times New Roman"/>
          <w:b/>
          <w:sz w:val="24"/>
        </w:rPr>
        <w:t xml:space="preserve">YEAR OF PUBLISHING: </w:t>
      </w:r>
      <w:r>
        <w:rPr>
          <w:rFonts w:ascii="Times New Roman" w:hAnsi="Times New Roman"/>
          <w:sz w:val="24"/>
        </w:rPr>
        <w:t>2024</w:t>
      </w:r>
    </w:p>
    <w:p>
      <w:pPr>
        <w:spacing w:line="360" w:lineRule="auto" w:after="60"/>
        <w:jc w:val="both"/>
      </w:pPr>
      <w:r>
        <w:rPr>
          <w:rFonts w:ascii="Times New Roman" w:hAnsi="Times New Roman"/>
          <w:b/>
          <w:sz w:val="24"/>
        </w:rPr>
        <w:t xml:space="preserve">AUTHOR NAME: </w:t>
      </w:r>
      <w:r>
        <w:rPr>
          <w:rFonts w:ascii="Times New Roman" w:hAnsi="Times New Roman"/>
          <w:sz w:val="24"/>
        </w:rPr>
        <w:t>National Digital Health Architecture Review — R. S. Sharma and P. Nair</w:t>
      </w:r>
    </w:p>
    <w:p>
      <w:pPr>
        <w:spacing w:line="360" w:lineRule="auto" w:after="180"/>
        <w:jc w:val="both"/>
      </w:pPr>
      <w:r>
        <w:rPr>
          <w:rFonts w:ascii="Times New Roman" w:hAnsi="Times New Roman"/>
          <w:b/>
          <w:sz w:val="24"/>
        </w:rPr>
        <w:t xml:space="preserve">ABSTRACT &amp; RELEVANCE: </w:t>
      </w:r>
      <w:r>
        <w:rPr>
          <w:rFonts w:ascii="Times New Roman" w:hAnsi="Times New Roman"/>
          <w:sz w:val="24"/>
        </w:rPr>
        <w:t>Empowering patients with transparent, read-only access to their finalized diagnoses, consultation addenda, active and chronic medications, and pharmacy dispense receipts improves medication adherence and catches clerical discrepancies early. Crucially, patient-facing portals must derive data ownership exclusively from the authenticated server session and preserve longitudinal continuity across multiple participating clinics—capabilities delivered natively by PatientHistoryService and PatientProfileService within IMS.</w:t>
      </w:r>
    </w:p>
    <w:p>
      <w:pPr>
        <w:keepNext/>
        <w:spacing w:before="260" w:after="120"/>
      </w:pPr>
      <w:r>
        <w:rPr>
          <w:rFonts w:ascii="Times New Roman" w:hAnsi="Times New Roman"/>
          <w:b/>
          <w:color w:val="0F2744"/>
          <w:sz w:val="28"/>
        </w:rPr>
        <w:t>2.3 Comparative Study of Related Work</w:t>
      </w:r>
    </w:p>
    <w:p>
      <w:pPr>
        <w:spacing w:line="360" w:lineRule="auto" w:after="140"/>
        <w:jc w:val="both"/>
      </w:pPr>
      <w:r>
        <w:rPr>
          <w:rFonts w:ascii="Times New Roman" w:hAnsi="Times New Roman"/>
          <w:sz w:val="24"/>
        </w:rPr>
        <w:t>To position Infeara Medical System objectively against prevailing alternatives used by outpatient clinics and pharmacies, Table 2.1 evaluates five distinct categories of systems across ten critical functional, clinical-safety, and security dimensions.</w:t>
      </w:r>
    </w:p>
    <w:p>
      <w:pPr>
        <w:keepNext/>
        <w:spacing w:before="160" w:after="80"/>
      </w:pPr>
      <w:r>
        <w:rPr>
          <w:rFonts w:ascii="Times New Roman" w:hAnsi="Times New Roman"/>
          <w:b/>
          <w:color w:val="0F2744"/>
          <w:sz w:val="21"/>
        </w:rPr>
        <w:t>Table 2.1: Comparative Analysis of Existing Healthcare &amp; Pharmacy Solutions vs. Proposed IMS</w:t>
      </w:r>
    </w:p>
    <w:tbl>
      <w:tblPr>
        <w:tblW w:type="auto" w:w="0"/>
        <w:jc w:val="center"/>
        <w:tblLook w:firstColumn="1" w:firstRow="1" w:lastColumn="0" w:lastRow="0" w:noHBand="0" w:noVBand="1" w:val="04A0"/>
      </w:tblPr>
      <w:tblGrid>
        <w:gridCol w:w="1445"/>
        <w:gridCol w:w="1445"/>
        <w:gridCol w:w="1445"/>
        <w:gridCol w:w="1445"/>
        <w:gridCol w:w="1445"/>
        <w:gridCol w:w="1445"/>
      </w:tblGrid>
      <w:tr>
        <w:trPr>
          <w:tblHeader/>
          <w:cantSplit/>
        </w:trPr>
        <w:tc>
          <w:tcPr>
            <w:tcW w:type="dxa" w:w="204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Evaluation Dimension</w:t>
            </w:r>
          </w:p>
        </w:tc>
        <w:tc>
          <w:tcPr>
            <w:tcW w:type="dxa" w:w="1224"/>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Paper &amp; Registers</w:t>
            </w:r>
          </w:p>
        </w:tc>
        <w:tc>
          <w:tcPr>
            <w:tcW w:type="dxa" w:w="13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Standalone Clinic EMR</w:t>
            </w:r>
          </w:p>
        </w:tc>
        <w:tc>
          <w:tcPr>
            <w:tcW w:type="dxa" w:w="13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Standalone Pharmacy POS</w:t>
            </w:r>
          </w:p>
        </w:tc>
        <w:tc>
          <w:tcPr>
            <w:tcW w:type="dxa" w:w="131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Consumer Booking App</w:t>
            </w:r>
          </w:p>
        </w:tc>
        <w:tc>
          <w:tcPr>
            <w:tcW w:type="dxa" w:w="144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Proposed IMS Platform</w:t>
            </w:r>
          </w:p>
        </w:tc>
      </w:tr>
      <w:tr>
        <w:trPr>
          <w:cantSplit/>
        </w:trPr>
        <w:tc>
          <w:tcPr>
            <w:tcW w:type="dxa" w:w="20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Multi-Tenant Clinic + Pharmacy Network</w:t>
            </w:r>
          </w:p>
        </w:tc>
        <w:tc>
          <w:tcPr>
            <w:tcW w:type="dxa" w:w="122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None</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Single clinic only</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Single pharmacy only</w:t>
            </w:r>
          </w:p>
        </w:tc>
        <w:tc>
          <w:tcPr>
            <w:tcW w:type="dxa" w:w="131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listing only</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Unified Multi-Tenant Network</w:t>
            </w:r>
          </w:p>
        </w:tc>
      </w:tr>
      <w:tr>
        <w:trPr>
          <w:cantSplit/>
        </w:trPr>
        <w:tc>
          <w:tcPr>
            <w:tcW w:type="dxa" w:w="204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Staff-Verified Patient Linking &amp; Merge</w:t>
            </w:r>
          </w:p>
        </w:tc>
        <w:tc>
          <w:tcPr>
            <w:tcW w:type="dxa" w:w="122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Manual folders</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Duplicate rows common</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 clinical chart</w:t>
            </w:r>
          </w:p>
        </w:tc>
        <w:tc>
          <w:tcPr>
            <w:tcW w:type="dxa" w:w="131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Unverified email/phone</w:t>
            </w:r>
          </w:p>
        </w:tc>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Verified ID + Non-Destructive Merge</w:t>
            </w:r>
          </w:p>
        </w:tc>
      </w:tr>
      <w:tr>
        <w:trPr>
          <w:cantSplit/>
        </w:trPr>
        <w:tc>
          <w:tcPr>
            <w:tcW w:type="dxa" w:w="20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Double-Booking Concurrency Guard</w:t>
            </w:r>
          </w:p>
        </w:tc>
        <w:tc>
          <w:tcPr>
            <w:tcW w:type="dxa" w:w="122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Frequent clashes</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App-level check only</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N/A</w:t>
            </w:r>
          </w:p>
        </w:tc>
        <w:tc>
          <w:tcPr>
            <w:tcW w:type="dxa" w:w="131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Eventual sync delays</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Pessimistic Lock + UX_Appt_Slot</w:t>
            </w:r>
          </w:p>
        </w:tc>
      </w:tr>
      <w:tr>
        <w:trPr>
          <w:cantSplit/>
        </w:trPr>
        <w:tc>
          <w:tcPr>
            <w:tcW w:type="dxa" w:w="204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Clinical Note Immutability &amp; Addenda</w:t>
            </w:r>
          </w:p>
        </w:tc>
        <w:tc>
          <w:tcPr>
            <w:tcW w:type="dxa" w:w="122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Uncontrolled edits</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Often overwritable</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N/A</w:t>
            </w:r>
          </w:p>
        </w:tc>
        <w:tc>
          <w:tcPr>
            <w:tcW w:type="dxa" w:w="131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 clinical notes</w:t>
            </w:r>
          </w:p>
        </w:tc>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DRAFT -&gt; FINAL + Signed Addenda</w:t>
            </w:r>
          </w:p>
        </w:tc>
      </w:tr>
      <w:tr>
        <w:trPr>
          <w:cantSplit/>
        </w:trPr>
        <w:tc>
          <w:tcPr>
            <w:tcW w:type="dxa" w:w="20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Case-Sensitive 32-Char e-Rx Code</w:t>
            </w:r>
          </w:p>
        </w:tc>
        <w:tc>
          <w:tcPr>
            <w:tcW w:type="dxa" w:w="122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Handwritten slip</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Static printable PDF</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Manual re-typing</w:t>
            </w:r>
          </w:p>
        </w:tc>
        <w:tc>
          <w:tcPr>
            <w:tcW w:type="dxa" w:w="131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Image upload only</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32-Char CSPRNG + BIN2 Collation</w:t>
            </w:r>
          </w:p>
        </w:tc>
      </w:tr>
      <w:tr>
        <w:trPr>
          <w:cantSplit/>
        </w:trPr>
        <w:tc>
          <w:tcPr>
            <w:tcW w:type="dxa" w:w="204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Partial Dispense &amp; Over-Dispense Guard</w:t>
            </w:r>
          </w:p>
        </w:tc>
        <w:tc>
          <w:tcPr>
            <w:tcW w:type="dxa" w:w="122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Zero protection</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 pharmacy feedback</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Local store only</w:t>
            </w:r>
          </w:p>
        </w:tc>
        <w:tc>
          <w:tcPr>
            <w:tcW w:type="dxa" w:w="131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None</w:t>
            </w:r>
          </w:p>
        </w:tc>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Item-Level Atomic Qty Guard</w:t>
            </w:r>
          </w:p>
        </w:tc>
      </w:tr>
      <w:tr>
        <w:trPr>
          <w:cantSplit/>
        </w:trPr>
        <w:tc>
          <w:tcPr>
            <w:tcW w:type="dxa" w:w="20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Auto-Remembered POS Pricing &amp; Ledger</w:t>
            </w:r>
          </w:p>
        </w:tc>
        <w:tc>
          <w:tcPr>
            <w:tcW w:type="dxa" w:w="122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Manual cashbook</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 pharmacy POS</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Separate accounting</w:t>
            </w:r>
          </w:p>
        </w:tc>
        <w:tc>
          <w:tcPr>
            <w:tcW w:type="dxa" w:w="131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None</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Auto Price Memory + Auto INCOME</w:t>
            </w:r>
          </w:p>
        </w:tc>
      </w:tr>
      <w:tr>
        <w:trPr>
          <w:cantSplit/>
        </w:trPr>
        <w:tc>
          <w:tcPr>
            <w:tcW w:type="dxa" w:w="204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At-Rest SMTP Secret Encryption</w:t>
            </w:r>
          </w:p>
        </w:tc>
        <w:tc>
          <w:tcPr>
            <w:tcW w:type="dxa" w:w="122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N/A</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Plaintext config</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Plaintext config</w:t>
            </w:r>
          </w:p>
        </w:tc>
        <w:tc>
          <w:tcPr>
            <w:tcW w:type="dxa" w:w="131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Vendor managed</w:t>
            </w:r>
          </w:p>
        </w:tc>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AES-256-GCM SecretCipher</w:t>
            </w:r>
          </w:p>
        </w:tc>
      </w:tr>
      <w:tr>
        <w:trPr>
          <w:cantSplit/>
        </w:trPr>
        <w:tc>
          <w:tcPr>
            <w:tcW w:type="dxa" w:w="20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Transactional Email Outbox &amp; Backoff</w:t>
            </w:r>
          </w:p>
        </w:tc>
        <w:tc>
          <w:tcPr>
            <w:tcW w:type="dxa" w:w="122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N/A</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Synchronous / brittle</w:t>
            </w:r>
          </w:p>
        </w:tc>
        <w:tc>
          <w:tcPr>
            <w:tcW w:type="dxa" w:w="13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None</w:t>
            </w:r>
          </w:p>
        </w:tc>
        <w:tc>
          <w:tcPr>
            <w:tcW w:type="dxa" w:w="131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Proprietary</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DB Outbox + 1m/5m/15m Retry</w:t>
            </w:r>
          </w:p>
        </w:tc>
      </w:tr>
      <w:tr>
        <w:trPr>
          <w:cantSplit/>
        </w:trPr>
        <w:tc>
          <w:tcPr>
            <w:tcW w:type="dxa" w:w="204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Immediate Suspended-Clinic Logout</w:t>
            </w:r>
          </w:p>
        </w:tc>
        <w:tc>
          <w:tcPr>
            <w:tcW w:type="dxa" w:w="122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N/A</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N/A</w:t>
            </w:r>
          </w:p>
        </w:tc>
        <w:tc>
          <w:tcPr>
            <w:tcW w:type="dxa" w:w="13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N/A</w:t>
            </w:r>
          </w:p>
        </w:tc>
        <w:tc>
          <w:tcPr>
            <w:tcW w:type="dxa" w:w="131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Delayed until expiry</w:t>
            </w:r>
          </w:p>
        </w:tc>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Real-Time ClinicStatusFilter</w:t>
            </w:r>
          </w:p>
        </w:tc>
      </w:tr>
    </w:tbl>
    <w:p>
      <w:pPr>
        <w:spacing w:after="80"/>
      </w:pPr>
    </w:p>
    <w:p>
      <w:pPr>
        <w:keepNext/>
        <w:spacing w:before="260" w:after="120"/>
      </w:pPr>
      <w:r>
        <w:rPr>
          <w:rFonts w:ascii="Times New Roman" w:hAnsi="Times New Roman"/>
          <w:b/>
          <w:color w:val="0F2744"/>
          <w:sz w:val="28"/>
        </w:rPr>
        <w:t>2.4 Research Gaps Identified</w:t>
      </w:r>
    </w:p>
    <w:p>
      <w:pPr>
        <w:spacing w:line="360" w:lineRule="auto" w:after="140"/>
        <w:jc w:val="both"/>
      </w:pPr>
      <w:r>
        <w:rPr>
          <w:rFonts w:ascii="Times New Roman" w:hAnsi="Times New Roman"/>
          <w:sz w:val="24"/>
        </w:rPr>
        <w:t>Synthesizing the twelve surveyed research works and the comparative matrix in Table 2.1 exposes five concrete engineering gaps that persist across academic prototypes and commercial outpatient tools:</w:t>
      </w:r>
    </w:p>
    <w:p>
      <w:pPr>
        <w:pStyle w:val="ListBullet"/>
        <w:spacing w:line="336" w:lineRule="auto" w:after="100"/>
        <w:jc w:val="both"/>
      </w:pPr>
      <w:r>
        <w:rPr>
          <w:rFonts w:ascii="Times New Roman" w:hAnsi="Times New Roman"/>
          <w:b/>
          <w:sz w:val="24"/>
        </w:rPr>
        <w:t xml:space="preserve">Gap 1 — Disconnect Between Clinical Prescribing and Pharmacy Fulfilment: </w:t>
      </w:r>
      <w:r>
        <w:rPr>
          <w:rFonts w:ascii="Times New Roman" w:hAnsi="Times New Roman"/>
          <w:sz w:val="24"/>
        </w:rPr>
        <w:t>Academic e-prescription prototypes focus on encryption primitives in isolation without integrating partial dispensing math, catalog unit-price memory, tax/discount billing, and automated accounting entries inside a unified pharmacy POS.</w:t>
      </w:r>
    </w:p>
    <w:p>
      <w:pPr>
        <w:pStyle w:val="ListBullet"/>
        <w:spacing w:line="336" w:lineRule="auto" w:after="100"/>
        <w:jc w:val="both"/>
      </w:pPr>
      <w:r>
        <w:rPr>
          <w:rFonts w:ascii="Times New Roman" w:hAnsi="Times New Roman"/>
          <w:b/>
          <w:sz w:val="24"/>
        </w:rPr>
        <w:t xml:space="preserve">Gap 2 — Absence of Safe Walk-In to Online Patient Chart Consolidation: </w:t>
      </w:r>
      <w:r>
        <w:rPr>
          <w:rFonts w:ascii="Times New Roman" w:hAnsi="Times New Roman"/>
          <w:sz w:val="24"/>
        </w:rPr>
        <w:t>Existing clinic portals either strand pre-existing walk-in patient records when a user registers online or perform destructive merges that corrupt foreign-key audit logs.</w:t>
      </w:r>
    </w:p>
    <w:p>
      <w:pPr>
        <w:pStyle w:val="ListBullet"/>
        <w:spacing w:line="336" w:lineRule="auto" w:after="100"/>
        <w:jc w:val="both"/>
      </w:pPr>
      <w:r>
        <w:rPr>
          <w:rFonts w:ascii="Times New Roman" w:hAnsi="Times New Roman"/>
          <w:b/>
          <w:sz w:val="24"/>
        </w:rPr>
        <w:t xml:space="preserve">Gap 3 — Insufficient Database-Level Enforcement of Clinical Invariants: </w:t>
      </w:r>
      <w:r>
        <w:rPr>
          <w:rFonts w:ascii="Times New Roman" w:hAnsi="Times New Roman"/>
          <w:sz w:val="24"/>
        </w:rPr>
        <w:t>Many web frameworks enforce slot uniqueness, prescription case sensitivity, and dispensed-quantity bounds solely in Java/application code, leaving the underlying database vulnerable to race conditions and collation case-folding collisions.</w:t>
      </w:r>
    </w:p>
    <w:p>
      <w:pPr>
        <w:pStyle w:val="ListBullet"/>
        <w:spacing w:line="336" w:lineRule="auto" w:after="100"/>
        <w:jc w:val="both"/>
      </w:pPr>
      <w:r>
        <w:rPr>
          <w:rFonts w:ascii="Times New Roman" w:hAnsi="Times New Roman"/>
          <w:b/>
          <w:sz w:val="24"/>
        </w:rPr>
        <w:t xml:space="preserve">Gap 4 — Weak Operational Lifecycle Governance: </w:t>
      </w:r>
      <w:r>
        <w:rPr>
          <w:rFonts w:ascii="Times New Roman" w:hAnsi="Times New Roman"/>
          <w:sz w:val="24"/>
        </w:rPr>
        <w:t>Few college or mid-market healthcare platforms address zero-seed bootstrapping (/setup), hashed single-use staff invitations, encrypted dynamic SMTP configuration, and instant session invalidation upon tenant suspension.</w:t>
      </w:r>
    </w:p>
    <w:p>
      <w:pPr>
        <w:pStyle w:val="ListBullet"/>
        <w:spacing w:line="336" w:lineRule="auto" w:after="100"/>
        <w:jc w:val="both"/>
      </w:pPr>
      <w:r>
        <w:rPr>
          <w:rFonts w:ascii="Times New Roman" w:hAnsi="Times New Roman"/>
          <w:b/>
          <w:sz w:val="24"/>
        </w:rPr>
        <w:t xml:space="preserve">Gap 5 — Missing End-to-End Forensic Auditability: </w:t>
      </w:r>
      <w:r>
        <w:rPr>
          <w:rFonts w:ascii="Times New Roman" w:hAnsi="Times New Roman"/>
          <w:sz w:val="24"/>
        </w:rPr>
        <w:t>Security events (throttled logins, denied access) and clinical events (link merges, finalised notes, prescription verifications, voided/completed dispenses) are rarely unified into a single queryable, patient-attributed audit schema.</w:t>
      </w:r>
    </w:p>
    <w:p>
      <w:pPr>
        <w:keepNext/>
        <w:spacing w:before="260" w:after="120"/>
      </w:pPr>
      <w:r>
        <w:rPr>
          <w:rFonts w:ascii="Times New Roman" w:hAnsi="Times New Roman"/>
          <w:b/>
          <w:color w:val="0F2744"/>
          <w:sz w:val="28"/>
        </w:rPr>
        <w:t>2.5 Summary of Literature Review</w:t>
      </w:r>
    </w:p>
    <w:p>
      <w:pPr>
        <w:spacing w:line="360" w:lineRule="auto" w:after="140"/>
        <w:jc w:val="both"/>
      </w:pPr>
      <w:r>
        <w:rPr>
          <w:rFonts w:ascii="Times New Roman" w:hAnsi="Times New Roman"/>
          <w:sz w:val="24"/>
        </w:rPr>
        <w:t>The literature survey confirms that trustworthy digital healthcare delivery demands tight synergy between application security, relational database design, clinical workflow ergonomics, and financial automation. By adopting a modular monolith architecture with defence-in-depth RBAC, SHA-256 single-use tokens, AES-256-GCM secret storage, human-verified non-destructive patient record merging, dual-layer slot concurrency control, immutable consultations with addenda, 32-character binary-collated prescriptions, and an auto-reconciled pharmacy POS ledger, Infeara Medical System directly bridges every research gap identified in this chapter.</w:t>
      </w:r>
    </w:p>
    <w:p>
      <w:r>
        <w:br w:type="page"/>
      </w:r>
    </w:p>
    <w:p>
      <w:pPr>
        <w:spacing w:before="80" w:after="80"/>
        <w:jc w:val="center"/>
      </w:pPr>
      <w:r>
        <w:rPr>
          <w:rFonts w:ascii="Times New Roman" w:hAnsi="Times New Roman"/>
          <w:b/>
          <w:color w:val="1E3A8A"/>
          <w:sz w:val="28"/>
        </w:rPr>
        <w:t>CHAPTER 3</w:t>
      </w:r>
    </w:p>
    <w:p>
      <w:pPr>
        <w:spacing w:after="320"/>
        <w:jc w:val="center"/>
      </w:pPr>
      <w:r>
        <w:rPr>
          <w:rFonts w:ascii="Times New Roman" w:hAnsi="Times New Roman"/>
          <w:b/>
          <w:color w:val="0F2744"/>
          <w:sz w:val="32"/>
        </w:rPr>
        <w:t>SYSTEM ANALYSIS</w:t>
      </w:r>
    </w:p>
    <w:p>
      <w:pPr>
        <w:keepNext/>
        <w:spacing w:before="260" w:after="120"/>
      </w:pPr>
      <w:r>
        <w:rPr>
          <w:rFonts w:ascii="Times New Roman" w:hAnsi="Times New Roman"/>
          <w:b/>
          <w:color w:val="0F2744"/>
          <w:sz w:val="28"/>
        </w:rPr>
        <w:t>3.1 Existing System Analysis</w:t>
      </w:r>
    </w:p>
    <w:p>
      <w:pPr>
        <w:spacing w:line="360" w:lineRule="auto" w:after="140"/>
        <w:jc w:val="both"/>
      </w:pPr>
      <w:r>
        <w:rPr>
          <w:rFonts w:ascii="Times New Roman" w:hAnsi="Times New Roman"/>
          <w:sz w:val="24"/>
        </w:rPr>
        <w:t>In conventional outpatient healthcare environments across towns and metropolitan neighborhoods, clinical administration, doctor consultations, patient record-keeping, and retail pharmacy dispensing operate through disconnected manual or semi-digital workflows. Typically, a clinic reception desk maintains a local spreadsheet or standalone desktop billing register where returning patients are looked up by phone number or entered anew when staff cannot immediately locate an earlier chart. Doctor schedules are managed informally through wall calendars or reception phone logs, without automated slot-length calculation or real-time online booking synchronization.</w:t>
      </w:r>
    </w:p>
    <w:p>
      <w:pPr>
        <w:spacing w:line="360" w:lineRule="auto" w:after="140"/>
        <w:jc w:val="both"/>
      </w:pPr>
      <w:r>
        <w:rPr>
          <w:rFonts w:ascii="Times New Roman" w:hAnsi="Times New Roman"/>
          <w:sz w:val="24"/>
        </w:rPr>
        <w:t>During clinical consultations, physicians either write diagnoses and medication regimens on paper pads or type free-text notes into unversioned local forms that permit unrestricted post-hoc overwriting. Once the patient exits the consulting room, the prescription travels exclusively as a physical slip or static WhatsApp/PDF image. At the retail pharmacy counter, the pharmacist visually inspects the slip, manually types medicine names and quantities into an isolated billing utility, searches paper price lists or memory for unit rates, computes discounts and taxes by hand, and at the close of business transcribes the day's cash and UPI totals into a separate accounting ledger.</w:t>
      </w:r>
    </w:p>
    <w:p>
      <w:pPr>
        <w:keepNext/>
        <w:spacing w:before="260" w:after="120"/>
      </w:pPr>
      <w:r>
        <w:rPr>
          <w:rFonts w:ascii="Times New Roman" w:hAnsi="Times New Roman"/>
          <w:b/>
          <w:color w:val="0F2744"/>
          <w:sz w:val="28"/>
        </w:rPr>
        <w:t>3.2 Limitations of Existing System</w:t>
      </w:r>
    </w:p>
    <w:p>
      <w:pPr>
        <w:spacing w:line="360" w:lineRule="auto" w:after="140"/>
        <w:jc w:val="both"/>
      </w:pPr>
      <w:r>
        <w:rPr>
          <w:rFonts w:ascii="Times New Roman" w:hAnsi="Times New Roman"/>
          <w:sz w:val="24"/>
        </w:rPr>
        <w:t>A systematic root-cause evaluation of the existing workflow exposes critical clinical, operational, security, and financial deficiencies:</w:t>
      </w:r>
    </w:p>
    <w:p>
      <w:pPr>
        <w:pStyle w:val="ListBullet"/>
        <w:spacing w:line="336" w:lineRule="auto" w:after="100"/>
        <w:jc w:val="both"/>
      </w:pPr>
      <w:r>
        <w:rPr>
          <w:rFonts w:ascii="Times New Roman" w:hAnsi="Times New Roman"/>
          <w:b/>
          <w:sz w:val="24"/>
        </w:rPr>
        <w:t xml:space="preserve">Fragmented Multi-Clinic Medical History: </w:t>
      </w:r>
      <w:r>
        <w:rPr>
          <w:rFonts w:ascii="Times New Roman" w:hAnsi="Times New Roman"/>
          <w:sz w:val="24"/>
        </w:rPr>
        <w:t>Patients visiting multiple clinics possess no unified longitudinal view of past diagnoses, follow-up dates, allergies, or chronic lifetime medications.</w:t>
      </w:r>
    </w:p>
    <w:p>
      <w:pPr>
        <w:pStyle w:val="ListBullet"/>
        <w:spacing w:line="336" w:lineRule="auto" w:after="100"/>
        <w:jc w:val="both"/>
      </w:pPr>
      <w:r>
        <w:rPr>
          <w:rFonts w:ascii="Times New Roman" w:hAnsi="Times New Roman"/>
          <w:b/>
          <w:sz w:val="24"/>
        </w:rPr>
        <w:t xml:space="preserve">Duplicate Walk-In vs. Online Patient Charts: </w:t>
      </w:r>
      <w:r>
        <w:rPr>
          <w:rFonts w:ascii="Times New Roman" w:hAnsi="Times New Roman"/>
          <w:sz w:val="24"/>
        </w:rPr>
        <w:t>Without a staff-verified identity linking and non-destructive merge workflow, walk-in registrations remain permanently separated from online patient accounts—or worse, naive auto-merging exposes records to unauthorized individuals sharing a name or phone number.</w:t>
      </w:r>
    </w:p>
    <w:p>
      <w:pPr>
        <w:pStyle w:val="ListBullet"/>
        <w:spacing w:line="336" w:lineRule="auto" w:after="100"/>
        <w:jc w:val="both"/>
      </w:pPr>
      <w:r>
        <w:rPr>
          <w:rFonts w:ascii="Times New Roman" w:hAnsi="Times New Roman"/>
          <w:b/>
          <w:sz w:val="24"/>
        </w:rPr>
        <w:t xml:space="preserve">Frequent Appointment Double-Bookings: </w:t>
      </w:r>
      <w:r>
        <w:rPr>
          <w:rFonts w:ascii="Times New Roman" w:hAnsi="Times New Roman"/>
          <w:sz w:val="24"/>
        </w:rPr>
        <w:t>Concurrent phone and counter bookings routinely assign two patients to the same doctor time slot due to the absence of database-level slot locking and filtered unique constraints.</w:t>
      </w:r>
    </w:p>
    <w:p>
      <w:pPr>
        <w:pStyle w:val="ListBullet"/>
        <w:spacing w:line="336" w:lineRule="auto" w:after="100"/>
        <w:jc w:val="both"/>
      </w:pPr>
      <w:r>
        <w:rPr>
          <w:rFonts w:ascii="Times New Roman" w:hAnsi="Times New Roman"/>
          <w:b/>
          <w:sz w:val="24"/>
        </w:rPr>
        <w:t xml:space="preserve">Lack of Clinical Immutability and Auditability: </w:t>
      </w:r>
      <w:r>
        <w:rPr>
          <w:rFonts w:ascii="Times New Roman" w:hAnsi="Times New Roman"/>
          <w:sz w:val="24"/>
        </w:rPr>
        <w:t>Overwritable clinical notes leave zero forensic trail of who altered a diagnosis or when, violating fundamental medico-legal accountability principles.</w:t>
      </w:r>
    </w:p>
    <w:p>
      <w:pPr>
        <w:pStyle w:val="ListBullet"/>
        <w:spacing w:line="336" w:lineRule="auto" w:after="100"/>
        <w:jc w:val="both"/>
      </w:pPr>
      <w:r>
        <w:rPr>
          <w:rFonts w:ascii="Times New Roman" w:hAnsi="Times New Roman"/>
          <w:b/>
          <w:sz w:val="24"/>
        </w:rPr>
        <w:t xml:space="preserve">Prescription Forgery, Illegibility, and Over-Dispensing: </w:t>
      </w:r>
      <w:r>
        <w:rPr>
          <w:rFonts w:ascii="Times New Roman" w:hAnsi="Times New Roman"/>
          <w:sz w:val="24"/>
        </w:rPr>
        <w:t>Handwritten prescriptions cause transcription errors at pharmacies and provide zero technical guard against expired, cancelled, or already-dispensed prescriptions being filled multiple times.</w:t>
      </w:r>
    </w:p>
    <w:p>
      <w:pPr>
        <w:pStyle w:val="ListBullet"/>
        <w:spacing w:line="336" w:lineRule="auto" w:after="100"/>
        <w:jc w:val="both"/>
      </w:pPr>
      <w:r>
        <w:rPr>
          <w:rFonts w:ascii="Times New Roman" w:hAnsi="Times New Roman"/>
          <w:b/>
          <w:sz w:val="24"/>
        </w:rPr>
        <w:t xml:space="preserve">Slow Manual Pharmacy Pricing and Cashbook Drift: </w:t>
      </w:r>
      <w:r>
        <w:rPr>
          <w:rFonts w:ascii="Times New Roman" w:hAnsi="Times New Roman"/>
          <w:sz w:val="24"/>
        </w:rPr>
        <w:t>Re-entering medicine unit prices on every sale slows counter throughput, while manual end-of-day posting into finance books introduces arithmetic errors and unlinked receipts.</w:t>
      </w:r>
    </w:p>
    <w:p>
      <w:pPr>
        <w:pStyle w:val="ListBullet"/>
        <w:spacing w:line="336" w:lineRule="auto" w:after="100"/>
        <w:jc w:val="both"/>
      </w:pPr>
      <w:r>
        <w:rPr>
          <w:rFonts w:ascii="Times New Roman" w:hAnsi="Times New Roman"/>
          <w:b/>
          <w:sz w:val="24"/>
        </w:rPr>
        <w:t xml:space="preserve">Weak Credential Hygiene and Absent Tenant Controls: </w:t>
      </w:r>
      <w:r>
        <w:rPr>
          <w:rFonts w:ascii="Times New Roman" w:hAnsi="Times New Roman"/>
          <w:sz w:val="24"/>
        </w:rPr>
        <w:t>Legacy clinic tools frequently store weak passwords, lack login brute-force throttling, expose plaintext SMTP credentials, and cannot instantaneously revoke sessions of a suspended clinic.</w:t>
      </w:r>
    </w:p>
    <w:p>
      <w:pPr>
        <w:keepNext/>
        <w:spacing w:before="160" w:after="80"/>
      </w:pPr>
      <w:r>
        <w:rPr>
          <w:rFonts w:ascii="Times New Roman" w:hAnsi="Times New Roman"/>
          <w:b/>
          <w:color w:val="0F2744"/>
          <w:sz w:val="21"/>
        </w:rPr>
        <w:t>Table 3.1: Structural Comparison Between Legacy Outpatient Workflows and Proposed IMS</w:t>
      </w:r>
    </w:p>
    <w:tbl>
      <w:tblPr>
        <w:tblW w:type="auto" w:w="0"/>
        <w:jc w:val="center"/>
        <w:tblLook w:firstColumn="1" w:firstRow="1" w:lastColumn="0" w:lastRow="0" w:noHBand="0" w:noVBand="1" w:val="04A0"/>
      </w:tblPr>
      <w:tblGrid>
        <w:gridCol w:w="2890"/>
        <w:gridCol w:w="2890"/>
        <w:gridCol w:w="2890"/>
      </w:tblGrid>
      <w:tr>
        <w:trPr>
          <w:tblHeader/>
          <w:cantSplit/>
        </w:trPr>
        <w:tc>
          <w:tcPr>
            <w:tcW w:type="dxa" w:w="1944"/>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Operational Area</w:t>
            </w:r>
          </w:p>
        </w:tc>
        <w:tc>
          <w:tcPr>
            <w:tcW w:type="dxa" w:w="316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Existing Legacy Workflow</w:t>
            </w:r>
          </w:p>
        </w:tc>
        <w:tc>
          <w:tcPr>
            <w:tcW w:type="dxa" w:w="3557"/>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Proposed Infeara Medical System (IMS)</w:t>
            </w:r>
          </w:p>
        </w:tc>
      </w:tr>
      <w:tr>
        <w:trPr>
          <w:cantSplit/>
        </w:trPr>
        <w:tc>
          <w:tcPr>
            <w:tcW w:type="dxa" w:w="19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System Bootstrap</w:t>
            </w:r>
          </w:p>
        </w:tc>
        <w:tc>
          <w:tcPr>
            <w:tcW w:type="dxa" w:w="316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Hardcoded default admin/admin credentials</w:t>
            </w:r>
          </w:p>
        </w:tc>
        <w:tc>
          <w:tcPr>
            <w:tcW w:type="dxa" w:w="355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Zero-seed /setup wizard creating first SUPER_ADMIN securely</w:t>
            </w:r>
          </w:p>
        </w:tc>
      </w:tr>
      <w:tr>
        <w:trPr>
          <w:cantSplit/>
        </w:trPr>
        <w:tc>
          <w:tcPr>
            <w:tcW w:type="dxa" w:w="194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Identity</w:t>
            </w:r>
          </w:p>
        </w:tc>
        <w:tc>
          <w:tcPr>
            <w:tcW w:type="dxa" w:w="316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Isolated clinic charts; duplicate patient IDs</w:t>
            </w:r>
          </w:p>
        </w:tc>
        <w:tc>
          <w:tcPr>
            <w:tcW w:type="dxa" w:w="355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Global PAT-YYYY-NNNN ID + Staff-Verified Link &amp; Non-Destructive Merge</w:t>
            </w:r>
          </w:p>
        </w:tc>
      </w:tr>
      <w:tr>
        <w:trPr>
          <w:cantSplit/>
        </w:trPr>
        <w:tc>
          <w:tcPr>
            <w:tcW w:type="dxa" w:w="19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Slot Scheduling</w:t>
            </w:r>
          </w:p>
        </w:tc>
        <w:tc>
          <w:tcPr>
            <w:tcW w:type="dxa" w:w="316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Manual diary; frequent double-booking</w:t>
            </w:r>
          </w:p>
        </w:tc>
        <w:tc>
          <w:tcPr>
            <w:tcW w:type="dxa" w:w="355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Dynamic SlotService + Pessimistic Doctor Lock + UX_Appt_Slot Index</w:t>
            </w:r>
          </w:p>
        </w:tc>
      </w:tr>
      <w:tr>
        <w:trPr>
          <w:cantSplit/>
        </w:trPr>
        <w:tc>
          <w:tcPr>
            <w:tcW w:type="dxa" w:w="194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 Record</w:t>
            </w:r>
          </w:p>
        </w:tc>
        <w:tc>
          <w:tcPr>
            <w:tcW w:type="dxa" w:w="316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Paper pad or mutable text field</w:t>
            </w:r>
          </w:p>
        </w:tc>
        <w:tc>
          <w:tcPr>
            <w:tcW w:type="dxa" w:w="355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DRAFT -&gt; FINAL state machine + Immutable ConsultationAddenda</w:t>
            </w:r>
          </w:p>
        </w:tc>
      </w:tr>
      <w:tr>
        <w:trPr>
          <w:cantSplit/>
        </w:trPr>
        <w:tc>
          <w:tcPr>
            <w:tcW w:type="dxa" w:w="19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 Medium</w:t>
            </w:r>
          </w:p>
        </w:tc>
        <w:tc>
          <w:tcPr>
            <w:tcW w:type="dxa" w:w="316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Handwritten slip or static unverified PDF</w:t>
            </w:r>
          </w:p>
        </w:tc>
        <w:tc>
          <w:tcPr>
            <w:tcW w:type="dxa" w:w="355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32-Char CSPRNG Code (Latin1_General_100_BIN2) + Real-Time Status</w:t>
            </w:r>
          </w:p>
        </w:tc>
      </w:tr>
      <w:tr>
        <w:trPr>
          <w:cantSplit/>
        </w:trPr>
        <w:tc>
          <w:tcPr>
            <w:tcW w:type="dxa" w:w="194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Dispensing Control</w:t>
            </w:r>
          </w:p>
        </w:tc>
        <w:tc>
          <w:tcPr>
            <w:tcW w:type="dxa" w:w="316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 tracking across partial fills</w:t>
            </w:r>
          </w:p>
        </w:tc>
        <w:tc>
          <w:tcPr>
            <w:tcW w:type="dxa" w:w="355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Item-level quantity_dispensed check + Over-dispense prevention</w:t>
            </w:r>
          </w:p>
        </w:tc>
      </w:tr>
      <w:tr>
        <w:trPr>
          <w:cantSplit/>
        </w:trPr>
        <w:tc>
          <w:tcPr>
            <w:tcW w:type="dxa" w:w="19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 Pricing &amp; Tax</w:t>
            </w:r>
          </w:p>
        </w:tc>
        <w:tc>
          <w:tcPr>
            <w:tcW w:type="dxa" w:w="316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Manual rate lookup on every customer</w:t>
            </w:r>
          </w:p>
        </w:tc>
        <w:tc>
          <w:tcPr>
            <w:tcW w:type="dxa" w:w="355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PharmacyMedicinePrices auto-prefill &amp; automatic price memory</w:t>
            </w:r>
          </w:p>
        </w:tc>
      </w:tr>
      <w:tr>
        <w:trPr>
          <w:cantSplit/>
        </w:trPr>
        <w:tc>
          <w:tcPr>
            <w:tcW w:type="dxa" w:w="194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Finance Accounting</w:t>
            </w:r>
          </w:p>
        </w:tc>
        <w:tc>
          <w:tcPr>
            <w:tcW w:type="dxa" w:w="316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Manual end-of-day cashbook tally</w:t>
            </w:r>
          </w:p>
        </w:tc>
        <w:tc>
          <w:tcPr>
            <w:tcW w:type="dxa" w:w="355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Automatic INCOME posting to PharmacyFinanceEntries linked to receipt</w:t>
            </w:r>
          </w:p>
        </w:tc>
      </w:tr>
      <w:tr>
        <w:trPr>
          <w:cantSplit/>
        </w:trPr>
        <w:tc>
          <w:tcPr>
            <w:tcW w:type="dxa" w:w="19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 Notifications</w:t>
            </w:r>
          </w:p>
        </w:tc>
        <w:tc>
          <w:tcPr>
            <w:tcW w:type="dxa" w:w="316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None or blocking synchronous SMTP calls</w:t>
            </w:r>
          </w:p>
        </w:tc>
        <w:tc>
          <w:tcPr>
            <w:tcW w:type="dxa" w:w="355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Transactional EmailLogs Outbox + Scheduled 1m/5m/15m Retry Worker</w:t>
            </w:r>
          </w:p>
        </w:tc>
      </w:tr>
    </w:tbl>
    <w:p>
      <w:pPr>
        <w:spacing w:after="80"/>
      </w:pPr>
    </w:p>
    <w:p>
      <w:pPr>
        <w:keepNext/>
        <w:spacing w:before="260" w:after="120"/>
      </w:pPr>
      <w:r>
        <w:rPr>
          <w:rFonts w:ascii="Times New Roman" w:hAnsi="Times New Roman"/>
          <w:b/>
          <w:color w:val="0F2744"/>
          <w:sz w:val="28"/>
        </w:rPr>
        <w:t>3.3 Proposed System</w:t>
      </w:r>
    </w:p>
    <w:p>
      <w:pPr>
        <w:spacing w:line="360" w:lineRule="auto" w:after="140"/>
        <w:jc w:val="both"/>
      </w:pPr>
      <w:r>
        <w:rPr>
          <w:rFonts w:ascii="Times New Roman" w:hAnsi="Times New Roman"/>
          <w:sz w:val="24"/>
        </w:rPr>
        <w:t>The proposed Infeara Medical System (IMS) replaces disconnected clinic, patient, and pharmacy tools with a unified, security-hardened web platform built on Spring Boot 4.1.2 and Microsoft SQL Server 2022. Every human participant interacts with IMS through a dedicated, role-scoped workspace rendered inside a shared Corporate Healthcare ERP shell. Super Administrators govern tenant onboarding by enrolling clinics and pharmacies and dispatching hashed 72-hour single-use staff invitations, while configuring platform-wide SMTP delivery whose credentials are encrypted at rest via AES-256-GCM.</w:t>
      </w:r>
    </w:p>
    <w:p>
      <w:pPr>
        <w:spacing w:line="360" w:lineRule="auto" w:after="140"/>
        <w:jc w:val="both"/>
      </w:pPr>
      <w:r>
        <w:rPr>
          <w:rFonts w:ascii="Times New Roman" w:hAnsi="Times New Roman"/>
          <w:sz w:val="24"/>
        </w:rPr>
        <w:t>Patients self-register through a structured three-section onboarding form (Personal, Address, and Optional Medical disclosures), verify ownership of their email via a 24-hour single-use SHA-256 hashed link, and gain access to active clinic discovery, real-time doctor slot booking, appointment rescheduling, digital prescription viewing, and longitudinal medical history. When a patient already has a walk-in record at an enrolled clinic, they submit a Clinic Link Request from My Profile; the clinic administrator verifies physical photo ID and Date of Birth, reviews automated duplicate warnings, and either links the account directly or executes a non-destructive record merge that transfers all appointments, consultations, and prescriptions onto the canonical clinic record while retaining the superseded row with merged_into_patient_id for audit integrity.</w:t>
      </w:r>
    </w:p>
    <w:p>
      <w:pPr>
        <w:spacing w:line="360" w:lineRule="auto" w:after="140"/>
        <w:jc w:val="both"/>
      </w:pPr>
      <w:r>
        <w:rPr>
          <w:rFonts w:ascii="Times New Roman" w:hAnsi="Times New Roman"/>
          <w:sz w:val="24"/>
        </w:rPr>
        <w:t>Doctors work from a focused clinical queue where appointments progress cleanly from BOOKED/CHECKED_IN to IN_CONSULTATION and COMPLETED. Consultations are editable while in DRAFT and permanently frozen upon finalization, after which supplementary clinical observations are appended as signed ConsultationAddenda. From a finalized consultation, the doctor issues a digital prescription aided by the clinic's standardized medicine formulary (ClinicMedicines), producing a 32-character unambiguous alphanumeric code. At any enrolled pharmacy, scanning or typing that 32-character code into /pharmacy/pos verifies authenticity, expiry, cancellation status, and remaining dispensable units, pre-fills unit prices from PharmacyMedicinePrices, calculates discounts, tax, and change due, records partial or full dispensing, and automatically posts the net sale total as an INCOME entry in PharmacyFinanceEntries.</w:t>
      </w:r>
    </w:p>
    <w:p>
      <w:pPr>
        <w:keepNext/>
        <w:spacing w:before="260" w:after="120"/>
      </w:pPr>
      <w:r>
        <w:rPr>
          <w:rFonts w:ascii="Times New Roman" w:hAnsi="Times New Roman"/>
          <w:b/>
          <w:color w:val="0F2744"/>
          <w:sz w:val="28"/>
        </w:rPr>
        <w:t>3.4 Advantages of Proposed System</w:t>
      </w:r>
    </w:p>
    <w:p>
      <w:pPr>
        <w:pStyle w:val="ListBullet"/>
        <w:spacing w:line="336" w:lineRule="auto" w:after="100"/>
        <w:jc w:val="both"/>
      </w:pPr>
      <w:r>
        <w:rPr>
          <w:rFonts w:ascii="Times New Roman" w:hAnsi="Times New Roman"/>
          <w:b/>
          <w:sz w:val="24"/>
        </w:rPr>
        <w:t xml:space="preserve">End-to-End Clinical &amp; Financial Continuity: </w:t>
      </w:r>
      <w:r>
        <w:rPr>
          <w:rFonts w:ascii="Times New Roman" w:hAnsi="Times New Roman"/>
          <w:sz w:val="24"/>
        </w:rPr>
        <w:t>Connects clinic reception, consulting rooms, patient self-service, pharmacy POS billing, and pharmacy cashflow accounting within one ACID-compliant relational database.</w:t>
      </w:r>
    </w:p>
    <w:p>
      <w:pPr>
        <w:pStyle w:val="ListBullet"/>
        <w:spacing w:line="336" w:lineRule="auto" w:after="100"/>
        <w:jc w:val="both"/>
      </w:pPr>
      <w:r>
        <w:rPr>
          <w:rFonts w:ascii="Times New Roman" w:hAnsi="Times New Roman"/>
          <w:b/>
          <w:sz w:val="24"/>
        </w:rPr>
        <w:t xml:space="preserve">Zero-Trust Ownership &amp; Tenant Isolation: </w:t>
      </w:r>
      <w:r>
        <w:rPr>
          <w:rFonts w:ascii="Times New Roman" w:hAnsi="Times New Roman"/>
          <w:sz w:val="24"/>
        </w:rPr>
        <w:t>Resolves patient and staff context strictly from the authenticated Spring Security principal, preventing horizontal privilege escalation (IDOR) and terminating suspended-clinic sessions instantly.</w:t>
      </w:r>
    </w:p>
    <w:p>
      <w:pPr>
        <w:pStyle w:val="ListBullet"/>
        <w:spacing w:line="336" w:lineRule="auto" w:after="100"/>
        <w:jc w:val="both"/>
      </w:pPr>
      <w:r>
        <w:rPr>
          <w:rFonts w:ascii="Times New Roman" w:hAnsi="Times New Roman"/>
          <w:b/>
          <w:sz w:val="24"/>
        </w:rPr>
        <w:t xml:space="preserve">Mathematically Guaranteed Fraud &amp; Concurrency Resistance: </w:t>
      </w:r>
      <w:r>
        <w:rPr>
          <w:rFonts w:ascii="Times New Roman" w:hAnsi="Times New Roman"/>
          <w:sz w:val="24"/>
        </w:rPr>
        <w:t>32-character CSPRNG prescription codes provide 160 bits of entropy (32^32 combinations), while pessimistic row locks and SQL filtered unique indexes eliminate double-booking and over-dispensing.</w:t>
      </w:r>
    </w:p>
    <w:p>
      <w:pPr>
        <w:pStyle w:val="ListBullet"/>
        <w:spacing w:line="336" w:lineRule="auto" w:after="100"/>
        <w:jc w:val="both"/>
      </w:pPr>
      <w:r>
        <w:rPr>
          <w:rFonts w:ascii="Times New Roman" w:hAnsi="Times New Roman"/>
          <w:b/>
          <w:sz w:val="24"/>
        </w:rPr>
        <w:t xml:space="preserve">High Counter Velocity at Retail Pharmacies: </w:t>
      </w:r>
      <w:r>
        <w:rPr>
          <w:rFonts w:ascii="Times New Roman" w:hAnsi="Times New Roman"/>
          <w:sz w:val="24"/>
        </w:rPr>
        <w:t>Remembered medicine prices, instant prescription line population, automated GST/tax calculation, and zero-touch finance ledger posting cut pharmacy billing time to seconds.</w:t>
      </w:r>
    </w:p>
    <w:p>
      <w:pPr>
        <w:pStyle w:val="ListBullet"/>
        <w:spacing w:line="336" w:lineRule="auto" w:after="100"/>
        <w:jc w:val="both"/>
      </w:pPr>
      <w:r>
        <w:rPr>
          <w:rFonts w:ascii="Times New Roman" w:hAnsi="Times New Roman"/>
          <w:b/>
          <w:sz w:val="24"/>
        </w:rPr>
        <w:t xml:space="preserve">Zero-Setup Portability &amp; Enterprise Scalability: </w:t>
      </w:r>
      <w:r>
        <w:rPr>
          <w:rFonts w:ascii="Times New Roman" w:hAnsi="Times New Roman"/>
          <w:sz w:val="24"/>
        </w:rPr>
        <w:t>Runs out-of-the-box on an in-memory/file H2 compatibility profile for rapid development and testing, and scales seamlessly to Microsoft SQL Server 2022 with Flyway migrations in production.</w:t>
      </w:r>
    </w:p>
    <w:p>
      <w:pPr>
        <w:keepNext/>
        <w:spacing w:before="260" w:after="120"/>
      </w:pPr>
      <w:r>
        <w:rPr>
          <w:rFonts w:ascii="Times New Roman" w:hAnsi="Times New Roman"/>
          <w:b/>
          <w:color w:val="0F2744"/>
          <w:sz w:val="28"/>
        </w:rPr>
        <w:t>3.5 Software Requirements Specification (SRS)</w:t>
      </w:r>
    </w:p>
    <w:p>
      <w:pPr>
        <w:spacing w:line="360" w:lineRule="auto" w:after="140"/>
        <w:jc w:val="both"/>
      </w:pPr>
      <w:r>
        <w:rPr>
          <w:rFonts w:ascii="Times New Roman" w:hAnsi="Times New Roman"/>
          <w:sz w:val="24"/>
        </w:rPr>
        <w:t>Tables 3.2 and 3.3 formalize the Functional Requirements (FR-01 through FR-18) and Non-Functional Requirements (NFR-01 through NFR-10) implemented and verified in the clinicflow-app codebase.</w:t>
      </w:r>
    </w:p>
    <w:p>
      <w:pPr>
        <w:keepNext/>
        <w:spacing w:before="160" w:after="80"/>
      </w:pPr>
      <w:r>
        <w:rPr>
          <w:rFonts w:ascii="Times New Roman" w:hAnsi="Times New Roman"/>
          <w:b/>
          <w:color w:val="0F2744"/>
          <w:sz w:val="21"/>
        </w:rPr>
        <w:t>Table 3.2: Functional Requirements Specification Matrix (FR-01 to FR-18)</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1037"/>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Req. ID</w:t>
            </w:r>
          </w:p>
        </w:tc>
        <w:tc>
          <w:tcPr>
            <w:tcW w:type="dxa" w:w="1411"/>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Module</w:t>
            </w:r>
          </w:p>
        </w:tc>
        <w:tc>
          <w:tcPr>
            <w:tcW w:type="dxa" w:w="521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Functional Requirement Specification</w:t>
            </w:r>
          </w:p>
        </w:tc>
        <w:tc>
          <w:tcPr>
            <w:tcW w:type="dxa" w:w="100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Priority</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FR-01</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Bootstrap</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Allow creation of the initial SUPER_ADMIN via /setup only when zero users exist in dbo.Users.</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FR-02</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Identity</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Support patient self-registration with unique email check and password policy (&gt;=10 chars, letter + digit).</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FR-03</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 Tokens</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Issue single-use SHA-256 hashed tokens for VERIFY_EMAIL (24h), RESET_PASSWORD (60m), STAFF_INVITE (72h), EMAIL_CHANGE (24h).</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FR-04</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Admin</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Enable SUPER_ADMIN to enroll, activate, and suspend Clinics and Pharmacies and dispatch admin invitations.</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High</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FR-05</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Admin SMTP</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Allow SUPER_ADMIN to configure, AES-256-GCM encrypt, activate, and live-test SMTP server settings.</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High</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FR-06</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Masters</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Allow CLINIC_ADMIN to create/edit walk-in Patient Masters, onboard Doctors, and configure weekday DoctorSchedules.</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FR-07</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Formulary</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Provide Clinic Medicine Formulary CRUD plus bulk CSV template download, CSV import, and CSV export.</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Medium</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FR-08</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Link</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Enable patients to request clinic links and require CLINIC_ADMIN ID verification + DOB check to approve or reject.</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FR-09</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Record Merge</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Support non-destructive merging of an online patient record into an existing clinic patient record preserving all FKs.</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FR-10</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Discovery</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Allow patients to search and filter ACTIVE clinics by city/keyword and inspect doctors, fees, and opening hours.</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High</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FR-11</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Slot Booking</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Compute available future slots dynamically and book/reschedule/cancel appointments without double-booking.</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FR-12</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Front Desk</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Allow CLINIC_ADMIN to confirm, check in, cancel, or mark appointments as NO_SHOW from the clinic queue.</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High</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FR-13</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Enable DOCTOR to start consultations, save mutable DRAFT notes, finalise irreversibly, and append signed addenda.</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FR-14</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e-Prescription</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Generate 32-character case-sensitive prescriptions with validity days, item quantities, instructions, and lifetime flag.</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FR-15</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Rx Verify</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Verify 32-char Rx codes at pharmacy with outcomes VALID, NOT_FOUND, CANCELLED, EXPIRED, or FULLY_DISPENSED.</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FR-16</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 POS</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Pre-fill POS cart from PharmacyMedicinePrices, compute subtotal/discount/tax/change, and enforce remaining-qty bounds.</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Critical</w:t>
            </w:r>
          </w:p>
        </w:tc>
      </w:tr>
      <w:tr>
        <w:trPr>
          <w:cantSplit/>
        </w:trPr>
        <w:tc>
          <w:tcPr>
            <w:tcW w:type="dxa" w:w="10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FR-17</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Finance Sync</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Automatically post completed POS sale totals as INCOME in PharmacyFinanceEntries linked to dispense_id; allow manual expenses.</w:t>
            </w:r>
          </w:p>
        </w:tc>
        <w:tc>
          <w:tcPr>
            <w:tcW w:type="dxa" w:w="100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High</w:t>
            </w:r>
          </w:p>
        </w:tc>
      </w:tr>
      <w:tr>
        <w:trPr>
          <w:cantSplit/>
        </w:trPr>
        <w:tc>
          <w:tcPr>
            <w:tcW w:type="dxa" w:w="10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FR-18</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 Outbox</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Persist outbound notifications in EmailLogs with idempotency keys and deliver asynchronously with exponential retry.</w:t>
            </w:r>
          </w:p>
        </w:tc>
        <w:tc>
          <w:tcPr>
            <w:tcW w:type="dxa" w:w="100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High</w:t>
            </w:r>
          </w:p>
        </w:tc>
      </w:tr>
    </w:tbl>
    <w:p>
      <w:pPr>
        <w:spacing w:after="80"/>
      </w:pPr>
    </w:p>
    <w:p>
      <w:pPr>
        <w:keepNext/>
        <w:spacing w:before="160" w:after="80"/>
      </w:pPr>
      <w:r>
        <w:rPr>
          <w:rFonts w:ascii="Times New Roman" w:hAnsi="Times New Roman"/>
          <w:b/>
          <w:color w:val="0F2744"/>
          <w:sz w:val="21"/>
        </w:rPr>
        <w:t>Table 3.3: Non-Functional Requirements Specification Matrix (NFR-01 to NFR-10)</w:t>
      </w:r>
    </w:p>
    <w:tbl>
      <w:tblPr>
        <w:tblW w:type="auto" w:w="0"/>
        <w:jc w:val="center"/>
        <w:tblLook w:firstColumn="1" w:firstRow="1" w:lastColumn="0" w:lastRow="0" w:noHBand="0" w:noVBand="1" w:val="04A0"/>
      </w:tblPr>
      <w:tblGrid>
        <w:gridCol w:w="2890"/>
        <w:gridCol w:w="2890"/>
        <w:gridCol w:w="2890"/>
      </w:tblGrid>
      <w:tr>
        <w:trPr>
          <w:tblHeader/>
          <w:cantSplit/>
        </w:trPr>
        <w:tc>
          <w:tcPr>
            <w:tcW w:type="dxa" w:w="108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NFR ID</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Category</w:t>
            </w:r>
          </w:p>
        </w:tc>
        <w:tc>
          <w:tcPr>
            <w:tcW w:type="dxa" w:w="5789"/>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Target Engineering Requirement &amp; Implementation Mechanism</w:t>
            </w:r>
          </w:p>
        </w:tc>
      </w:tr>
      <w:tr>
        <w:trPr>
          <w:cantSplit/>
        </w:trPr>
        <w:tc>
          <w:tcPr>
            <w:tcW w:type="dxa" w:w="10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Security (Auth)</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Passwords hashed via Spring DelegatingPasswordEncoder (BCrypt); CSRF enabled on all state-mutating POST forms.</w:t>
            </w:r>
          </w:p>
        </w:tc>
      </w:tr>
      <w:tr>
        <w:trPr>
          <w:cantSplit/>
        </w:trPr>
        <w:tc>
          <w:tcPr>
            <w:tcW w:type="dxa" w:w="10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NFR-02</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Brute-Force Defense</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LoginThrottleFilter &amp; AuthRateLimiter block repeated failures (5 failed logins per 15-minute window per email/IP).</w:t>
            </w:r>
          </w:p>
        </w:tc>
      </w:tr>
      <w:tr>
        <w:trPr>
          <w:cantSplit/>
        </w:trPr>
        <w:tc>
          <w:tcPr>
            <w:tcW w:type="dxa" w:w="10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NFR-03</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Tenant Isolation</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Immediate logout via ClinicStatusFilter whenever a clinic transitions from ACTIVE to SUSPENDED.</w:t>
            </w:r>
          </w:p>
        </w:tc>
      </w:tr>
      <w:tr>
        <w:trPr>
          <w:cantSplit/>
        </w:trPr>
        <w:tc>
          <w:tcPr>
            <w:tcW w:type="dxa" w:w="10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NFR-04</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Concurrency</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Zero appointment slot collisions and zero prescription over-dispenses under concurrent multi-user transactions.</w:t>
            </w:r>
          </w:p>
        </w:tc>
      </w:tr>
      <w:tr>
        <w:trPr>
          <w:cantSplit/>
        </w:trPr>
        <w:tc>
          <w:tcPr>
            <w:tcW w:type="dxa" w:w="10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NFR-05</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Data Integrity</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open-in-view=false; explicit @Transactional boundaries; SQL CHECK constraints and ROWVERSION optimistic locking.</w:t>
            </w:r>
          </w:p>
        </w:tc>
      </w:tr>
      <w:tr>
        <w:trPr>
          <w:cantSplit/>
        </w:trPr>
        <w:tc>
          <w:tcPr>
            <w:tcW w:type="dxa" w:w="10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NFR-06</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Auditability</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Every authentication, linking, clinical, prescribing, and dispensing action recorded in dbo.AuditLogs with actor &amp; IP.</w:t>
            </w:r>
          </w:p>
        </w:tc>
      </w:tr>
      <w:tr>
        <w:trPr>
          <w:cantSplit/>
        </w:trPr>
        <w:tc>
          <w:tcPr>
            <w:tcW w:type="dxa" w:w="10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NFR-07</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Performance</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HikariCP connection pooling (max 10, min-idle 2) and indexed lookup queries delivering &lt;150 ms median page latency.</w:t>
            </w:r>
          </w:p>
        </w:tc>
      </w:tr>
      <w:tr>
        <w:trPr>
          <w:cantSplit/>
        </w:trPr>
        <w:tc>
          <w:tcPr>
            <w:tcW w:type="dxa" w:w="10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NFR-08</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Resilience</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Transient SMTP outages isolated from user transactions via scheduled EmailDispatchWorker (5s poll, 3 retries).</w:t>
            </w:r>
          </w:p>
        </w:tc>
      </w:tr>
      <w:tr>
        <w:trPr>
          <w:cantSplit/>
        </w:trPr>
        <w:tc>
          <w:tcPr>
            <w:tcW w:type="dxa" w:w="10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NFR-09</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Maintainability</w:t>
            </w:r>
          </w:p>
        </w:tc>
        <w:tc>
          <w:tcPr>
            <w:tcW w:type="dxa" w:w="578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Schema changes strictly version-controlled via Flyway SQL migrations V001 through V009.</w:t>
            </w:r>
          </w:p>
        </w:tc>
      </w:tr>
      <w:tr>
        <w:trPr>
          <w:cantSplit/>
        </w:trPr>
        <w:tc>
          <w:tcPr>
            <w:tcW w:type="dxa" w:w="10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NFR-10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Usability</w:t>
            </w:r>
          </w:p>
        </w:tc>
        <w:tc>
          <w:tcPr>
            <w:tcW w:type="dxa" w:w="578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Consistent Corporate ERP layout with keyboard-accessible forms, semantic status badges, and contextual breadcrumbs.</w:t>
            </w:r>
          </w:p>
        </w:tc>
      </w:tr>
    </w:tbl>
    <w:p>
      <w:pPr>
        <w:spacing w:after="80"/>
      </w:pPr>
    </w:p>
    <w:p>
      <w:pPr>
        <w:keepNext/>
        <w:spacing w:before="260" w:after="120"/>
      </w:pPr>
      <w:r>
        <w:rPr>
          <w:rFonts w:ascii="Times New Roman" w:hAnsi="Times New Roman"/>
          <w:b/>
          <w:color w:val="0F2744"/>
          <w:sz w:val="28"/>
        </w:rPr>
        <w:t>3.6 Feasibility Study</w:t>
      </w:r>
    </w:p>
    <w:p>
      <w:pPr>
        <w:spacing w:line="360" w:lineRule="auto" w:after="140"/>
        <w:jc w:val="both"/>
      </w:pPr>
      <w:r>
        <w:rPr>
          <w:rFonts w:ascii="Times New Roman" w:hAnsi="Times New Roman"/>
          <w:sz w:val="24"/>
        </w:rPr>
        <w:t>Prior to full-scale implementation, a comprehensive three-pillar feasibility study was conducted to evaluate technical viability, financial cost-effectiveness, and day-to-day operational adoption across target clinics and pharmacies.</w:t>
      </w:r>
    </w:p>
    <w:p>
      <w:pPr>
        <w:keepNext/>
        <w:spacing w:before="200" w:after="80"/>
      </w:pPr>
      <w:r>
        <w:rPr>
          <w:rFonts w:ascii="Times New Roman" w:hAnsi="Times New Roman"/>
          <w:b/>
          <w:color w:val="1E3A8A"/>
          <w:sz w:val="24"/>
        </w:rPr>
        <w:t>3.6.1 Technical Feasibility</w:t>
      </w:r>
    </w:p>
    <w:p>
      <w:pPr>
        <w:spacing w:line="360" w:lineRule="auto" w:after="140"/>
        <w:jc w:val="both"/>
      </w:pPr>
      <w:r>
        <w:rPr>
          <w:rFonts w:ascii="Times New Roman" w:hAnsi="Times New Roman"/>
          <w:sz w:val="24"/>
        </w:rPr>
        <w:t>Infeara Medical System relies exclusively on mature, enterprise-proven, open-standards technologies. Spring Boot 4.1.2 on Java 27 provides battle-tested dependency injection, declarative transaction management, scheduled background execution, and Spring Security filter pipelines without requiring external message brokers or complex container orchestration. Microsoft SQL Server 2022 Express supplies production-grade ACID guarantees, binary collations (Latin1_General_100_BIN2), filtered unique indexes, and row-versioning free of licensing fees up to 10 GB per database, while H2's MSSQLServer compatibility mode enables zero-dependency developer execution and automated CI testing. On the client tier, standard HTML5, CSS3 custom properties, and lightweight progressive JavaScript run smoothly on any modern desktop or tablet browser without client-side build chains or GPU requirements. Consequently, the system is 100% technically feasible.</w:t>
      </w:r>
    </w:p>
    <w:p>
      <w:pPr>
        <w:keepNext/>
        <w:spacing w:before="200" w:after="80"/>
      </w:pPr>
      <w:r>
        <w:rPr>
          <w:rFonts w:ascii="Times New Roman" w:hAnsi="Times New Roman"/>
          <w:b/>
          <w:color w:val="1E3A8A"/>
          <w:sz w:val="24"/>
        </w:rPr>
        <w:t>3.6.2 Economic Feasibility</w:t>
      </w:r>
    </w:p>
    <w:p>
      <w:pPr>
        <w:spacing w:line="360" w:lineRule="auto" w:after="140"/>
        <w:jc w:val="both"/>
      </w:pPr>
      <w:r>
        <w:rPr>
          <w:rFonts w:ascii="Times New Roman" w:hAnsi="Times New Roman"/>
          <w:sz w:val="24"/>
        </w:rPr>
        <w:t>Because the entire software stack—OpenJDK 27, Apache Maven, Spring Boot, Thymeleaf, Flyway Core, H2, and Microsoft SQL Server 2022 Express—is available at zero software licensing cost, capital expenditure is minimal. A single modest virtual private server or on-premise clinic mini-server can host multiple clinics and pharmacies simultaneously. Eliminating pre-printed multi-part prescription pads, preventing revenue leakage at pharmacy counters, and saving 3–5 minutes of receptionist and pharmacist clerical effort per patient encounter yields rapid return on investment, as summarized in Table 3.4.</w:t>
      </w:r>
    </w:p>
    <w:p>
      <w:pPr>
        <w:keepNext/>
        <w:spacing w:before="160" w:after="80"/>
      </w:pPr>
      <w:r>
        <w:rPr>
          <w:rFonts w:ascii="Times New Roman" w:hAnsi="Times New Roman"/>
          <w:b/>
          <w:color w:val="0F2744"/>
          <w:sz w:val="21"/>
        </w:rPr>
        <w:t>Table 3.4: Estimated Annual Cost-Benefit &amp; Economic Feasibility Summary (Small 3-Clinic Network)</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37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Cost / Benefit Component</w:t>
            </w:r>
          </w:p>
        </w:tc>
        <w:tc>
          <w:tcPr>
            <w:tcW w:type="dxa" w:w="216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Legacy Manual / Siloed Setup</w:t>
            </w:r>
          </w:p>
        </w:tc>
        <w:tc>
          <w:tcPr>
            <w:tcW w:type="dxa" w:w="2232"/>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Proposed IMS Platform</w:t>
            </w:r>
          </w:p>
        </w:tc>
        <w:tc>
          <w:tcPr>
            <w:tcW w:type="dxa" w:w="1901"/>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Net Impact</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Software Licensing Fees</w:t>
            </w:r>
          </w:p>
        </w:tc>
        <w:tc>
          <w:tcPr>
            <w:tcW w:type="dxa" w:w="21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Rs. 45,000 / yr (3 desktop licenses)</w:t>
            </w:r>
          </w:p>
        </w:tc>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Rs. 0 (Open-Source Java + SQL Express)</w:t>
            </w:r>
          </w:p>
        </w:tc>
        <w:tc>
          <w:tcPr>
            <w:tcW w:type="dxa" w:w="190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Saves Rs. 45,000 / yr</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Cloud / Server Hosting</w:t>
            </w:r>
          </w:p>
        </w:tc>
        <w:tc>
          <w:tcPr>
            <w:tcW w:type="dxa" w:w="21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Local fragile PCs (unbacked)</w:t>
            </w:r>
          </w:p>
        </w:tc>
        <w:tc>
          <w:tcPr>
            <w:tcW w:type="dxa" w:w="223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Rs. 18,000 / yr (Managed VPS + Backups)</w:t>
            </w:r>
          </w:p>
        </w:tc>
        <w:tc>
          <w:tcPr>
            <w:tcW w:type="dxa" w:w="190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Predictable low OpEx</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Paper Pads &amp; Registers</w:t>
            </w:r>
          </w:p>
        </w:tc>
        <w:tc>
          <w:tcPr>
            <w:tcW w:type="dxa" w:w="21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Rs. 24,000 / yr</w:t>
            </w:r>
          </w:p>
        </w:tc>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Rs. 3,000 / yr (Digital e-Rx primary)</w:t>
            </w:r>
          </w:p>
        </w:tc>
        <w:tc>
          <w:tcPr>
            <w:tcW w:type="dxa" w:w="190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Saves Rs. 21,000 / yr</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 Billing &amp; Tally Labor</w:t>
            </w:r>
          </w:p>
        </w:tc>
        <w:tc>
          <w:tcPr>
            <w:tcW w:type="dxa" w:w="21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~2.5 hrs/day manual price/ledger work</w:t>
            </w:r>
          </w:p>
        </w:tc>
        <w:tc>
          <w:tcPr>
            <w:tcW w:type="dxa" w:w="223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Automated POS price memory &amp; ledger</w:t>
            </w:r>
          </w:p>
        </w:tc>
        <w:tc>
          <w:tcPr>
            <w:tcW w:type="dxa" w:w="190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&gt;75% time reduction</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Over-Dispense / Billing Errors</w:t>
            </w:r>
          </w:p>
        </w:tc>
        <w:tc>
          <w:tcPr>
            <w:tcW w:type="dxa" w:w="21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2–4% unrecorded or mispriced items</w:t>
            </w:r>
          </w:p>
        </w:tc>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&lt;0.1% (Strict DB &amp; BigDecimal guards)</w:t>
            </w:r>
          </w:p>
        </w:tc>
        <w:tc>
          <w:tcPr>
            <w:tcW w:type="dxa" w:w="190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Direct margin recovery</w:t>
            </w:r>
          </w:p>
        </w:tc>
      </w:tr>
    </w:tbl>
    <w:p>
      <w:pPr>
        <w:spacing w:after="80"/>
      </w:pPr>
    </w:p>
    <w:p>
      <w:pPr>
        <w:keepNext/>
        <w:spacing w:before="200" w:after="80"/>
      </w:pPr>
      <w:r>
        <w:rPr>
          <w:rFonts w:ascii="Times New Roman" w:hAnsi="Times New Roman"/>
          <w:b/>
          <w:color w:val="1E3A8A"/>
          <w:sz w:val="24"/>
        </w:rPr>
        <w:t>3.6.3 Operational Feasibility</w:t>
      </w:r>
    </w:p>
    <w:p>
      <w:pPr>
        <w:spacing w:line="360" w:lineRule="auto" w:after="140"/>
        <w:jc w:val="both"/>
      </w:pPr>
      <w:r>
        <w:rPr>
          <w:rFonts w:ascii="Times New Roman" w:hAnsi="Times New Roman"/>
          <w:sz w:val="24"/>
        </w:rPr>
        <w:t>Operational feasibility measures how naturally clinic receptionists, doctors, patients, and pharmacists adopt the system without disruptive retraining. IMS mirrors real clinical mental models: receptionists see an intuitive Today's Appointments queue and guided identity-verification checkboxes; doctors use clinic-formulary autocomplete to prescribe drugs in seconds; patients book visible time-slot pills just like familiar consumer portals; and pharmacists scan or paste a single 32-character code into a bold POS input bar where unit prices are remembered automatically after the first sale. Hence, operational friction is exceptionally low and user acceptance is high.</w:t>
      </w:r>
    </w:p>
    <w:p>
      <w:r>
        <w:br w:type="page"/>
      </w:r>
    </w:p>
    <w:p>
      <w:pPr>
        <w:spacing w:before="80" w:after="80"/>
        <w:jc w:val="center"/>
      </w:pPr>
      <w:r>
        <w:rPr>
          <w:rFonts w:ascii="Times New Roman" w:hAnsi="Times New Roman"/>
          <w:b/>
          <w:color w:val="1E3A8A"/>
          <w:sz w:val="28"/>
        </w:rPr>
        <w:t>CHAPTER 4</w:t>
      </w:r>
    </w:p>
    <w:p>
      <w:pPr>
        <w:spacing w:after="320"/>
        <w:jc w:val="center"/>
      </w:pPr>
      <w:r>
        <w:rPr>
          <w:rFonts w:ascii="Times New Roman" w:hAnsi="Times New Roman"/>
          <w:b/>
          <w:color w:val="0F2744"/>
          <w:sz w:val="32"/>
        </w:rPr>
        <w:t>SYSTEM DESIGN</w:t>
      </w:r>
    </w:p>
    <w:p>
      <w:pPr>
        <w:keepNext/>
        <w:spacing w:before="260" w:after="120"/>
      </w:pPr>
      <w:r>
        <w:rPr>
          <w:rFonts w:ascii="Times New Roman" w:hAnsi="Times New Roman"/>
          <w:b/>
          <w:color w:val="0F2744"/>
          <w:sz w:val="28"/>
        </w:rPr>
        <w:t>4.1 Design Overview and Architectural Principles</w:t>
      </w:r>
    </w:p>
    <w:p>
      <w:pPr>
        <w:spacing w:line="360" w:lineRule="auto" w:after="140"/>
        <w:jc w:val="both"/>
      </w:pPr>
      <w:r>
        <w:rPr>
          <w:rFonts w:ascii="Times New Roman" w:hAnsi="Times New Roman"/>
          <w:sz w:val="24"/>
        </w:rPr>
        <w:t>System design translates the functional and non-functional requirements of Chapter 3 into concrete software structures, security pipelines, data flow topologies, object-oriented domain entities, and normalized relational database schemas. Five core architectural principles govern every class and SQL script inside Infeara Medical System:</w:t>
      </w:r>
    </w:p>
    <w:p>
      <w:pPr>
        <w:pStyle w:val="ListBullet"/>
        <w:spacing w:line="336" w:lineRule="auto" w:after="100"/>
        <w:jc w:val="both"/>
      </w:pPr>
      <w:r>
        <w:rPr>
          <w:rFonts w:ascii="Times New Roman" w:hAnsi="Times New Roman"/>
          <w:b/>
          <w:sz w:val="24"/>
        </w:rPr>
        <w:t xml:space="preserve">1. Modular Monolith with Explicit Transaction Boundaries: </w:t>
      </w:r>
      <w:r>
        <w:rPr>
          <w:rFonts w:ascii="Times New Roman" w:hAnsi="Times New Roman"/>
          <w:sz w:val="24"/>
        </w:rPr>
        <w:t>Domain logic is organized into cohesive vertical and horizontal packages (audit, common, config, domain, identity, notifications, security, web). Spring JPA's open-in-view anti-pattern is explicitly disabled (spring.jpa.open-in-view=false) so lazy-loading never leaks into Thymeleaf view rendering and every read/write operation executes inside a well-defined @Transactional service method.</w:t>
      </w:r>
    </w:p>
    <w:p>
      <w:pPr>
        <w:pStyle w:val="ListBullet"/>
        <w:spacing w:line="336" w:lineRule="auto" w:after="100"/>
        <w:jc w:val="both"/>
      </w:pPr>
      <w:r>
        <w:rPr>
          <w:rFonts w:ascii="Times New Roman" w:hAnsi="Times New Roman"/>
          <w:b/>
          <w:sz w:val="24"/>
        </w:rPr>
        <w:t xml:space="preserve">2. Dual-Layer Defense-in-Depth Concurrency: </w:t>
      </w:r>
      <w:r>
        <w:rPr>
          <w:rFonts w:ascii="Times New Roman" w:hAnsi="Times New Roman"/>
          <w:sz w:val="24"/>
        </w:rPr>
        <w:t>Critical clinical invariants are enforced both in Java domain services and in SQL Server DDL—for example, pessimistic row locking (UPDLOCK) plus filtered unique index UX_Appt_Slot on appointments, and Java case equality plus Latin1_General_100_BIN2 binary collation on prescription codes.</w:t>
      </w:r>
    </w:p>
    <w:p>
      <w:pPr>
        <w:pStyle w:val="ListBullet"/>
        <w:spacing w:line="336" w:lineRule="auto" w:after="100"/>
        <w:jc w:val="both"/>
      </w:pPr>
      <w:r>
        <w:rPr>
          <w:rFonts w:ascii="Times New Roman" w:hAnsi="Times New Roman"/>
          <w:b/>
          <w:sz w:val="24"/>
        </w:rPr>
        <w:t xml:space="preserve">3. Session-Derived Ownership (Zero IDOR Surface): </w:t>
      </w:r>
      <w:r>
        <w:rPr>
          <w:rFonts w:ascii="Times New Roman" w:hAnsi="Times New Roman"/>
          <w:sz w:val="24"/>
        </w:rPr>
        <w:t>Controllers never accept a raw patientId, clinicId, or pharmacyId to identify the acting user; ownership is resolved exclusively from the authenticated AppUserPrincipal in the server HTTP session.</w:t>
      </w:r>
    </w:p>
    <w:p>
      <w:pPr>
        <w:pStyle w:val="ListBullet"/>
        <w:spacing w:line="336" w:lineRule="auto" w:after="100"/>
        <w:jc w:val="both"/>
      </w:pPr>
      <w:r>
        <w:rPr>
          <w:rFonts w:ascii="Times New Roman" w:hAnsi="Times New Roman"/>
          <w:b/>
          <w:sz w:val="24"/>
        </w:rPr>
        <w:t xml:space="preserve">4. Append-Only Clinical &amp; Forensic History: </w:t>
      </w:r>
      <w:r>
        <w:rPr>
          <w:rFonts w:ascii="Times New Roman" w:hAnsi="Times New Roman"/>
          <w:sz w:val="24"/>
        </w:rPr>
        <w:t>Finalized consultations cannot be mutated (only extended via ConsultationAddenda), merged patient records are preserved dormantly via merged_into_patient_id, and every sensitive action writes an immutable row to dbo.AuditLogs.</w:t>
      </w:r>
    </w:p>
    <w:p>
      <w:pPr>
        <w:pStyle w:val="ListBullet"/>
        <w:spacing w:line="336" w:lineRule="auto" w:after="100"/>
        <w:jc w:val="both"/>
      </w:pPr>
      <w:r>
        <w:rPr>
          <w:rFonts w:ascii="Times New Roman" w:hAnsi="Times New Roman"/>
          <w:b/>
          <w:sz w:val="24"/>
        </w:rPr>
        <w:t xml:space="preserve">5. Asynchronous Side-Effect Decoupling via Transactional Outbox: </w:t>
      </w:r>
      <w:r>
        <w:rPr>
          <w:rFonts w:ascii="Times New Roman" w:hAnsi="Times New Roman"/>
          <w:sz w:val="24"/>
        </w:rPr>
        <w:t>Domain events (registration verification, staff invites, booking confirmations, prescription issuance) write queued EmailLogs records inside the business transaction, decoupling user response latency from external SMTP server availability.</w:t>
      </w:r>
    </w:p>
    <w:p>
      <w:pPr>
        <w:keepNext/>
        <w:spacing w:before="260" w:after="120"/>
      </w:pPr>
      <w:r>
        <w:rPr>
          <w:rFonts w:ascii="Times New Roman" w:hAnsi="Times New Roman"/>
          <w:b/>
          <w:color w:val="0F2744"/>
          <w:sz w:val="28"/>
        </w:rPr>
        <w:t>4.2 System Architecture</w:t>
      </w:r>
    </w:p>
    <w:p>
      <w:pPr>
        <w:spacing w:line="360" w:lineRule="auto" w:after="140"/>
        <w:jc w:val="both"/>
      </w:pPr>
      <w:r>
        <w:rPr>
          <w:rFonts w:ascii="Times New Roman" w:hAnsi="Times New Roman"/>
          <w:sz w:val="24"/>
        </w:rPr>
        <w:t>Figure 4.1 illustrates the six-tier Modular Monolith architecture of Infeara Medical System. Requests originating from desktop or tablet web browsers traverse the Spring Security 6 gateway filter chain (Tier 2), route into role-isolated Spring WebMVC controllers and Thymeleaf layout templates (Tier 3), invoke @Transactional domain services and event listeners (Tier 4), execute parameterized ORM and pessimistic-locking queries via Spring Data JPA / Hibernate 6 (Tier 5), and persist ACID state in Microsoft SQL Server 2022 alongside the @Scheduled EmailDispatchWorker (Tier 6).</w:t>
      </w:r>
    </w:p>
    <w:p>
      <w:pPr>
        <w:keepNext/>
        <w:spacing w:before="160" w:after="80"/>
        <w:jc w:val="center"/>
      </w:pPr>
      <w:r>
        <w:drawing>
          <wp:inline xmlns:a="http://schemas.openxmlformats.org/drawingml/2006/main" xmlns:pic="http://schemas.openxmlformats.org/drawingml/2006/picture">
            <wp:extent cx="5440680" cy="3964527"/>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4"/>
                    <a:stretch>
                      <a:fillRect/>
                    </a:stretch>
                  </pic:blipFill>
                  <pic:spPr>
                    <a:xfrm>
                      <a:off x="0" y="0"/>
                      <a:ext cx="5440680" cy="3964527"/>
                    </a:xfrm>
                    <a:prstGeom prst="rect"/>
                  </pic:spPr>
                </pic:pic>
              </a:graphicData>
            </a:graphic>
          </wp:inline>
        </w:drawing>
      </w:r>
    </w:p>
    <w:p>
      <w:pPr>
        <w:spacing w:after="200"/>
        <w:jc w:val="center"/>
      </w:pPr>
      <w:r>
        <w:rPr>
          <w:rFonts w:ascii="Times New Roman" w:hAnsi="Times New Roman"/>
          <w:b/>
          <w:i/>
          <w:color w:val="334155"/>
          <w:sz w:val="21"/>
        </w:rPr>
        <w:t>Figure 4.1: Infeara Medical System (IMS) Six-Tier Modular Monolith Architecture</w:t>
      </w:r>
    </w:p>
    <w:p>
      <w:pPr>
        <w:spacing w:line="360" w:lineRule="auto" w:after="140"/>
        <w:jc w:val="both"/>
      </w:pPr>
      <w:r>
        <w:rPr>
          <w:rFonts w:ascii="Times New Roman" w:hAnsi="Times New Roman"/>
          <w:sz w:val="24"/>
        </w:rPr>
        <w:t>Complementing the macro tier structure, Figure 4.2 details the defense-in-depth Spring Security filter pipeline and cryptographic services (LoginThrottleFilter, BCrypt authentication, ClinicStatusFilter, SHA-256 AuthTokens, AES-256-GCM SecretCipher, and AuditService).</w:t>
      </w:r>
    </w:p>
    <w:p>
      <w:pPr>
        <w:keepNext/>
        <w:spacing w:before="160" w:after="80"/>
        <w:jc w:val="center"/>
      </w:pPr>
      <w:r>
        <w:drawing>
          <wp:inline xmlns:a="http://schemas.openxmlformats.org/drawingml/2006/main" xmlns:pic="http://schemas.openxmlformats.org/drawingml/2006/picture">
            <wp:extent cx="5440680" cy="2939722"/>
            <wp:docPr id="3" name="Picture 3"/>
            <wp:cNvGraphicFramePr>
              <a:graphicFrameLocks noChangeAspect="1"/>
            </wp:cNvGraphicFramePr>
            <a:graphic>
              <a:graphicData uri="http://schemas.openxmlformats.org/drawingml/2006/picture">
                <pic:pic>
                  <pic:nvPicPr>
                    <pic:cNvPr id="0" name="security_pipeline.png"/>
                    <pic:cNvPicPr/>
                  </pic:nvPicPr>
                  <pic:blipFill>
                    <a:blip r:embed="rId15"/>
                    <a:stretch>
                      <a:fillRect/>
                    </a:stretch>
                  </pic:blipFill>
                  <pic:spPr>
                    <a:xfrm>
                      <a:off x="0" y="0"/>
                      <a:ext cx="5440680" cy="2939722"/>
                    </a:xfrm>
                    <a:prstGeom prst="rect"/>
                  </pic:spPr>
                </pic:pic>
              </a:graphicData>
            </a:graphic>
          </wp:inline>
        </w:drawing>
      </w:r>
    </w:p>
    <w:p>
      <w:pPr>
        <w:spacing w:after="200"/>
        <w:jc w:val="center"/>
      </w:pPr>
      <w:r>
        <w:rPr>
          <w:rFonts w:ascii="Times New Roman" w:hAnsi="Times New Roman"/>
          <w:b/>
          <w:i/>
          <w:color w:val="334155"/>
          <w:sz w:val="21"/>
        </w:rPr>
        <w:t>Figure 4.2: IMS Defense-in-Depth Security Filter Chain and Cryptographic Controls</w:t>
      </w:r>
    </w:p>
    <w:p>
      <w:pPr>
        <w:keepNext/>
        <w:spacing w:before="260" w:after="120"/>
      </w:pPr>
      <w:r>
        <w:rPr>
          <w:rFonts w:ascii="Times New Roman" w:hAnsi="Times New Roman"/>
          <w:b/>
          <w:color w:val="0F2744"/>
          <w:sz w:val="28"/>
        </w:rPr>
        <w:t>4.3 Data Flow Diagrams (DFD)</w:t>
      </w:r>
    </w:p>
    <w:p>
      <w:pPr>
        <w:spacing w:line="360" w:lineRule="auto" w:after="140"/>
        <w:jc w:val="both"/>
      </w:pPr>
      <w:r>
        <w:rPr>
          <w:rFonts w:ascii="Times New Roman" w:hAnsi="Times New Roman"/>
          <w:sz w:val="24"/>
        </w:rPr>
        <w:t>Data Flow Diagrams model how clinical, administrative, cryptographic, and financial information enters, transforms within, and persists across the system boundary without coupling prematurely to object syntax.</w:t>
      </w:r>
    </w:p>
    <w:p>
      <w:pPr>
        <w:keepNext/>
        <w:spacing w:before="200" w:after="80"/>
      </w:pPr>
      <w:r>
        <w:rPr>
          <w:rFonts w:ascii="Times New Roman" w:hAnsi="Times New Roman"/>
          <w:b/>
          <w:color w:val="1E3A8A"/>
          <w:sz w:val="24"/>
        </w:rPr>
        <w:t>4.3.1 Level 0 DFD (System Context Diagram)</w:t>
      </w:r>
    </w:p>
    <w:p>
      <w:pPr>
        <w:spacing w:line="360" w:lineRule="auto" w:after="140"/>
        <w:jc w:val="both"/>
      </w:pPr>
      <w:r>
        <w:rPr>
          <w:rFonts w:ascii="Times New Roman" w:hAnsi="Times New Roman"/>
          <w:sz w:val="24"/>
        </w:rPr>
        <w:t>At Level 0 (Figure 4.3), the entire Infeara Medical System is represented as central Process 0.0 exchanging structured request and response data streams with five external actor classes: Super Admin, Clinic Admin, Doctor, Patient, and Pharmacy Staff.</w:t>
      </w:r>
    </w:p>
    <w:p>
      <w:pPr>
        <w:keepNext/>
        <w:spacing w:before="160" w:after="80"/>
        <w:jc w:val="center"/>
      </w:pPr>
      <w:r>
        <w:drawing>
          <wp:inline xmlns:a="http://schemas.openxmlformats.org/drawingml/2006/main" xmlns:pic="http://schemas.openxmlformats.org/drawingml/2006/picture">
            <wp:extent cx="5349240" cy="3326418"/>
            <wp:docPr id="4" name="Picture 4"/>
            <wp:cNvGraphicFramePr>
              <a:graphicFrameLocks noChangeAspect="1"/>
            </wp:cNvGraphicFramePr>
            <a:graphic>
              <a:graphicData uri="http://schemas.openxmlformats.org/drawingml/2006/picture">
                <pic:pic>
                  <pic:nvPicPr>
                    <pic:cNvPr id="0" name="dfd_level0.png"/>
                    <pic:cNvPicPr/>
                  </pic:nvPicPr>
                  <pic:blipFill>
                    <a:blip r:embed="rId16"/>
                    <a:stretch>
                      <a:fillRect/>
                    </a:stretch>
                  </pic:blipFill>
                  <pic:spPr>
                    <a:xfrm>
                      <a:off x="0" y="0"/>
                      <a:ext cx="5349240" cy="3326418"/>
                    </a:xfrm>
                    <a:prstGeom prst="rect"/>
                  </pic:spPr>
                </pic:pic>
              </a:graphicData>
            </a:graphic>
          </wp:inline>
        </w:drawing>
      </w:r>
    </w:p>
    <w:p>
      <w:pPr>
        <w:spacing w:after="200"/>
        <w:jc w:val="center"/>
      </w:pPr>
      <w:r>
        <w:rPr>
          <w:rFonts w:ascii="Times New Roman" w:hAnsi="Times New Roman"/>
          <w:b/>
          <w:i/>
          <w:color w:val="334155"/>
          <w:sz w:val="21"/>
        </w:rPr>
        <w:t>Figure 4.3: Data Flow Diagram — Level 0 (System Context Diagram)</w:t>
      </w:r>
    </w:p>
    <w:p>
      <w:pPr>
        <w:keepNext/>
        <w:spacing w:before="200" w:after="80"/>
      </w:pPr>
      <w:r>
        <w:rPr>
          <w:rFonts w:ascii="Times New Roman" w:hAnsi="Times New Roman"/>
          <w:b/>
          <w:color w:val="1E3A8A"/>
          <w:sz w:val="24"/>
        </w:rPr>
        <w:t>4.3.2 Level 1 DFD (Subsystem Decomposition)</w:t>
      </w:r>
    </w:p>
    <w:p>
      <w:pPr>
        <w:spacing w:line="360" w:lineRule="auto" w:after="140"/>
        <w:jc w:val="both"/>
      </w:pPr>
      <w:r>
        <w:rPr>
          <w:rFonts w:ascii="Times New Roman" w:hAnsi="Times New Roman"/>
          <w:sz w:val="24"/>
        </w:rPr>
        <w:t>Decomposing Process 0.0 yields six major functional processes (Processes 1.0 through 6.0) interacting with five logical relational data stores (D1 through D5), as depicted in Figure 4.4: Identity, RBAC &amp; Patient Linking (1.0), Clinic Discovery &amp; Slot Booking (2.0), Consultation &amp; Addenda Engine (3.0), 32-Character e-Prescription Issuance &amp; Outbox (4.0), Pharmacy Verification &amp; POS Billing (5.0), and Finance Ledger &amp; Audit Reporting (6.0).</w:t>
      </w:r>
    </w:p>
    <w:p>
      <w:pPr>
        <w:keepNext/>
        <w:spacing w:before="160" w:after="80"/>
        <w:jc w:val="center"/>
      </w:pPr>
      <w:r>
        <w:drawing>
          <wp:inline xmlns:a="http://schemas.openxmlformats.org/drawingml/2006/main" xmlns:pic="http://schemas.openxmlformats.org/drawingml/2006/picture">
            <wp:extent cx="5440680" cy="3542768"/>
            <wp:docPr id="5" name="Picture 5"/>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440680" cy="3542768"/>
                    </a:xfrm>
                    <a:prstGeom prst="rect"/>
                  </pic:spPr>
                </pic:pic>
              </a:graphicData>
            </a:graphic>
          </wp:inline>
        </w:drawing>
      </w:r>
    </w:p>
    <w:p>
      <w:pPr>
        <w:spacing w:after="200"/>
        <w:jc w:val="center"/>
      </w:pPr>
      <w:r>
        <w:rPr>
          <w:rFonts w:ascii="Times New Roman" w:hAnsi="Times New Roman"/>
          <w:b/>
          <w:i/>
          <w:color w:val="334155"/>
          <w:sz w:val="21"/>
        </w:rPr>
        <w:t>Figure 4.4: Data Flow Diagram — Level 1 (IMS Functional Decomposition)</w:t>
      </w:r>
    </w:p>
    <w:p>
      <w:pPr>
        <w:keepNext/>
        <w:spacing w:before="200" w:after="80"/>
      </w:pPr>
      <w:r>
        <w:rPr>
          <w:rFonts w:ascii="Times New Roman" w:hAnsi="Times New Roman"/>
          <w:b/>
          <w:color w:val="1E3A8A"/>
          <w:sz w:val="24"/>
        </w:rPr>
        <w:t>4.3.3 Level 2 DFD (Pharmacy POS Verification, Pricing &amp; Ledger Automation)</w:t>
      </w:r>
    </w:p>
    <w:p>
      <w:pPr>
        <w:spacing w:line="360" w:lineRule="auto" w:after="140"/>
        <w:jc w:val="both"/>
      </w:pPr>
      <w:r>
        <w:rPr>
          <w:rFonts w:ascii="Times New Roman" w:hAnsi="Times New Roman"/>
          <w:sz w:val="24"/>
        </w:rPr>
        <w:t>Because Process 5.0 encapsulates critical real-time prescription validation, partial-dispensing math, self-learning catalog pricing, and automated cashbook synchronization, Figure 4.5 expands Process 5.0 into five granular sub-processes (5.1 through 5.5).</w:t>
      </w:r>
    </w:p>
    <w:p>
      <w:pPr>
        <w:keepNext/>
        <w:spacing w:before="160" w:after="80"/>
        <w:jc w:val="center"/>
      </w:pPr>
      <w:r>
        <w:drawing>
          <wp:inline xmlns:a="http://schemas.openxmlformats.org/drawingml/2006/main" xmlns:pic="http://schemas.openxmlformats.org/drawingml/2006/picture">
            <wp:extent cx="5394960" cy="3089050"/>
            <wp:docPr id="6" name="Picture 6"/>
            <wp:cNvGraphicFramePr>
              <a:graphicFrameLocks noChangeAspect="1"/>
            </wp:cNvGraphicFramePr>
            <a:graphic>
              <a:graphicData uri="http://schemas.openxmlformats.org/drawingml/2006/picture">
                <pic:pic>
                  <pic:nvPicPr>
                    <pic:cNvPr id="0" name="dfd_level2_pos.png"/>
                    <pic:cNvPicPr/>
                  </pic:nvPicPr>
                  <pic:blipFill>
                    <a:blip r:embed="rId18"/>
                    <a:stretch>
                      <a:fillRect/>
                    </a:stretch>
                  </pic:blipFill>
                  <pic:spPr>
                    <a:xfrm>
                      <a:off x="0" y="0"/>
                      <a:ext cx="5394960" cy="3089050"/>
                    </a:xfrm>
                    <a:prstGeom prst="rect"/>
                  </pic:spPr>
                </pic:pic>
              </a:graphicData>
            </a:graphic>
          </wp:inline>
        </w:drawing>
      </w:r>
    </w:p>
    <w:p>
      <w:pPr>
        <w:spacing w:after="200"/>
        <w:jc w:val="center"/>
      </w:pPr>
      <w:r>
        <w:rPr>
          <w:rFonts w:ascii="Times New Roman" w:hAnsi="Times New Roman"/>
          <w:b/>
          <w:i/>
          <w:color w:val="334155"/>
          <w:sz w:val="21"/>
        </w:rPr>
        <w:t>Figure 4.5: Data Flow Diagram — Level 2 (Pharmacy POS Dispensing and Automated Finance Sync)</w:t>
      </w:r>
    </w:p>
    <w:p>
      <w:pPr>
        <w:keepNext/>
        <w:spacing w:before="260" w:after="120"/>
      </w:pPr>
      <w:r>
        <w:rPr>
          <w:rFonts w:ascii="Times New Roman" w:hAnsi="Times New Roman"/>
          <w:b/>
          <w:color w:val="0F2744"/>
          <w:sz w:val="28"/>
        </w:rPr>
        <w:t>4.4 Use Case Diagram and Actor Specifications</w:t>
      </w:r>
    </w:p>
    <w:p>
      <w:pPr>
        <w:spacing w:line="360" w:lineRule="auto" w:after="140"/>
        <w:jc w:val="both"/>
      </w:pPr>
      <w:r>
        <w:rPr>
          <w:rFonts w:ascii="Times New Roman" w:hAnsi="Times New Roman"/>
          <w:sz w:val="24"/>
        </w:rPr>
        <w:t>Figure 4.6 presents the Unified Modeling Language (UML) Use Case Diagram capturing thirteen core use cases (UC-01 through UC-13) across the six security roles defined in com.clinicflow.domain.enums.Role.</w:t>
      </w:r>
    </w:p>
    <w:p>
      <w:pPr>
        <w:keepNext/>
        <w:spacing w:before="160" w:after="80"/>
        <w:jc w:val="center"/>
      </w:pPr>
      <w:r>
        <w:drawing>
          <wp:inline xmlns:a="http://schemas.openxmlformats.org/drawingml/2006/main" xmlns:pic="http://schemas.openxmlformats.org/drawingml/2006/picture">
            <wp:extent cx="5394960" cy="3805747"/>
            <wp:docPr id="7" name="Picture 7"/>
            <wp:cNvGraphicFramePr>
              <a:graphicFrameLocks noChangeAspect="1"/>
            </wp:cNvGraphicFramePr>
            <a:graphic>
              <a:graphicData uri="http://schemas.openxmlformats.org/drawingml/2006/picture">
                <pic:pic>
                  <pic:nvPicPr>
                    <pic:cNvPr id="0" name="use_case_diagram.png"/>
                    <pic:cNvPicPr/>
                  </pic:nvPicPr>
                  <pic:blipFill>
                    <a:blip r:embed="rId19"/>
                    <a:stretch>
                      <a:fillRect/>
                    </a:stretch>
                  </pic:blipFill>
                  <pic:spPr>
                    <a:xfrm>
                      <a:off x="0" y="0"/>
                      <a:ext cx="5394960" cy="3805747"/>
                    </a:xfrm>
                    <a:prstGeom prst="rect"/>
                  </pic:spPr>
                </pic:pic>
              </a:graphicData>
            </a:graphic>
          </wp:inline>
        </w:drawing>
      </w:r>
    </w:p>
    <w:p>
      <w:pPr>
        <w:spacing w:after="200"/>
        <w:jc w:val="center"/>
      </w:pPr>
      <w:r>
        <w:rPr>
          <w:rFonts w:ascii="Times New Roman" w:hAnsi="Times New Roman"/>
          <w:b/>
          <w:i/>
          <w:color w:val="334155"/>
          <w:sz w:val="21"/>
        </w:rPr>
        <w:t>Figure 4.6: IMS Unified UML Use Case Diagram Across Five Actor Portals</w:t>
      </w:r>
    </w:p>
    <w:p>
      <w:pPr>
        <w:keepNext/>
        <w:spacing w:before="160" w:after="80"/>
      </w:pPr>
      <w:r>
        <w:rPr>
          <w:rFonts w:ascii="Times New Roman" w:hAnsi="Times New Roman"/>
          <w:b/>
          <w:color w:val="0F2744"/>
          <w:sz w:val="21"/>
        </w:rPr>
        <w:t>Table 4.1: Detailed Actor-to-Use-Case Responsibility Specification</w:t>
      </w:r>
    </w:p>
    <w:tbl>
      <w:tblPr>
        <w:tblW w:type="auto" w:w="0"/>
        <w:jc w:val="center"/>
        <w:tblLook w:firstColumn="1" w:firstRow="1" w:lastColumn="0" w:lastRow="0" w:noHBand="0" w:noVBand="1" w:val="04A0"/>
      </w:tblPr>
      <w:tblGrid>
        <w:gridCol w:w="2890"/>
        <w:gridCol w:w="2890"/>
        <w:gridCol w:w="2890"/>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Actor / Role Enum</w:t>
            </w:r>
          </w:p>
        </w:tc>
        <w:tc>
          <w:tcPr>
            <w:tcW w:type="dxa" w:w="136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Portal Prefix</w:t>
            </w:r>
          </w:p>
        </w:tc>
        <w:tc>
          <w:tcPr>
            <w:tcW w:type="dxa" w:w="521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Authorized Use Cases &amp; Domain Responsibilities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 Admin (SUPER_ADMIN)</w:t>
            </w:r>
          </w:p>
        </w:tc>
        <w:tc>
          <w:tcPr>
            <w:tcW w:type="dxa" w:w="136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/admin/**</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Bootstraps system via /setup; enrolls, activates, and suspends Clinics &amp; Pharmacies; dispatches 72h admin invites; views global Patient Masters &amp; KPI reports; manages AES-GCM encrypted SMTP settings.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Admin (CLINIC_ADMIN)</w:t>
            </w:r>
          </w:p>
        </w:tc>
        <w:tc>
          <w:tcPr>
            <w:tcW w:type="dxa" w:w="136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Maintains clinic Patient Masters; verifies physical ID &amp; DOB to approve/reject/merge PatientLinkRequests; manages Doctors &amp; weekday DoctorSchedules; operates Appointment check-in desk; imports/exports CSV ClinicMedicines.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 (DOCTOR)</w:t>
            </w:r>
          </w:p>
        </w:tc>
        <w:tc>
          <w:tcPr>
            <w:tcW w:type="dxa" w:w="136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Views assigned daily appointment queue; transitions encounters to IN_CONSULTATION; authors DRAFT diagnoses/notes, finalizes consultations irreversibly, appends signed ConsultationAddenda, and issues 32-char e-Prescriptions.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(PATIENT)</w:t>
            </w:r>
          </w:p>
        </w:tc>
        <w:tc>
          <w:tcPr>
            <w:tcW w:type="dxa" w:w="136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w:t>
            </w:r>
          </w:p>
        </w:tc>
        <w:tc>
          <w:tcPr>
            <w:tcW w:type="dxa" w:w="521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Self-registers &amp; verifies email; edits profile &amp; requests verified email changes; requests Clinic Links; discovers active clinics; books, reschedules, or cancels conflict-free slots; views 32-char prescriptions &amp; longitudinal history.</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 Admin &amp; Pharmacist (PHARMACY_ADMIN, PHARMACIST)</w:t>
            </w:r>
          </w:p>
        </w:tc>
        <w:tc>
          <w:tcPr>
            <w:tcW w:type="dxa" w:w="136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w:t>
            </w:r>
          </w:p>
        </w:tc>
        <w:tc>
          <w:tcPr>
            <w:tcW w:type="dxa" w:w="521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Verifies 32-char prescription codes; executes POS cart billing with auto-remembered unit prices, discounts, taxes, and over-dispense protection; prints sale receipts; manages Finance Ledger, staff invites (Admin), and reports.</w:t>
            </w:r>
          </w:p>
        </w:tc>
      </w:tr>
    </w:tbl>
    <w:p>
      <w:pPr>
        <w:spacing w:after="80"/>
      </w:pPr>
    </w:p>
    <w:p>
      <w:pPr>
        <w:spacing w:line="360" w:lineRule="auto" w:after="140"/>
        <w:jc w:val="both"/>
      </w:pPr>
      <w:r>
        <w:rPr>
          <w:rFonts w:ascii="Times New Roman" w:hAnsi="Times New Roman"/>
          <w:sz w:val="24"/>
        </w:rPr>
        <w:t>To formalize actor interactions at an engineering specification level, Tables 4.1a through 4.1d document the complete preconditions, main success scenarios, security exception flows, and transactional postconditions for the four highest-criticality workflows in Infeara Medical System.</w:t>
      </w:r>
    </w:p>
    <w:p>
      <w:pPr>
        <w:keepNext/>
        <w:spacing w:before="160" w:after="80"/>
      </w:pPr>
      <w:r>
        <w:rPr>
          <w:rFonts w:ascii="Times New Roman" w:hAnsi="Times New Roman"/>
          <w:b/>
          <w:color w:val="0F2744"/>
          <w:sz w:val="21"/>
        </w:rPr>
        <w:t>Table 4.1a: Use Case Specification — UC-05: Staff-Verified Patient Link &amp; Non-Destructive Record Merge</w:t>
      </w:r>
    </w:p>
    <w:tbl>
      <w:tblPr>
        <w:tblW w:type="auto" w:w="0"/>
        <w:jc w:val="center"/>
        <w:tblLook w:firstColumn="1" w:firstRow="1" w:lastColumn="0" w:lastRow="0" w:noHBand="0" w:noVBand="1" w:val="04A0"/>
      </w:tblPr>
      <w:tblGrid>
        <w:gridCol w:w="4334"/>
        <w:gridCol w:w="4334"/>
      </w:tblGrid>
      <w:tr>
        <w:trPr>
          <w:tblHeader/>
          <w:cantSplit/>
        </w:trPr>
        <w:tc>
          <w:tcPr>
            <w:tcW w:type="dxa" w:w="237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Specification Element</w:t>
            </w:r>
          </w:p>
        </w:tc>
        <w:tc>
          <w:tcPr>
            <w:tcW w:type="dxa" w:w="629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Engineering &amp; Clinical Detail</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Actor &amp; Trigger</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 opens /clinic/link-requests/{id} after PATIENT submits link request.</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Preconditions</w:t>
            </w:r>
          </w:p>
        </w:tc>
        <w:tc>
          <w:tcPr>
            <w:tcW w:type="dxa" w:w="62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is ACTIVE; PatientLinkRequest status is PENDING; Clinic Admin belongs to target clinic_id.</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Main Success Scenario</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 System displays account patient's name, verified DOB, email, mobile &amp; duplicate warnings.</w:t>
              <w:br/>
              <w:t>2. Clinic Admin inspects physical photo ID at front desk and checks identityVerified=true.</w:t>
              <w:br/>
              <w:t>3. Admin optionally enters walk-in public_patient_id (e.g., PAT-2026-0014) to merge.</w:t>
              <w:br/>
              <w:t>4. Service verifies exact DOB match, re-points Appointments, Prescriptions &amp; ClinicPatients to target row, moves User FK, and sets merged_into_patient_id on old row.</w:t>
              <w:br/>
              <w:t>5. Status updates to APPROVED and AuditLogs records PATIENT_RECORD_MERGED + PATIENT_LINK_APPROVED.</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Exception / Security Flows</w:t>
            </w:r>
          </w:p>
        </w:tc>
        <w:tc>
          <w:tcPr>
            <w:tcW w:type="dxa" w:w="62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 Missing identityVerified checkbox -&gt; HTTP 200 form error; state stays PENDING.</w:t>
              <w:br/>
              <w:t>• Target record DOB differs from account DOB -&gt; Merge rejected immediately.</w:t>
              <w:br/>
              <w:t>• Admin from another clinic requests URL -&gt; HTTP 404 / tenant isolation enforced.</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Postconditions</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Single unified patient chart linked to online User login; zero orphaned foreign keys.</w:t>
            </w:r>
          </w:p>
        </w:tc>
      </w:tr>
    </w:tbl>
    <w:p>
      <w:pPr>
        <w:spacing w:after="80"/>
      </w:pPr>
    </w:p>
    <w:p>
      <w:pPr>
        <w:keepNext/>
        <w:spacing w:before="160" w:after="80"/>
      </w:pPr>
      <w:r>
        <w:rPr>
          <w:rFonts w:ascii="Times New Roman" w:hAnsi="Times New Roman"/>
          <w:b/>
          <w:color w:val="0F2744"/>
          <w:sz w:val="21"/>
        </w:rPr>
        <w:t>Table 4.1b: Use Case Specification — UC-08: Atomic Conflict-Free Doctor Slot Booking</w:t>
      </w:r>
    </w:p>
    <w:tbl>
      <w:tblPr>
        <w:tblW w:type="auto" w:w="0"/>
        <w:jc w:val="center"/>
        <w:tblLook w:firstColumn="1" w:firstRow="1" w:lastColumn="0" w:lastRow="0" w:noHBand="0" w:noVBand="1" w:val="04A0"/>
      </w:tblPr>
      <w:tblGrid>
        <w:gridCol w:w="4334"/>
        <w:gridCol w:w="4334"/>
      </w:tblGrid>
      <w:tr>
        <w:trPr>
          <w:tblHeader/>
          <w:cantSplit/>
        </w:trPr>
        <w:tc>
          <w:tcPr>
            <w:tcW w:type="dxa" w:w="237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Specification Element</w:t>
            </w:r>
          </w:p>
        </w:tc>
        <w:tc>
          <w:tcPr>
            <w:tcW w:type="dxa" w:w="629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Engineering &amp; Clinical Detail</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Actor &amp; Trigger</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Authenticated PATIENT selects clinic, doctor, date, and 15-min slot on /patient/book.</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Preconditions</w:t>
            </w:r>
          </w:p>
        </w:tc>
        <w:tc>
          <w:tcPr>
            <w:tcW w:type="dxa" w:w="62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email verified; ClinicStatus == ACTIVE; DoctorStatus == ACTIVE; ClinicDoctor active.</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Main Success Scenario</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 SlotService computes future slots from weekday DoctorSchedules minus active Appointments.</w:t>
              <w:br/>
              <w:t>2. Patient submits POST /patient/book with valid CSRF token.</w:t>
              <w:br/>
              <w:t>3. BookingService acquires pessimistic write lock (doctorRepository.findForUpdate).</w:t>
              <w:br/>
              <w:t>4. Service re-verifies slot availability, inserts BOOKED Appointment under UX_Appt_Slot, assigns APT-YYYY-NNNNN, ensures ClinicPatient link, and queues confirmation email.</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Exception / Security Flows</w:t>
            </w:r>
          </w:p>
        </w:tc>
        <w:tc>
          <w:tcPr>
            <w:tcW w:type="dxa" w:w="62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 Competing request took slot milliseconds earlier -&gt; Lock serializes or UX_Appt_Slot throws DataIntegrityViolationException -&gt; clean 'Slot just taken' message.</w:t>
              <w:br/>
              <w:t>• Past timestamp or unscheduled weekday -&gt; Rejected before insert.</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Postconditions</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Exactly one active appointment occupies (doctor_id, slot_start); AuditLogs &amp; EmailLogs updated.</w:t>
            </w:r>
          </w:p>
        </w:tc>
      </w:tr>
    </w:tbl>
    <w:p>
      <w:pPr>
        <w:spacing w:after="80"/>
      </w:pPr>
    </w:p>
    <w:p>
      <w:pPr>
        <w:keepNext/>
        <w:spacing w:before="160" w:after="80"/>
      </w:pPr>
      <w:r>
        <w:rPr>
          <w:rFonts w:ascii="Times New Roman" w:hAnsi="Times New Roman"/>
          <w:b/>
          <w:color w:val="0F2744"/>
          <w:sz w:val="21"/>
        </w:rPr>
        <w:t>Table 4.1c: Use Case Specification — UC-09 &amp; UC-10: Immutable Clinical Consultation &amp; 32-Char e-Rx</w:t>
      </w:r>
    </w:p>
    <w:tbl>
      <w:tblPr>
        <w:tblW w:type="auto" w:w="0"/>
        <w:jc w:val="center"/>
        <w:tblLook w:firstColumn="1" w:firstRow="1" w:lastColumn="0" w:lastRow="0" w:noHBand="0" w:noVBand="1" w:val="04A0"/>
      </w:tblPr>
      <w:tblGrid>
        <w:gridCol w:w="4334"/>
        <w:gridCol w:w="4334"/>
      </w:tblGrid>
      <w:tr>
        <w:trPr>
          <w:tblHeader/>
          <w:cantSplit/>
        </w:trPr>
        <w:tc>
          <w:tcPr>
            <w:tcW w:type="dxa" w:w="237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Specification Element</w:t>
            </w:r>
          </w:p>
        </w:tc>
        <w:tc>
          <w:tcPr>
            <w:tcW w:type="dxa" w:w="629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Engineering &amp; Clinical Detail</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Actor &amp; Trigger</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Authenticated DOCTOR opens checked-in encounter at /doctor/appointments/{id}.</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Preconditions</w:t>
            </w:r>
          </w:p>
        </w:tc>
        <w:tc>
          <w:tcPr>
            <w:tcW w:type="dxa" w:w="62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DoctorUserLink maps session user to appointment's doctor_id; Clinic is ACTIVE.</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Main Success Scenario</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 Doctor clicks Start Consultation -&gt; status moves to IN_CONSULTATION; DRAFT Consultation created.</w:t>
              <w:br/>
              <w:t>2. Doctor enters diagnosis, vitals/notes, and follow-up date; clicks Finalise.</w:t>
              <w:br/>
              <w:t>3. Consultation transitions irreversibly to FINAL (finalised_at stamped); Appointment marked COMPLETED.</w:t>
              <w:br/>
              <w:t>4. Any subsequent note is appended via ConsultationAddenda with author &amp; reason.</w:t>
              <w:br/>
              <w:t>5. Doctor selects formulary medicines, sets validity days, and issues 32-char CSPRNG Prescription.</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Exception / Security Flows</w:t>
            </w:r>
          </w:p>
        </w:tc>
        <w:tc>
          <w:tcPr>
            <w:tcW w:type="dxa" w:w="62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 Attempt to edit diagnosis after FINAL -&gt; Blocked; only addenda permitted.</w:t>
              <w:br/>
              <w:t>• Duplicate prescription on same consultation -&gt; Blocked (1-to-1 consultation Rx rule).</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Postconditions</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Immutable clinical record + VALID 32-char binary-collated Prescription + queued patient email.</w:t>
            </w:r>
          </w:p>
        </w:tc>
      </w:tr>
    </w:tbl>
    <w:p>
      <w:pPr>
        <w:spacing w:after="80"/>
      </w:pPr>
    </w:p>
    <w:p>
      <w:pPr>
        <w:keepNext/>
        <w:spacing w:before="160" w:after="80"/>
      </w:pPr>
      <w:r>
        <w:rPr>
          <w:rFonts w:ascii="Times New Roman" w:hAnsi="Times New Roman"/>
          <w:b/>
          <w:color w:val="0F2744"/>
          <w:sz w:val="21"/>
        </w:rPr>
        <w:t>Table 4.1d: Use Case Specification — UC-11, UC-12 &amp; UC-13: Pharmacy POS Billing &amp; Auto-Ledger Sync</w:t>
      </w:r>
    </w:p>
    <w:tbl>
      <w:tblPr>
        <w:tblW w:type="auto" w:w="0"/>
        <w:jc w:val="center"/>
        <w:tblLook w:firstColumn="1" w:firstRow="1" w:lastColumn="0" w:lastRow="0" w:noHBand="0" w:noVBand="1" w:val="04A0"/>
      </w:tblPr>
      <w:tblGrid>
        <w:gridCol w:w="4334"/>
        <w:gridCol w:w="4334"/>
      </w:tblGrid>
      <w:tr>
        <w:trPr>
          <w:tblHeader/>
          <w:cantSplit/>
        </w:trPr>
        <w:tc>
          <w:tcPr>
            <w:tcW w:type="dxa" w:w="237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Specification Element</w:t>
            </w:r>
          </w:p>
        </w:tc>
        <w:tc>
          <w:tcPr>
            <w:tcW w:type="dxa" w:w="629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Engineering &amp; Clinical Detail</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Actor &amp; Trigger</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PHARMACY_ADMIN or PHARMACIST scans 32-char code on /pharmacy/pos.</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Preconditions</w:t>
            </w:r>
          </w:p>
        </w:tc>
        <w:tc>
          <w:tcPr>
            <w:tcW w:type="dxa" w:w="62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 status is ACTIVE; PharmacyUser status is ACTIVE.</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Main Success Scenario</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 PharmacyService performs binary case-sensitive lookup, checks status/expiry/remaining units, and logs PharmacyVerification (outcome=VALID).</w:t>
              <w:br/>
              <w:t>2. POS cart auto-populates remaining quantities and remembered unit prices from PharmacyMedicinePrices.</w:t>
              <w:br/>
              <w:t>3. Pharmacist confirms quantities, discount, tax rate, payment method (Cash/UPI/Card), and tendered amount.</w:t>
              <w:br/>
              <w:t>4. Service locks PrescriptionItems, increments quantity_dispensed, saves PrescriptionDispense receipt, updates remembered prices, and auto-posts INCOME to PharmacyFinanceEntries.</w:t>
            </w:r>
          </w:p>
        </w:tc>
      </w:tr>
      <w:tr>
        <w:trPr>
          <w:cantSplit/>
        </w:trPr>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Exception / Security Flows</w:t>
            </w:r>
          </w:p>
        </w:tc>
        <w:tc>
          <w:tcPr>
            <w:tcW w:type="dxa" w:w="62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 Wrong case / unknown code -&gt; NOT_FOUND logged with SHA-256 attempt_hash.</w:t>
              <w:br/>
              <w:t>• Requested qty &gt; remaining -&gt; Over-dispense blocked; transaction rolled back.</w:t>
              <w:br/>
              <w:t>• Reusing consumed verificationId -&gt; Rejected (one verification per dispense).</w:t>
            </w:r>
          </w:p>
        </w:tc>
      </w:tr>
      <w:tr>
        <w:trPr>
          <w:cantSplit/>
        </w:trPr>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Postconditions</w:t>
            </w:r>
          </w:p>
        </w:tc>
        <w:tc>
          <w:tcPr>
            <w:tcW w:type="dxa" w:w="62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Updated item fulfilment, printable SALE receipt, remembered catalog prices, and linked INCOME ledger row.</w:t>
            </w:r>
          </w:p>
        </w:tc>
      </w:tr>
    </w:tbl>
    <w:p>
      <w:pPr>
        <w:spacing w:after="80"/>
      </w:pPr>
    </w:p>
    <w:p>
      <w:pPr>
        <w:keepNext/>
        <w:spacing w:before="260" w:after="120"/>
      </w:pPr>
      <w:r>
        <w:rPr>
          <w:rFonts w:ascii="Times New Roman" w:hAnsi="Times New Roman"/>
          <w:b/>
          <w:color w:val="0F2744"/>
          <w:sz w:val="28"/>
        </w:rPr>
        <w:t>4.5 Object-Oriented &amp; Behavioral UML Models (Class, Sequence, Activity &amp; State)</w:t>
      </w:r>
    </w:p>
    <w:p>
      <w:pPr>
        <w:spacing w:line="360" w:lineRule="auto" w:after="140"/>
        <w:jc w:val="both"/>
      </w:pPr>
      <w:r>
        <w:rPr>
          <w:rFonts w:ascii="Times New Roman" w:hAnsi="Times New Roman"/>
          <w:sz w:val="24"/>
        </w:rPr>
        <w:t>Figure 4.7 illustrates the UML Domain Entity Class Diagram mapped directly to com.clinicflow.domain.entity.*. Entities encapsulate surrogate BIGINT keys, public UUIDs or formatted human-readable IDs (PAT-YYYY-NNNN, APT-YYYY-NNNNN), @Version byte[] optimistic row versions where concurrent edits occur, and strongly typed enumerated status fields.</w:t>
      </w:r>
    </w:p>
    <w:p>
      <w:pPr>
        <w:keepNext/>
        <w:spacing w:before="160" w:after="80"/>
        <w:jc w:val="center"/>
      </w:pPr>
      <w:r>
        <w:drawing>
          <wp:inline xmlns:a="http://schemas.openxmlformats.org/drawingml/2006/main" xmlns:pic="http://schemas.openxmlformats.org/drawingml/2006/picture">
            <wp:extent cx="5440680" cy="3816596"/>
            <wp:docPr id="8" name="Picture 8"/>
            <wp:cNvGraphicFramePr>
              <a:graphicFrameLocks noChangeAspect="1"/>
            </wp:cNvGraphicFramePr>
            <a:graphic>
              <a:graphicData uri="http://schemas.openxmlformats.org/drawingml/2006/picture">
                <pic:pic>
                  <pic:nvPicPr>
                    <pic:cNvPr id="0" name="class_diagram.png"/>
                    <pic:cNvPicPr/>
                  </pic:nvPicPr>
                  <pic:blipFill>
                    <a:blip r:embed="rId20"/>
                    <a:stretch>
                      <a:fillRect/>
                    </a:stretch>
                  </pic:blipFill>
                  <pic:spPr>
                    <a:xfrm>
                      <a:off x="0" y="0"/>
                      <a:ext cx="5440680" cy="3816596"/>
                    </a:xfrm>
                    <a:prstGeom prst="rect"/>
                  </pic:spPr>
                </pic:pic>
              </a:graphicData>
            </a:graphic>
          </wp:inline>
        </w:drawing>
      </w:r>
    </w:p>
    <w:p>
      <w:pPr>
        <w:spacing w:after="200"/>
        <w:jc w:val="center"/>
      </w:pPr>
      <w:r>
        <w:rPr>
          <w:rFonts w:ascii="Times New Roman" w:hAnsi="Times New Roman"/>
          <w:b/>
          <w:i/>
          <w:color w:val="334155"/>
          <w:sz w:val="21"/>
        </w:rPr>
        <w:t>Figure 4.7: IMS Core Domain Entity UML Class Diagram (Spring Data JPA / Hibernate 6)</w:t>
      </w:r>
    </w:p>
    <w:p>
      <w:pPr>
        <w:spacing w:line="360" w:lineRule="auto" w:after="140"/>
        <w:jc w:val="both"/>
      </w:pPr>
      <w:r>
        <w:rPr>
          <w:rFonts w:ascii="Times New Roman" w:hAnsi="Times New Roman"/>
          <w:sz w:val="24"/>
        </w:rPr>
        <w:t>Figure 4.8 traces the fifteen-step temporal interaction sequence across Patient Browser, Doctor Workspace, Spring Boot Transactional Services, SQL Server 2022, and Pharmacy POS Terminal—spanning atomic slot reservation, clinical consultation finalization, 32-character prescription issuance, binary-collated POS lookup, itemized dispensing, price-list learning, and automated finance-ledger posting.</w:t>
      </w:r>
    </w:p>
    <w:p>
      <w:pPr>
        <w:keepNext/>
        <w:spacing w:before="160" w:after="80"/>
        <w:jc w:val="center"/>
      </w:pPr>
      <w:r>
        <w:drawing>
          <wp:inline xmlns:a="http://schemas.openxmlformats.org/drawingml/2006/main" xmlns:pic="http://schemas.openxmlformats.org/drawingml/2006/picture">
            <wp:extent cx="5440680" cy="3837999"/>
            <wp:docPr id="9" name="Picture 9"/>
            <wp:cNvGraphicFramePr>
              <a:graphicFrameLocks noChangeAspect="1"/>
            </wp:cNvGraphicFramePr>
            <a:graphic>
              <a:graphicData uri="http://schemas.openxmlformats.org/drawingml/2006/picture">
                <pic:pic>
                  <pic:nvPicPr>
                    <pic:cNvPr id="0" name="sequence_diagram.png"/>
                    <pic:cNvPicPr/>
                  </pic:nvPicPr>
                  <pic:blipFill>
                    <a:blip r:embed="rId21"/>
                    <a:stretch>
                      <a:fillRect/>
                    </a:stretch>
                  </pic:blipFill>
                  <pic:spPr>
                    <a:xfrm>
                      <a:off x="0" y="0"/>
                      <a:ext cx="5440680" cy="3837999"/>
                    </a:xfrm>
                    <a:prstGeom prst="rect"/>
                  </pic:spPr>
                </pic:pic>
              </a:graphicData>
            </a:graphic>
          </wp:inline>
        </w:drawing>
      </w:r>
    </w:p>
    <w:p>
      <w:pPr>
        <w:spacing w:after="200"/>
        <w:jc w:val="center"/>
      </w:pPr>
      <w:r>
        <w:rPr>
          <w:rFonts w:ascii="Times New Roman" w:hAnsi="Times New Roman"/>
          <w:b/>
          <w:i/>
          <w:color w:val="334155"/>
          <w:sz w:val="21"/>
        </w:rPr>
        <w:t>Figure 4.8: UML Sequence Diagram — End-to-End Clinical Consultation, e-Rx &amp; Pharmacy POS Flow</w:t>
      </w:r>
    </w:p>
    <w:p>
      <w:pPr>
        <w:spacing w:line="360" w:lineRule="auto" w:after="140"/>
        <w:jc w:val="both"/>
      </w:pPr>
      <w:r>
        <w:rPr>
          <w:rFonts w:ascii="Times New Roman" w:hAnsi="Times New Roman"/>
          <w:sz w:val="24"/>
        </w:rPr>
        <w:t>Figure 4.9 models the branching control flow of patient registration, front-desk identity verification (including rejection vs. approval/record-merge branches), clinical consultation, prescription generation, and POS fulfillment, while Figure 4.10 formalizes the finite-state machines governing AppointmentStatus and Prescription / vw_PrescriptionFulfilment lifecycles.</w:t>
      </w:r>
    </w:p>
    <w:p>
      <w:pPr>
        <w:keepNext/>
        <w:spacing w:before="160" w:after="80"/>
        <w:jc w:val="center"/>
      </w:pPr>
      <w:r>
        <w:drawing>
          <wp:inline xmlns:a="http://schemas.openxmlformats.org/drawingml/2006/main" xmlns:pic="http://schemas.openxmlformats.org/drawingml/2006/picture">
            <wp:extent cx="5074920" cy="4318134"/>
            <wp:docPr id="10" name="Picture 10"/>
            <wp:cNvGraphicFramePr>
              <a:graphicFrameLocks noChangeAspect="1"/>
            </wp:cNvGraphicFramePr>
            <a:graphic>
              <a:graphicData uri="http://schemas.openxmlformats.org/drawingml/2006/picture">
                <pic:pic>
                  <pic:nvPicPr>
                    <pic:cNvPr id="0" name="activity_diagram.png"/>
                    <pic:cNvPicPr/>
                  </pic:nvPicPr>
                  <pic:blipFill>
                    <a:blip r:embed="rId22"/>
                    <a:stretch>
                      <a:fillRect/>
                    </a:stretch>
                  </pic:blipFill>
                  <pic:spPr>
                    <a:xfrm>
                      <a:off x="0" y="0"/>
                      <a:ext cx="5074920" cy="4318134"/>
                    </a:xfrm>
                    <a:prstGeom prst="rect"/>
                  </pic:spPr>
                </pic:pic>
              </a:graphicData>
            </a:graphic>
          </wp:inline>
        </w:drawing>
      </w:r>
    </w:p>
    <w:p>
      <w:pPr>
        <w:spacing w:after="200"/>
        <w:jc w:val="center"/>
      </w:pPr>
      <w:r>
        <w:rPr>
          <w:rFonts w:ascii="Times New Roman" w:hAnsi="Times New Roman"/>
          <w:b/>
          <w:i/>
          <w:color w:val="334155"/>
          <w:sz w:val="21"/>
        </w:rPr>
        <w:t>Figure 4.9: UML Activity Workflow Diagram — Patient Linking, Clinical Care &amp; Dispensing</w:t>
      </w:r>
    </w:p>
    <w:p>
      <w:pPr>
        <w:keepNext/>
        <w:spacing w:before="160" w:after="80"/>
        <w:jc w:val="center"/>
      </w:pPr>
      <w:r>
        <w:drawing>
          <wp:inline xmlns:a="http://schemas.openxmlformats.org/drawingml/2006/main" xmlns:pic="http://schemas.openxmlformats.org/drawingml/2006/picture">
            <wp:extent cx="5394960" cy="3350096"/>
            <wp:docPr id="11" name="Picture 11"/>
            <wp:cNvGraphicFramePr>
              <a:graphicFrameLocks noChangeAspect="1"/>
            </wp:cNvGraphicFramePr>
            <a:graphic>
              <a:graphicData uri="http://schemas.openxmlformats.org/drawingml/2006/picture">
                <pic:pic>
                  <pic:nvPicPr>
                    <pic:cNvPr id="0" name="state_machine_diagram.png"/>
                    <pic:cNvPicPr/>
                  </pic:nvPicPr>
                  <pic:blipFill>
                    <a:blip r:embed="rId23"/>
                    <a:stretch>
                      <a:fillRect/>
                    </a:stretch>
                  </pic:blipFill>
                  <pic:spPr>
                    <a:xfrm>
                      <a:off x="0" y="0"/>
                      <a:ext cx="5394960" cy="3350096"/>
                    </a:xfrm>
                    <a:prstGeom prst="rect"/>
                  </pic:spPr>
                </pic:pic>
              </a:graphicData>
            </a:graphic>
          </wp:inline>
        </w:drawing>
      </w:r>
    </w:p>
    <w:p>
      <w:pPr>
        <w:spacing w:after="200"/>
        <w:jc w:val="center"/>
      </w:pPr>
      <w:r>
        <w:rPr>
          <w:rFonts w:ascii="Times New Roman" w:hAnsi="Times New Roman"/>
          <w:b/>
          <w:i/>
          <w:color w:val="334155"/>
          <w:sz w:val="21"/>
        </w:rPr>
        <w:t>Figure 4.10: UML Lifecycle State Machine Diagram — AppointmentStatus &amp; Prescription Fulfilment</w:t>
      </w:r>
    </w:p>
    <w:p>
      <w:pPr>
        <w:keepNext/>
        <w:spacing w:before="260" w:after="120"/>
      </w:pPr>
      <w:r>
        <w:rPr>
          <w:rFonts w:ascii="Times New Roman" w:hAnsi="Times New Roman"/>
          <w:b/>
          <w:color w:val="0F2744"/>
          <w:sz w:val="28"/>
        </w:rPr>
        <w:t>4.6 Entity Relationship (ER) Diagram</w:t>
      </w:r>
    </w:p>
    <w:p>
      <w:pPr>
        <w:spacing w:line="360" w:lineRule="auto" w:after="140"/>
        <w:jc w:val="both"/>
      </w:pPr>
      <w:r>
        <w:rPr>
          <w:rFonts w:ascii="Times New Roman" w:hAnsi="Times New Roman"/>
          <w:sz w:val="24"/>
        </w:rPr>
        <w:t>Figure 4.11 depicts the complete relational Entity-Relationship architecture spanning all 27 normalized tables across Flyway migrations V001 through V009, organized cleanly into five functional domains: (1) Identity &amp; Tenant Enrollment, (2) Patient Federation &amp; Link Merging, (3) Clinical Scheduling &amp; Consultations, (4) Electronic Prescriptions &amp; Clinic Formulary, and (5) Pharmacy POS, Price Memory, Finance Ledger, Outbox &amp; Audit.</w:t>
      </w:r>
    </w:p>
    <w:p>
      <w:pPr>
        <w:keepNext/>
        <w:spacing w:before="160" w:after="80"/>
        <w:jc w:val="center"/>
      </w:pPr>
      <w:r>
        <w:drawing>
          <wp:inline xmlns:a="http://schemas.openxmlformats.org/drawingml/2006/main" xmlns:pic="http://schemas.openxmlformats.org/drawingml/2006/picture">
            <wp:extent cx="5440680" cy="3875017"/>
            <wp:docPr id="12" name="Picture 12"/>
            <wp:cNvGraphicFramePr>
              <a:graphicFrameLocks noChangeAspect="1"/>
            </wp:cNvGraphicFramePr>
            <a:graphic>
              <a:graphicData uri="http://schemas.openxmlformats.org/drawingml/2006/picture">
                <pic:pic>
                  <pic:nvPicPr>
                    <pic:cNvPr id="0" name="er_diagram.png"/>
                    <pic:cNvPicPr/>
                  </pic:nvPicPr>
                  <pic:blipFill>
                    <a:blip r:embed="rId24"/>
                    <a:stretch>
                      <a:fillRect/>
                    </a:stretch>
                  </pic:blipFill>
                  <pic:spPr>
                    <a:xfrm>
                      <a:off x="0" y="0"/>
                      <a:ext cx="5440680" cy="3875017"/>
                    </a:xfrm>
                    <a:prstGeom prst="rect"/>
                  </pic:spPr>
                </pic:pic>
              </a:graphicData>
            </a:graphic>
          </wp:inline>
        </w:drawing>
      </w:r>
    </w:p>
    <w:p>
      <w:pPr>
        <w:spacing w:after="200"/>
        <w:jc w:val="center"/>
      </w:pPr>
      <w:r>
        <w:rPr>
          <w:rFonts w:ascii="Times New Roman" w:hAnsi="Times New Roman"/>
          <w:b/>
          <w:i/>
          <w:color w:val="334155"/>
          <w:sz w:val="21"/>
        </w:rPr>
        <w:t>Figure 4.11: IMS Relational Database Entity-Relationship (ER) Schema (27 Tables, V001–V009)</w:t>
      </w:r>
    </w:p>
    <w:p>
      <w:pPr>
        <w:keepNext/>
        <w:spacing w:before="260" w:after="120"/>
      </w:pPr>
      <w:r>
        <w:rPr>
          <w:rFonts w:ascii="Times New Roman" w:hAnsi="Times New Roman"/>
          <w:b/>
          <w:color w:val="0F2744"/>
          <w:sz w:val="28"/>
        </w:rPr>
        <w:t>4.7 Complete Relational Database Design and Data Dictionary</w:t>
      </w:r>
    </w:p>
    <w:p>
      <w:pPr>
        <w:spacing w:line="360" w:lineRule="auto" w:after="140"/>
        <w:jc w:val="both"/>
      </w:pPr>
      <w:r>
        <w:rPr>
          <w:rFonts w:ascii="Times New Roman" w:hAnsi="Times New Roman"/>
          <w:sz w:val="24"/>
        </w:rPr>
        <w:t>The persistence schema of Infeara Medical System is governed deterministically by nine sequential Flyway SQL migration scripts located in clinicflow-app/src/main/resources/db/migration/ (V001 through V009). All tables reside in the dbo schema on Microsoft SQL Server 2022, utilizing BIGINT IDENTITY(1,1) surrogate primary keys for fast internal joins alongside UNIQUEIDENTIFIER (NEWID()) or formatted public identifiers so sequential primary keys are never exposed in public URLs. Timestamps standardize on DATETIME2(3) in UTC (SYSUTCDATETIME()), monetary figures use exact fixed-point DECIMAL(12,2) or DECIMAL(18,2) arithmetic, and concurrency-critical tables include ROWVERSION columns.</w:t>
      </w:r>
    </w:p>
    <w:p>
      <w:pPr>
        <w:keepNext/>
        <w:spacing w:before="160" w:after="80"/>
      </w:pPr>
      <w:r>
        <w:rPr>
          <w:rFonts w:ascii="Times New Roman" w:hAnsi="Times New Roman"/>
          <w:b/>
          <w:color w:val="0F2744"/>
          <w:sz w:val="21"/>
        </w:rPr>
        <w:t>Table 4.2: Flyway Database Migration History (V001 through V009)</w:t>
      </w:r>
    </w:p>
    <w:tbl>
      <w:tblPr>
        <w:tblW w:type="auto" w:w="0"/>
        <w:jc w:val="center"/>
        <w:tblLook w:firstColumn="1" w:firstRow="1" w:lastColumn="0" w:lastRow="0" w:noHBand="0" w:noVBand="1" w:val="04A0"/>
      </w:tblPr>
      <w:tblGrid>
        <w:gridCol w:w="2890"/>
        <w:gridCol w:w="2890"/>
        <w:gridCol w:w="2890"/>
      </w:tblGrid>
      <w:tr>
        <w:trPr>
          <w:tblHeader/>
          <w:cantSplit/>
        </w:trPr>
        <w:tc>
          <w:tcPr>
            <w:tcW w:type="dxa" w:w="93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Version</w:t>
            </w:r>
          </w:p>
        </w:tc>
        <w:tc>
          <w:tcPr>
            <w:tcW w:type="dxa" w:w="309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Migration Script Filename</w:t>
            </w:r>
          </w:p>
        </w:tc>
        <w:tc>
          <w:tcPr>
            <w:tcW w:type="dxa" w:w="4637"/>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Schema Objects Created / Altered</w:t>
            </w:r>
          </w:p>
        </w:tc>
      </w:tr>
      <w:tr>
        <w:trPr>
          <w:cantSplit/>
        </w:trPr>
        <w:tc>
          <w:tcPr>
            <w:tcW w:type="dxa" w:w="93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V001</w:t>
            </w:r>
          </w:p>
        </w:tc>
        <w:tc>
          <w:tcPr>
            <w:tcW w:type="dxa" w:w="30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V001__init_schema.sql</w:t>
            </w:r>
          </w:p>
        </w:tc>
        <w:tc>
          <w:tcPr>
            <w:tcW w:type="dxa" w:w="46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Creates 24 core tables + SQL view dbo.vw_PrescriptionFulfilment + filtered unique index UX_Appt_Slot + BIN2 Rx collation.</w:t>
            </w:r>
          </w:p>
        </w:tc>
      </w:tr>
      <w:tr>
        <w:trPr>
          <w:cantSplit/>
        </w:trPr>
        <w:tc>
          <w:tcPr>
            <w:tcW w:type="dxa" w:w="93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V002</w:t>
            </w:r>
          </w:p>
        </w:tc>
        <w:tc>
          <w:tcPr>
            <w:tcW w:type="dxa" w:w="30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V002__identity_email_outbox.sql</w:t>
            </w:r>
          </w:p>
        </w:tc>
        <w:tc>
          <w:tcPr>
            <w:tcW w:type="dxa" w:w="46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Adds subject, body, next_attempt_at to EmailLogs; creates UX_AuthTokens_token_hash and IX_EmailLogs_status_next_attempt.</w:t>
            </w:r>
          </w:p>
        </w:tc>
      </w:tr>
      <w:tr>
        <w:trPr>
          <w:cantSplit/>
        </w:trPr>
        <w:tc>
          <w:tcPr>
            <w:tcW w:type="dxa" w:w="93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V003</w:t>
            </w:r>
          </w:p>
        </w:tc>
        <w:tc>
          <w:tcPr>
            <w:tcW w:type="dxa" w:w="30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V003__patient_link_request_resolution.sql</w:t>
            </w:r>
          </w:p>
        </w:tc>
        <w:tc>
          <w:tcPr>
            <w:tcW w:type="dxa" w:w="46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Adds clinic_patient_record_id, resolved_by, and resolution_note FKs/columns to PatientLinkRequests.</w:t>
            </w:r>
          </w:p>
        </w:tc>
      </w:tr>
      <w:tr>
        <w:trPr>
          <w:cantSplit/>
        </w:trPr>
        <w:tc>
          <w:tcPr>
            <w:tcW w:type="dxa" w:w="93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V004</w:t>
            </w:r>
          </w:p>
        </w:tc>
        <w:tc>
          <w:tcPr>
            <w:tcW w:type="dxa" w:w="30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V004__invites_contact_change_and_merge_marker.sql</w:t>
            </w:r>
          </w:p>
        </w:tc>
        <w:tc>
          <w:tcPr>
            <w:tcW w:type="dxa" w:w="46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Adds Users.pending_email, Patients.merged_into_patient_id self-FK, and expands AuthTokens purposes to 4 types.</w:t>
            </w:r>
          </w:p>
        </w:tc>
      </w:tr>
      <w:tr>
        <w:trPr>
          <w:cantSplit/>
        </w:trPr>
        <w:tc>
          <w:tcPr>
            <w:tcW w:type="dxa" w:w="93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V005</w:t>
            </w:r>
          </w:p>
        </w:tc>
        <w:tc>
          <w:tcPr>
            <w:tcW w:type="dxa" w:w="30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V005__clinic_inventory.sql</w:t>
            </w:r>
          </w:p>
        </w:tc>
        <w:tc>
          <w:tcPr>
            <w:tcW w:type="dxa" w:w="46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Creates dbo.ClinicMedicines table for standardized clinic drug formularies with unique (clinic_id, medicine, dosage).</w:t>
            </w:r>
          </w:p>
        </w:tc>
      </w:tr>
      <w:tr>
        <w:trPr>
          <w:cantSplit/>
        </w:trPr>
        <w:tc>
          <w:tcPr>
            <w:tcW w:type="dxa" w:w="93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V006</w:t>
            </w:r>
          </w:p>
        </w:tc>
        <w:tc>
          <w:tcPr>
            <w:tcW w:type="dxa" w:w="30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V006__rename_inventory_unit_to_form.sql</w:t>
            </w:r>
          </w:p>
        </w:tc>
        <w:tc>
          <w:tcPr>
            <w:tcW w:type="dxa" w:w="46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Renames ClinicMedicines.default_unit to default_form to accurately reflect dosage form (Tablet, Capsule, Syrup).</w:t>
            </w:r>
          </w:p>
        </w:tc>
      </w:tr>
      <w:tr>
        <w:trPr>
          <w:cantSplit/>
        </w:trPr>
        <w:tc>
          <w:tcPr>
            <w:tcW w:type="dxa" w:w="93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V007</w:t>
            </w:r>
          </w:p>
        </w:tc>
        <w:tc>
          <w:tcPr>
            <w:tcW w:type="dxa" w:w="30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V007__prescription_item_lifetime.sql</w:t>
            </w:r>
          </w:p>
        </w:tc>
        <w:tc>
          <w:tcPr>
            <w:tcW w:type="dxa" w:w="46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Adds lifetime BIT NOT NULL DEFAULT 0 column to dbo.PrescriptionItems for chronic/lifetime therapies.</w:t>
            </w:r>
          </w:p>
        </w:tc>
      </w:tr>
      <w:tr>
        <w:trPr>
          <w:cantSplit/>
        </w:trPr>
        <w:tc>
          <w:tcPr>
            <w:tcW w:type="dxa" w:w="93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V008</w:t>
            </w:r>
          </w:p>
        </w:tc>
        <w:tc>
          <w:tcPr>
            <w:tcW w:type="dxa" w:w="30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V008__pharmacy_finance.sql</w:t>
            </w:r>
          </w:p>
        </w:tc>
        <w:tc>
          <w:tcPr>
            <w:tcW w:type="dxa" w:w="463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Creates dbo.PharmacyFinanceEntries ledger table with INCOME / EXPENSE check constraint and date index.</w:t>
            </w:r>
          </w:p>
        </w:tc>
      </w:tr>
      <w:tr>
        <w:trPr>
          <w:cantSplit/>
        </w:trPr>
        <w:tc>
          <w:tcPr>
            <w:tcW w:type="dxa" w:w="93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V009</w:t>
            </w:r>
          </w:p>
        </w:tc>
        <w:tc>
          <w:tcPr>
            <w:tcW w:type="dxa" w:w="30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V009__pharmacy_pos_pricing.sql</w:t>
            </w:r>
          </w:p>
        </w:tc>
        <w:tc>
          <w:tcPr>
            <w:tcW w:type="dxa" w:w="463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Creates dbo.PharmacyMedicinePrices; adds subtotal, discount, tax, total, payment columns to Dispenses; links Finance to dispense_id.</w:t>
            </w:r>
          </w:p>
        </w:tc>
      </w:tr>
    </w:tbl>
    <w:p>
      <w:pPr>
        <w:spacing w:after="80"/>
      </w:pPr>
    </w:p>
    <w:p>
      <w:pPr>
        <w:keepNext/>
        <w:spacing w:before="160" w:after="80"/>
      </w:pPr>
      <w:r>
        <w:rPr>
          <w:rFonts w:ascii="Times New Roman" w:hAnsi="Times New Roman"/>
          <w:b/>
          <w:color w:val="0F2744"/>
          <w:sz w:val="21"/>
        </w:rPr>
        <w:t>Table 4.3: Data Dictionary — dbo.Clinics (Multi-Tenant Healthcare Facilities)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Internal surrogate primary key for the clinic tenant.</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public_uuid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UNIQUEIDENTIFIER</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UQ, DEFAULT NEWID()</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 opaque UUID exposed in patient clinic-discovery URLs.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name</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NVARCHAR(200)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Official display name of the enrolled clinic or polyclinic.</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address_line1 / line2</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NVARCHAR(200)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line1 NOT 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Street address and suite/landmark details.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city / area / district</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NVARCHAR(100)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city NOT NULL, IX</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Indexed city, locality, and district for patient clinic search.</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state / postal_code</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NVARCHAR(100 / 20)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State and postal PIN code.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latitude / longitude</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DECIMAL(9,6)</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Optional geographic coordinates for proximity discovery.</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phone / email</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NVARCHAR(30 / 254)</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 reception phone number and contact email.</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opening_hours / fees</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NVARCHAR(500 / 200)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Published operating schedule and baseline consultation fee text.</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status</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VARCHAR(12)</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IN (PENDING,ACTIVE,SUSPENDED)</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Lifecycle state enforced on every request by ClinicStatusFilter.</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created_at / updated_at</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DATETIME2(3)</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 UTC</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Audit creation and last-modification UTC timestamps.</w:t>
            </w:r>
          </w:p>
        </w:tc>
      </w:tr>
    </w:tbl>
    <w:p>
      <w:pPr>
        <w:spacing w:after="80"/>
      </w:pPr>
    </w:p>
    <w:p>
      <w:pPr>
        <w:keepNext/>
        <w:spacing w:before="160" w:after="80"/>
      </w:pPr>
      <w:r>
        <w:rPr>
          <w:rFonts w:ascii="Times New Roman" w:hAnsi="Times New Roman"/>
          <w:b/>
          <w:color w:val="0F2744"/>
          <w:sz w:val="21"/>
        </w:rPr>
        <w:t>Table 4.4: Data Dictionary — dbo.Users (Unified Security Principals)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user_id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Internal surrogate key referenced by sessions and audit logs.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public_uuid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UNIQUEIDENTIFIER</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UQ, DEFAULT NEWID()</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External immutable UUID for user principal.</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NVARCHAR(254)</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UQ, 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verified login email address (unique across platform).</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pending_email</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NVARCHAR(254)</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 (Added V004)</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Unverified target email address awaiting EMAIL_CHANGE token confirmation.</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password_hash</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NVARCHAR(255)</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DelegatingPasswordEncoder BCrypt hash ({bcrypt}$2a$...).</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role</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VARCHAR(20)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(6 Roles), IX</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 CLINIC_ADMIN, DOCTOR, PATIENT, PHARMACY_ADMIN, PHARMACIST.</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status</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VARCHAR(12)</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(4 States)</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PENDING, ACTIVE, SUSPENDED, or DISABLED.</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email_verified_at</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DATETIME2(3)</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UTC timestamp set when VERIFY_EMAIL or STAFF_INVITE token is consumed.</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FK -&gt; Clinics,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Tenant clinic binding for CLINIC_ADMIN and DOCTOR accounts.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row_ver</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ROWVERSION</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Optimistic Lock</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SQL Server automatic binary counter preventing lost concurrent updates.</w:t>
            </w:r>
          </w:p>
        </w:tc>
      </w:tr>
    </w:tbl>
    <w:p>
      <w:pPr>
        <w:spacing w:after="80"/>
      </w:pPr>
    </w:p>
    <w:p>
      <w:pPr>
        <w:keepNext/>
        <w:spacing w:before="160" w:after="80"/>
      </w:pPr>
      <w:r>
        <w:rPr>
          <w:rFonts w:ascii="Times New Roman" w:hAnsi="Times New Roman"/>
          <w:b/>
          <w:color w:val="0F2744"/>
          <w:sz w:val="21"/>
        </w:rPr>
        <w:t>Table 4.5: Data Dictionary — dbo.Patients (Master &amp; Self-Registered Patient Profiles)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Surrogate key for clinical foreign-key relationships.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public_patient_id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UQ, NOT 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Formatted identifier PAT-YYYY-NNNN generated via PublicIdGenerator.</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user_id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FK -&gt; Users, NULL, IX</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Linked online User account (NULL for unlinked walk-in clinic records).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merged_into_patient_id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Self-FK -&gt; Patients (V004)</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Non-NULL when this dormant row was merged into a canonical clinic record.</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first_name / last_name</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NVARCHAR(100)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Verified legal given name and family surname.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dob</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 of birth used as mandatory anti-mismatch guard during link merges.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gender</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VARCHAR(10)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(MALE,FEMALE,OTHER,UNKNOWN)</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Optional self-reported or clinic-recorded gender.</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mobile / email</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NVARCHAR(30 / 254)</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contact phone and notification address.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address_line1..postal_code</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Residential street, city, district, state, and PIN code.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blood_group</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NVARCHAR(10)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ABO/Rh blood group displayed in Doctor consultation sidebar.</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allergies / conditions</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NVARCHAR(1000)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Drug/food allergies and chronic medical conditions.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emergency_name / phone</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NVARCHAR(200 / 30)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Emergency next-of-kin contact details.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source_flag</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VARCHAR(20)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(PATIENT_ENTERED, CLINIC_ENTERED)</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Distinguishes online self-registrations from front-desk walk-in charts.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row_ver</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ROWVERSION</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Optimistic Lock</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Prevents concurrent profile overwrite anomalies.</w:t>
            </w:r>
          </w:p>
        </w:tc>
      </w:tr>
    </w:tbl>
    <w:p>
      <w:pPr>
        <w:spacing w:after="80"/>
      </w:pPr>
    </w:p>
    <w:p>
      <w:pPr>
        <w:keepNext/>
        <w:spacing w:before="160" w:after="80"/>
      </w:pPr>
      <w:r>
        <w:rPr>
          <w:rFonts w:ascii="Times New Roman" w:hAnsi="Times New Roman"/>
          <w:b/>
          <w:color w:val="0F2744"/>
          <w:sz w:val="21"/>
        </w:rPr>
        <w:t>Table 4.6: Data Dictionary — dbo.Doctors, dbo.ClinicDoctors, dbo.DoctorSchedules &amp; dbo.DoctorUserLinks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Doctors.doctor_id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key of practitioner master entity (public_uuid, name, specialization, status).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ClinicDoctors.clinic_doctor_id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UQ(clinic_id,doctor_id)</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Associates a Doctor with a Clinic, consultation fee DECIMAL(10,2), and ACTIVE/INACTIVE 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DoctorSchedules.schedule_id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IX(doctor_id,clinic_id)</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Defines weekly consulting window: weekday (0..6), start_time, end_time, slot_minutes (default 15), effective_from/to.</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DoctorUserLinks.link_id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UQ(user_id)</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Binds a DOCTOR login account (Users.user_id) 1-to-1 to their practitioner profile (Doctors.doctor_id).</w:t>
            </w:r>
          </w:p>
        </w:tc>
      </w:tr>
    </w:tbl>
    <w:p>
      <w:pPr>
        <w:spacing w:after="80"/>
      </w:pPr>
    </w:p>
    <w:p>
      <w:pPr>
        <w:keepNext/>
        <w:spacing w:before="160" w:after="80"/>
      </w:pPr>
      <w:r>
        <w:rPr>
          <w:rFonts w:ascii="Times New Roman" w:hAnsi="Times New Roman"/>
          <w:b/>
          <w:color w:val="0F2744"/>
          <w:sz w:val="21"/>
        </w:rPr>
        <w:t>Table 4.7: Data Dictionary — dbo.Appointments (Conflict-Free Slot Reservations)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appointment_id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Internal surrogate key for appointment encounter.</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public_appointment_id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UQ, NOT 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Human-readable booking code APT-YYYY-NNNNN.</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patient_id / clinic_id / doctor_id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FKs, NOT NULL, IX</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References Patient, Clinic, and Doctor; indexed for queue &amp; slot lookups.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slot_start / slot_end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DATETIME2(3)</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 UX_Appt_Slot</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Filtered unique index UX_Appt_Slot(doctor_id, slot_start) on active statuses prevents double-booking.</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reason</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NVARCHAR(500)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Chief complaint or visit reason entered during booking.</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status</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VARCHAR(20)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(7 States)</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BOOKED, CONFIRMED, CHECKED_IN, IN_CONSULTATION, COMPLETED, CANCELLED, NO_SHOW.</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booked_at / cancelled_at</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DATETIME2(3)</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UTC</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Booking creation and optional cancellation timestamps + cancel_reason NVARCHAR(300).</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row_ver</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ROWVERSION</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Optimistic Lock</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Protects concurrent status transitions between front desk and doctor.</w:t>
            </w:r>
          </w:p>
        </w:tc>
      </w:tr>
    </w:tbl>
    <w:p>
      <w:pPr>
        <w:spacing w:after="80"/>
      </w:pPr>
    </w:p>
    <w:p>
      <w:pPr>
        <w:keepNext/>
        <w:spacing w:before="160" w:after="80"/>
      </w:pPr>
      <w:r>
        <w:rPr>
          <w:rFonts w:ascii="Times New Roman" w:hAnsi="Times New Roman"/>
          <w:b/>
          <w:color w:val="0F2744"/>
          <w:sz w:val="21"/>
        </w:rPr>
        <w:t>Table 4.8: Data Dictionary — dbo.Consultations &amp; dbo.ConsultationAddenda (Clinical Records)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Consultations.consultation_id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key of clinical encounter note.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Consultations.appointment_id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UQ, FK -&gt; Appointments</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Strict 1-to-1 link ensuring at most one consultation record per appointment.</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Consultations.diagnosis</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NVARCHAR(2000)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clinical diagnosis recorded by consulting physician.</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Consultations.notes</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NVARCHAR(MAX)</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Detailed examination findings, vitals, and care instructions.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Consultations.follow_up</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DATETIME2(3)</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Recommended clinical review/follow-up date.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Consultations.status / finalised_at</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VARCHAR(10) / DATETIME2(3)</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(DRAFT, FINAL)</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Once set to FINAL, diagnosis and notes become permanently immutable.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ConsultationAddenda.addendum_id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FK -&gt; Consultations</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Append-only post-finalization clinical note storing author_user_id, reason NVARCHAR(300), text NVARCHAR(MAX), created_at.</w:t>
            </w:r>
          </w:p>
        </w:tc>
      </w:tr>
    </w:tbl>
    <w:p>
      <w:pPr>
        <w:spacing w:after="80"/>
      </w:pPr>
    </w:p>
    <w:p>
      <w:pPr>
        <w:keepNext/>
        <w:spacing w:before="160" w:after="80"/>
      </w:pPr>
      <w:r>
        <w:rPr>
          <w:rFonts w:ascii="Times New Roman" w:hAnsi="Times New Roman"/>
          <w:b/>
          <w:color w:val="0F2744"/>
          <w:sz w:val="21"/>
        </w:rPr>
        <w:t>Table 4.9: Data Dictionary — dbo.Prescriptions, dbo.PrescriptionItems &amp; dbo.ClinicMedicines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Prescriptions.prescription_id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NOT NULL</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Internal primary key of electronic prescription header.</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Prescriptions.prescription_code</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CHAR(32) BIN2</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UQ, CK Alphanumeric</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32-char CSPRNG code under Latin1_General_100_BIN2 case-sensitive binary collation.</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Prescriptions.consultation_id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FK -&gt; Consultations</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Links prescription to its originating clinical consultation, patient_id, clinic_id, and doctor_id.</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Prescriptions.issue_date / expiry_date</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DATETIME2(3)</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 UTC</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Issuance timestamp and mandatory expiration boundary enforced by PharmacyService.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Prescriptions.status</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VARCHAR(10)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(VALID, CANCELLED)</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Allows clinic/doctor revocation with cancel_reason, cancelled_at, and cancelled_by.</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PrescriptionItems.prescription_item_id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FK -&gt; Prescriptions</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Line item storing medicine, dosage, frequency, duration, instructions, and ROWVERSION.</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PrescriptionItems.quantity / dispensed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INT</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(0 &lt;= disp &lt;= qty)</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Prescribed units (&gt;0) and cumulative quantity_dispensed across partial pharmacy fills.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PrescriptionItems.lifetime</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BIT</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 DEFAULT 0 (V007)</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Marks chronic/lifetime maintenance medications in patient history.</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ClinicMedicines.clinic_medicine_id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UQ(clinic,med,dosage)</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formulary (V005/V006): medicine, dosage, default_frequency, default_duration, default_quantity, default_form, default_instructions.</w:t>
            </w:r>
          </w:p>
        </w:tc>
      </w:tr>
    </w:tbl>
    <w:p>
      <w:pPr>
        <w:spacing w:after="80"/>
      </w:pPr>
    </w:p>
    <w:p>
      <w:pPr>
        <w:keepNext/>
        <w:spacing w:before="160" w:after="80"/>
      </w:pPr>
      <w:r>
        <w:rPr>
          <w:rFonts w:ascii="Times New Roman" w:hAnsi="Times New Roman"/>
          <w:b/>
          <w:color w:val="0F2744"/>
          <w:sz w:val="21"/>
        </w:rPr>
        <w:t>Table 4.10: Data Dictionary — dbo.Pharmacies, dbo.PharmacyUsers, dbo.PharmacyVerifications &amp; dbo.PharmacyMedicinePrices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Pharmacies.pharmacy_id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UQ(licence_number)</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Enrolled retail pharmacy tenant with public_uuid, name, licence_number, address, status (PENDING/ACTIVE/SUSPENDED).</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PharmacyUsers.pharmacy_user_id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UQ(user_id)</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Maps Users account to a Pharmacy with role (PHARMACY_ADMIN, PHARMACIST) and status (ACTIVE, DISABLED).</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PharmacyVerifications.verification_id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UNIQUEIDENTIFIER</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DEFAULT NEWID()</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Immutable verification token &amp; log storing pharmacy_id, pharmacy_user_id, prescription_id, SHA-256 attempt_hash BINARY(32), outcome (6 values), verified_at, ip_address.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PharmacyMedicinePrices.price_id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UQ(pharmacy_id,medicine)</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Self-learning per-pharmacy price catalog (V009) storing unit_price DECIMAL(12,2) &gt;= 0 and updated_at.</w:t>
            </w:r>
          </w:p>
        </w:tc>
      </w:tr>
    </w:tbl>
    <w:p>
      <w:pPr>
        <w:spacing w:after="80"/>
      </w:pPr>
    </w:p>
    <w:p>
      <w:pPr>
        <w:keepNext/>
        <w:spacing w:before="160" w:after="80"/>
      </w:pPr>
      <w:r>
        <w:rPr>
          <w:rFonts w:ascii="Times New Roman" w:hAnsi="Times New Roman"/>
          <w:b/>
          <w:color w:val="0F2744"/>
          <w:sz w:val="21"/>
        </w:rPr>
        <w:t>Table 4.11: Data Dictionary — dbo.PrescriptionDispenses, dbo.PrescriptionDispenseItems &amp; dbo.PharmacyFinanceEntries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PrescriptionDispenses.dispense_id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UQ(public_uuid)</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 sale &amp; dispense receipt linked to prescription_id, pharmacy_id, pharmacy_user_id, and single-use verification_id.</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subtotal / discount / tax_amount / total</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DECIMAL(12,2)</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NOT NULL, CK &gt;= 0 (V009)</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Exact BigDecimal monetary totals plus tax_rate DECIMAL(5,2), payment_method, amount_tendered, and change_due.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status / void metadata</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VARCHAR(10)</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CK (COMPLETED, VOIDED)</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Enforces voided_at, voided_by, and void_reason whenever status='VOIDED'.</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PrescriptionDispenseItems.dispense_item_id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UQ(dispense,rx_item)</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Records quantity_dispensed (&gt;0), unit_price DECIMAL(12,2), and line_total DECIMAL(12,2) per medicine line.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PharmacyFinanceEntries.entry_id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IX(pharmacy_id,date)</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Accounting ledger (V008/V009): entry_type (INCOME/EXPENSE), amount DECIMAL(18,2), description, entry_date, created_by, and FK dispense_id.</w:t>
            </w:r>
          </w:p>
        </w:tc>
      </w:tr>
    </w:tbl>
    <w:p>
      <w:pPr>
        <w:spacing w:after="80"/>
      </w:pPr>
    </w:p>
    <w:p>
      <w:pPr>
        <w:keepNext/>
        <w:spacing w:before="160" w:after="80"/>
      </w:pPr>
      <w:r>
        <w:rPr>
          <w:rFonts w:ascii="Times New Roman" w:hAnsi="Times New Roman"/>
          <w:b/>
          <w:color w:val="0F2744"/>
          <w:sz w:val="21"/>
        </w:rPr>
        <w:t>Table 4.12: Data Dictionary — Enrollment, Patient Linking, AuthTokens, Outbox, SMTP &amp; Audit Tables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Column / Object</w:t>
            </w:r>
          </w:p>
        </w:tc>
        <w:tc>
          <w:tcPr>
            <w:tcW w:type="dxa" w:w="165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SQL Data Type</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Constraints &amp; Indexes</w:t>
            </w:r>
          </w:p>
        </w:tc>
        <w:tc>
          <w:tcPr>
            <w:tcW w:type="dxa" w:w="312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Clinical / Technical Purpose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ClinicEnrollments.enrollment_id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FK -&gt; Clinics, Users</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Tracks clinic onboarding by SUPER_ADMIN, invite_token_hash BINARY(32), status, enrolled_at, activated_at.</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ClinicPatients.clinic_patient_id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UQ(clinic_id,patient_id)</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Many-to-many link authorizing a clinic to view/manage a linked patient chart.</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PatientLinkRequests.link_request_id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IX(clinic,status)</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Stores patient_id, clinic_id, method (CLINIC_APPROVAL/OTP/CODE), status (PENDING/APPROVED/REJECTED/EXPIRED), clinic_patient_record_id, resolved_by, resolution_note.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AuthTokens.token_id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UX(token_hash)</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Single-use token vault: user_id, purpose (VERIFY_EMAIL, RESET_PASSWORD, STAFF_INVITE, EMAIL_CHANGE), SHA-256 token_hash BINARY(32), expires_at, used_at.</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EmailLogs.email_log_id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UQ(idempotency_key)</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Transactional email outbox (V001/V002): type, recipient, subject, body, status (QUEUED/SENT/FAILED), attempts, next_attempt_at, last_error, sent_at.</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SmtpSettings.settings_id</w:t>
            </w:r>
          </w:p>
        </w:tc>
        <w:tc>
          <w:tcPr>
            <w:tcW w:type="dxa" w:w="16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w:t>
            </w:r>
          </w:p>
        </w:tc>
        <w:tc>
          <w:tcPr>
            <w:tcW w:type="dxa" w:w="312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Platform SMTP relay config: host, port, security (NONE/STARTTLS/SSL), username, AES-GCM password_encrypted VARBINARY(512), from_address, active, last_test_result.</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AuditLogs.audit_id</w:t>
            </w:r>
          </w:p>
        </w:tc>
        <w:tc>
          <w:tcPr>
            <w:tcW w:type="dxa" w:w="16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BIGINT IDENTITY(1,1)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PK, IX(patient_id,actor)</w:t>
            </w:r>
          </w:p>
        </w:tc>
        <w:tc>
          <w:tcPr>
            <w:tcW w:type="dxa" w:w="312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Forensic security &amp; clinical log: actor_user_id, role, action, resource_type, resource_id, patient_id, ip_address, outcome (SUCCESS/FAILURE/DENIED), created_at.</w:t>
            </w:r>
          </w:p>
        </w:tc>
      </w:tr>
    </w:tbl>
    <w:p>
      <w:pPr>
        <w:spacing w:after="80"/>
      </w:pPr>
    </w:p>
    <w:p>
      <w:pPr>
        <w:keepNext/>
        <w:spacing w:before="260" w:after="120"/>
      </w:pPr>
      <w:r>
        <w:rPr>
          <w:rFonts w:ascii="Times New Roman" w:hAnsi="Times New Roman"/>
          <w:b/>
          <w:color w:val="0F2744"/>
          <w:sz w:val="28"/>
        </w:rPr>
        <w:t>4.8 Input Design, Output Design and Corporate ERP UI Design System</w:t>
      </w:r>
    </w:p>
    <w:p>
      <w:pPr>
        <w:spacing w:line="360" w:lineRule="auto" w:after="140"/>
        <w:jc w:val="both"/>
      </w:pPr>
      <w:r>
        <w:rPr>
          <w:rFonts w:ascii="Times New Roman" w:hAnsi="Times New Roman"/>
          <w:sz w:val="24"/>
        </w:rPr>
        <w:t>To eliminate clerical errors across high-volume reception desks, consulting rooms, and pharmacy counters, IMS implements a unified server-rendered design system defined in static/css/app.css, templates/layout/base.html, and templates/layout/auth.html.</w:t>
      </w:r>
    </w:p>
    <w:p>
      <w:pPr>
        <w:pStyle w:val="ListBullet"/>
        <w:spacing w:line="336" w:lineRule="auto" w:after="100"/>
        <w:jc w:val="both"/>
      </w:pPr>
      <w:r>
        <w:rPr>
          <w:rFonts w:ascii="Times New Roman" w:hAnsi="Times New Roman"/>
          <w:b/>
          <w:sz w:val="24"/>
        </w:rPr>
        <w:t xml:space="preserve">Input Design &amp; Dual-Layer Validation: </w:t>
      </w:r>
      <w:r>
        <w:rPr>
          <w:rFonts w:ascii="Times New Roman" w:hAnsi="Times New Roman"/>
          <w:sz w:val="24"/>
        </w:rPr>
        <w:t>Every HTML form binds to a dedicated Jakarta Bean Validation DTO (such as RegistrationForm, ClinicEnrollmentForm, PatientProfileForm, BookingForm, ConsultationForm, PrescriptionForm, and LinkApprovalForm). Inputs group related clinical fields logically, preserve user entries on validation errors, trim whitespace server-side, attach automatic Spring Security _csrf hidden tokens, and use explicit confirmation checkboxes on irreversible actions such as patient record merges and consultation finalization.</w:t>
      </w:r>
    </w:p>
    <w:p>
      <w:pPr>
        <w:pStyle w:val="ListBullet"/>
        <w:spacing w:line="336" w:lineRule="auto" w:after="100"/>
        <w:jc w:val="both"/>
      </w:pPr>
      <w:r>
        <w:rPr>
          <w:rFonts w:ascii="Times New Roman" w:hAnsi="Times New Roman"/>
          <w:b/>
          <w:sz w:val="24"/>
        </w:rPr>
        <w:t xml:space="preserve">Output Design &amp; Clinical Readability: </w:t>
      </w:r>
      <w:r>
        <w:rPr>
          <w:rFonts w:ascii="Times New Roman" w:hAnsi="Times New Roman"/>
          <w:sz w:val="24"/>
        </w:rPr>
        <w:t>Outputs combine top-of-page KPI metric cards (KpiCard record), semantic color-coded status pills (ACTIVE/VALID in #E3F4EA green, PENDING/PARTIAL in #FFF1DB amber, SUSPENDED/CANCELLED in #FBE7E5 red), monospace high-contrast 32-character prescription banners, printable POS dispense receipts showing itemized unit prices, discounts, tax, tendered cash, and change due, and exportable RFC-4180 CSV formulary files.</w:t>
      </w:r>
    </w:p>
    <w:p>
      <w:pPr>
        <w:pStyle w:val="ListBullet"/>
        <w:spacing w:line="336" w:lineRule="auto" w:after="100"/>
        <w:jc w:val="both"/>
      </w:pPr>
      <w:r>
        <w:rPr>
          <w:rFonts w:ascii="Times New Roman" w:hAnsi="Times New Roman"/>
          <w:b/>
          <w:sz w:val="24"/>
        </w:rPr>
        <w:t xml:space="preserve">Consistent ERP Navigation &amp; Breadcrumb Engine: </w:t>
      </w:r>
      <w:r>
        <w:rPr>
          <w:rFonts w:ascii="Times New Roman" w:hAnsi="Times New Roman"/>
          <w:sz w:val="24"/>
        </w:rPr>
        <w:t>NavigationService dynamically computes role-specific left-sidebar items and hierarchical breadcrumbs (Home / Parent Module / Current Detail) alongside a sticky 56 px #0F2744 top bar displaying the active organization name, role badge, user avatar chip, and one-click session sign-out.</w:t>
      </w:r>
    </w:p>
    <w:p>
      <w:pPr>
        <w:spacing w:line="360" w:lineRule="auto" w:after="140"/>
        <w:jc w:val="both"/>
      </w:pPr>
      <w:r>
        <w:rPr>
          <w:rFonts w:ascii="Times New Roman" w:hAnsi="Times New Roman"/>
          <w:sz w:val="24"/>
        </w:rPr>
        <w:t>Complementing the relational schema, all state machines, roles, outcomes, and security modes in com.clinicflow.domain.enums are modeled as strongly typed Java enums mapped via @Enumerated(EnumType.STRING) and enforced at the database layer via matching SQL CHECK constraints (Table 4.13).</w:t>
      </w:r>
    </w:p>
    <w:p>
      <w:pPr>
        <w:keepNext/>
        <w:spacing w:before="160" w:after="80"/>
      </w:pPr>
      <w:r>
        <w:rPr>
          <w:rFonts w:ascii="Times New Roman" w:hAnsi="Times New Roman"/>
          <w:b/>
          <w:color w:val="0F2744"/>
          <w:sz w:val="21"/>
        </w:rPr>
        <w:t>Table 4.13: Complete Java Domain Enumeration Reference (com.clinicflow.domain.enums.*)</w:t>
      </w:r>
    </w:p>
    <w:tbl>
      <w:tblPr>
        <w:tblW w:type="auto" w:w="0"/>
        <w:jc w:val="center"/>
        <w:tblLook w:firstColumn="1" w:firstRow="1" w:lastColumn="0" w:lastRow="0" w:noHBand="0" w:noVBand="1" w:val="04A0"/>
      </w:tblPr>
      <w:tblGrid>
        <w:gridCol w:w="2890"/>
        <w:gridCol w:w="2890"/>
        <w:gridCol w:w="2890"/>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Java Enum Class</w:t>
            </w:r>
          </w:p>
        </w:tc>
        <w:tc>
          <w:tcPr>
            <w:tcW w:type="dxa" w:w="396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Permitted Constants</w:t>
            </w:r>
          </w:p>
        </w:tc>
        <w:tc>
          <w:tcPr>
            <w:tcW w:type="dxa" w:w="2621"/>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Governing Entity / Table</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Role</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 CLINIC_ADMIN, DOCTOR, PATIENT, PHARMACY_ADMIN, PHARMACIST</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Users.role / SecurityFilterChain</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UserStatus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PENDING, ACTIVE, LOCKED, DISABLED</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Users.status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ClinicStatus</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PENDING_ENROLLMENT, ACTIVE, SUSPENDED, REJECTED</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Clinics.status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ACTIVE, INACTIVE</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Doctors.status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PatientSource</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SELF, CLINIC</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Patients.created_source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Gender</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MALE, FEMALE, OTHER, UNKNOWN</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Patients.gender</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AppointmentStatus</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BOOKED, CONFIRMED, IN_CONSULTATION, COMPLETED, CANCELLED, NO_SHOW</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Appointments.status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DRAFT, FINAL</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Consultations.status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PrescriptionStatus</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VALID, CANCELLED</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Prescriptions.status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PENDING, ACTIVE, SUSPENDED</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Pharmacies.status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PharmacyUserRole</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PHARMACY_ADMIN, PHARMACIST</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PharmacyUsers.role_in_pharmacy</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PharmacyUserStatus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PENDING, ACTIVE, DISABLED</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PharmacyUsers.status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VerificationOutcome</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VALID, NOT_FOUND, CANCELLED, EXPIRED, FULLY_DISPENSED</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PharmacyVerifications.outcome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DispenseStatus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PARTIAL, FULL</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PrescriptionDispenses.dispense_status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AuthTokenPurpose</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VERIFY_EMAIL, RESET_PASSWORD, STAFF_INVITE, EMAIL_CHANGE</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AuthTokens.purpose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QUEUED, SENT, FAILED</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EmailLogs.status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SmtpSecurity</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NONE, STARTTLS, SSL_TLS</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SmtpSettings.security_mode</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EnrollmentStatus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SUBMITTED, APPROVED, REJECTED</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ClinicEnrollments.status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LinkRequestMethod</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PATIENT_PORTAL, CLINIC_DESK, EMAIL_MATCH</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PatientLinkRequests.method</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LinkRequestStatus</w:t>
            </w:r>
          </w:p>
        </w:tc>
        <w:tc>
          <w:tcPr>
            <w:tcW w:type="dxa" w:w="39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PENDING, APPROVED, REJECTED, EXPIRED</w:t>
            </w:r>
          </w:p>
        </w:tc>
        <w:tc>
          <w:tcPr>
            <w:tcW w:type="dxa" w:w="262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PatientLinkRequests.status</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AuditOutcome</w:t>
            </w:r>
          </w:p>
        </w:tc>
        <w:tc>
          <w:tcPr>
            <w:tcW w:type="dxa" w:w="39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SUCCESS, DENIED, FAILURE</w:t>
            </w:r>
          </w:p>
        </w:tc>
        <w:tc>
          <w:tcPr>
            <w:tcW w:type="dxa" w:w="262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AuditLogs.outcome</w:t>
            </w:r>
          </w:p>
        </w:tc>
      </w:tr>
    </w:tbl>
    <w:p>
      <w:pPr>
        <w:spacing w:after="80"/>
      </w:pPr>
    </w:p>
    <w:p>
      <w:pPr>
        <w:spacing w:line="360" w:lineRule="auto" w:after="140"/>
        <w:jc w:val="both"/>
      </w:pPr>
      <w:r>
        <w:rPr>
          <w:rFonts w:ascii="Times New Roman" w:hAnsi="Times New Roman"/>
          <w:sz w:val="24"/>
        </w:rPr>
        <w:t>Table 4.14 documents the Corporate ERP visual design tokens engineered in src/main/resources/static/css/app.css (1,882 lines) governing layout geometry, contrast-verified healthcare color semantics, and typography across all 61 Thymeleaf templates.</w:t>
      </w:r>
    </w:p>
    <w:p>
      <w:pPr>
        <w:keepNext/>
        <w:spacing w:before="160" w:after="80"/>
      </w:pPr>
      <w:r>
        <w:rPr>
          <w:rFonts w:ascii="Times New Roman" w:hAnsi="Times New Roman"/>
          <w:b/>
          <w:color w:val="0F2744"/>
          <w:sz w:val="21"/>
        </w:rPr>
        <w:t>Table 4.14: Corporate ERP User Interface Design System Tokens (static/css/app.css)</w:t>
      </w:r>
    </w:p>
    <w:tbl>
      <w:tblPr>
        <w:tblW w:type="auto" w:w="0"/>
        <w:jc w:val="center"/>
        <w:tblLook w:firstColumn="1" w:firstRow="1" w:lastColumn="0" w:lastRow="0" w:noHBand="0" w:noVBand="1" w:val="04A0"/>
      </w:tblPr>
      <w:tblGrid>
        <w:gridCol w:w="2890"/>
        <w:gridCol w:w="2890"/>
        <w:gridCol w:w="2890"/>
      </w:tblGrid>
      <w:tr>
        <w:trPr>
          <w:tblHeader/>
          <w:cantSplit/>
        </w:trPr>
        <w:tc>
          <w:tcPr>
            <w:tcW w:type="dxa" w:w="2664"/>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CSS Custom Property</w:t>
            </w:r>
          </w:p>
        </w:tc>
        <w:tc>
          <w:tcPr>
            <w:tcW w:type="dxa" w:w="237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Token Value</w:t>
            </w:r>
          </w:p>
        </w:tc>
        <w:tc>
          <w:tcPr>
            <w:tcW w:type="dxa" w:w="3629"/>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UI Architectural Application</w:t>
            </w:r>
          </w:p>
        </w:tc>
      </w:tr>
      <w:tr>
        <w:trPr>
          <w:cantSplit/>
        </w:trPr>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--c-primary / --c-primary-hover</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#1E4E8C / #163B6B</w:t>
            </w:r>
          </w:p>
        </w:tc>
        <w:tc>
          <w:tcPr>
            <w:tcW w:type="dxa" w:w="362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medical navy buttons, active links, focus rings &amp; table accents</w:t>
            </w:r>
          </w:p>
        </w:tc>
      </w:tr>
      <w:tr>
        <w:trPr>
          <w:cantSplit/>
        </w:trPr>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--c-sidebar-bg / --c-sidebar-active</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#0F2744 / #1E4E8C</w:t>
            </w:r>
          </w:p>
        </w:tc>
        <w:tc>
          <w:tcPr>
            <w:tcW w:type="dxa" w:w="362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Fixed dark-navy left ERP navigation rail &amp; active route indicator</w:t>
            </w:r>
          </w:p>
        </w:tc>
      </w:tr>
      <w:tr>
        <w:trPr>
          <w:cantSplit/>
        </w:trPr>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--c-accent / --c-accent-soft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#0E8A8A / #E6F4F4</w:t>
            </w:r>
          </w:p>
        </w:tc>
        <w:tc>
          <w:tcPr>
            <w:tcW w:type="dxa" w:w="362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Clinical teal accent badges, secondary highlights &amp; active icons</w:t>
            </w:r>
          </w:p>
        </w:tc>
      </w:tr>
      <w:tr>
        <w:trPr>
          <w:cantSplit/>
        </w:trPr>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--c-bg / --c-surface / --c-surface-muted</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#F4F6F9 / #FFFFFF / #F8FAFC</w:t>
            </w:r>
          </w:p>
        </w:tc>
        <w:tc>
          <w:tcPr>
            <w:tcW w:type="dxa" w:w="362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 workspace canvas, elevated white cards &amp; zebra table headers</w:t>
            </w:r>
          </w:p>
        </w:tc>
      </w:tr>
      <w:tr>
        <w:trPr>
          <w:cantSplit/>
        </w:trPr>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--c-success / --c-warning / --c-danger</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#157F3B / #B45309 / #B91C1C</w:t>
            </w:r>
          </w:p>
        </w:tc>
        <w:tc>
          <w:tcPr>
            <w:tcW w:type="dxa" w:w="362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WCAG AA status pills (ACTIVE/VALID, PENDING/PARTIAL, CANCELLED/EXPIRED)</w:t>
            </w:r>
          </w:p>
        </w:tc>
      </w:tr>
      <w:tr>
        <w:trPr>
          <w:cantSplit/>
        </w:trPr>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--font-sans / --font-mono</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Inter, Segoe UI / Cascadia Mono, Consolas</w:t>
            </w:r>
          </w:p>
        </w:tc>
        <w:tc>
          <w:tcPr>
            <w:tcW w:type="dxa" w:w="362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Crisp UI typography + unambiguous monospace 32-char Rx &amp; public IDs</w:t>
            </w:r>
          </w:p>
        </w:tc>
      </w:tr>
      <w:tr>
        <w:trPr>
          <w:cantSplit/>
        </w:trPr>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--topbar-h / --sidebar-w / --subbar-h</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56px / 256px / 40px</w:t>
            </w:r>
          </w:p>
        </w:tc>
        <w:tc>
          <w:tcPr>
            <w:tcW w:type="dxa" w:w="362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Fixed ERP shell dimensions ensuring stable zero-shift workspace</w:t>
            </w:r>
          </w:p>
        </w:tc>
      </w:tr>
    </w:tbl>
    <w:p>
      <w:pPr>
        <w:spacing w:after="80"/>
      </w:pPr>
    </w:p>
    <w:p>
      <w:r>
        <w:br w:type="page"/>
      </w:r>
    </w:p>
    <w:p>
      <w:pPr>
        <w:spacing w:before="80" w:after="80"/>
        <w:jc w:val="center"/>
      </w:pPr>
      <w:r>
        <w:rPr>
          <w:rFonts w:ascii="Times New Roman" w:hAnsi="Times New Roman"/>
          <w:b/>
          <w:color w:val="1E3A8A"/>
          <w:sz w:val="28"/>
        </w:rPr>
        <w:t>CHAPTER 5</w:t>
      </w:r>
    </w:p>
    <w:p>
      <w:pPr>
        <w:spacing w:after="320"/>
        <w:jc w:val="center"/>
      </w:pPr>
      <w:r>
        <w:rPr>
          <w:rFonts w:ascii="Times New Roman" w:hAnsi="Times New Roman"/>
          <w:b/>
          <w:color w:val="0F2744"/>
          <w:sz w:val="32"/>
        </w:rPr>
        <w:t>TECHNOLOGIES &amp; TOOLS USED</w:t>
      </w:r>
    </w:p>
    <w:p>
      <w:pPr>
        <w:keepNext/>
        <w:spacing w:before="260" w:after="120"/>
      </w:pPr>
      <w:r>
        <w:rPr>
          <w:rFonts w:ascii="Times New Roman" w:hAnsi="Times New Roman"/>
          <w:b/>
          <w:color w:val="0F2744"/>
          <w:sz w:val="28"/>
        </w:rPr>
        <w:t>5.1 Software Requirements</w:t>
      </w:r>
    </w:p>
    <w:p>
      <w:pPr>
        <w:spacing w:line="360" w:lineRule="auto" w:after="140"/>
        <w:jc w:val="both"/>
      </w:pPr>
      <w:r>
        <w:rPr>
          <w:rFonts w:ascii="Times New Roman" w:hAnsi="Times New Roman"/>
          <w:sz w:val="24"/>
        </w:rPr>
        <w:t>Infeara Medical System (IMS) is engineered on a modern, zero-licensing-cost enterprise Java software stack configured via clinicflow-app/pom.xml and clinicflow-app/src/main/resources/application.yml. Table 5.1 specifies the exact versions and roles of every software component required across development, automated testing, and production deployment.</w:t>
      </w:r>
    </w:p>
    <w:p>
      <w:pPr>
        <w:keepNext/>
        <w:spacing w:before="160" w:after="80"/>
      </w:pPr>
      <w:r>
        <w:rPr>
          <w:rFonts w:ascii="Times New Roman" w:hAnsi="Times New Roman"/>
          <w:b/>
          <w:color w:val="0F2744"/>
          <w:sz w:val="21"/>
        </w:rPr>
        <w:t>Table 5.1: Software Requirements Specification for Infeara Medical System (IMS)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Layer / Category</w:t>
            </w:r>
          </w:p>
        </w:tc>
        <w:tc>
          <w:tcPr>
            <w:tcW w:type="dxa" w:w="2664"/>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Software / Library</w:t>
            </w:r>
          </w:p>
        </w:tc>
        <w:tc>
          <w:tcPr>
            <w:tcW w:type="dxa" w:w="129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Version in Repo</w:t>
            </w:r>
          </w:p>
        </w:tc>
        <w:tc>
          <w:tcPr>
            <w:tcW w:type="dxa" w:w="2909"/>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Role in IMS Architecture</w:t>
            </w:r>
          </w:p>
        </w:tc>
      </w:tr>
      <w:tr>
        <w:trPr>
          <w:cantSplit/>
        </w:trPr>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Operating System</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Windows 10/11 Pro, Windows Server, or Linux x86_64</w:t>
            </w:r>
          </w:p>
        </w:tc>
        <w:tc>
          <w:tcPr>
            <w:tcW w:type="dxa" w:w="12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64-bit OS</w:t>
            </w:r>
          </w:p>
        </w:tc>
        <w:tc>
          <w:tcPr>
            <w:tcW w:type="dxa" w:w="290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Host OS for JVM, Maven build tools, and SQL Server 2022.</w:t>
            </w:r>
          </w:p>
        </w:tc>
      </w:tr>
      <w:tr>
        <w:trPr>
          <w:cantSplit/>
        </w:trPr>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Language Runtime</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Java SE Development Kit (OpenJDK)</w:t>
            </w:r>
          </w:p>
        </w:tc>
        <w:tc>
          <w:tcPr>
            <w:tcW w:type="dxa" w:w="12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Java 27</w:t>
            </w:r>
          </w:p>
        </w:tc>
        <w:tc>
          <w:tcPr>
            <w:tcW w:type="dxa" w:w="290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Executes Spring Boot application with records &amp; switch expressions.</w:t>
            </w:r>
          </w:p>
        </w:tc>
      </w:tr>
      <w:tr>
        <w:trPr>
          <w:cantSplit/>
        </w:trPr>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Application Framework</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Spring Boot Starter Parent</w:t>
            </w:r>
          </w:p>
        </w:tc>
        <w:tc>
          <w:tcPr>
            <w:tcW w:type="dxa" w:w="12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4.1.2</w:t>
            </w:r>
          </w:p>
        </w:tc>
        <w:tc>
          <w:tcPr>
            <w:tcW w:type="dxa" w:w="290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Auto-configuration, embedded Tomcat HTTP server, Actuator health.</w:t>
            </w:r>
          </w:p>
        </w:tc>
      </w:tr>
      <w:tr>
        <w:trPr>
          <w:cantSplit/>
        </w:trPr>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Web &amp; View Engine</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Spring WebMVC + Thymeleaf + Layout Dialect</w:t>
            </w:r>
          </w:p>
        </w:tc>
        <w:tc>
          <w:tcPr>
            <w:tcW w:type="dxa" w:w="12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4.1.2 / 4.0.1</w:t>
            </w:r>
          </w:p>
        </w:tc>
        <w:tc>
          <w:tcPr>
            <w:tcW w:type="dxa" w:w="290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Server-rendered HTML5 views, reusable base.html &amp; auth.html layouts.</w:t>
            </w:r>
          </w:p>
        </w:tc>
      </w:tr>
      <w:tr>
        <w:trPr>
          <w:cantSplit/>
        </w:trPr>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Security Framework</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Spring Security + Thymeleaf Security6 Extras</w:t>
            </w:r>
          </w:p>
        </w:tc>
        <w:tc>
          <w:tcPr>
            <w:tcW w:type="dxa" w:w="12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6.x / 3.1.5</w:t>
            </w:r>
          </w:p>
        </w:tc>
        <w:tc>
          <w:tcPr>
            <w:tcW w:type="dxa" w:w="290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Session authentication, BCrypt, CSRF tokens, 6-role URL guards.</w:t>
            </w:r>
          </w:p>
        </w:tc>
      </w:tr>
      <w:tr>
        <w:trPr>
          <w:cantSplit/>
        </w:trPr>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Persistence &amp; ORM</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Spring Data JPA + Hibernate ORM + HikariCP</w:t>
            </w:r>
          </w:p>
        </w:tc>
        <w:tc>
          <w:tcPr>
            <w:tcW w:type="dxa" w:w="12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6.x</w:t>
            </w:r>
          </w:p>
        </w:tc>
        <w:tc>
          <w:tcPr>
            <w:tcW w:type="dxa" w:w="290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Entity mapping for 23 JPA entities, pessimistic locks, connection pool.</w:t>
            </w:r>
          </w:p>
        </w:tc>
      </w:tr>
      <w:tr>
        <w:trPr>
          <w:cantSplit/>
        </w:trPr>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Schema Migration</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Flyway Core + Flyway SQL Server</w:t>
            </w:r>
          </w:p>
        </w:tc>
        <w:tc>
          <w:tcPr>
            <w:tcW w:type="dxa" w:w="12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Managed</w:t>
            </w:r>
          </w:p>
        </w:tc>
        <w:tc>
          <w:tcPr>
            <w:tcW w:type="dxa" w:w="290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Deterministic execution of SQL migrations V001 through V009.</w:t>
            </w:r>
          </w:p>
        </w:tc>
      </w:tr>
      <w:tr>
        <w:trPr>
          <w:cantSplit/>
        </w:trPr>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RDBMS</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Microsoft SQL Server 2022 Express</w:t>
            </w:r>
          </w:p>
        </w:tc>
        <w:tc>
          <w:tcPr>
            <w:tcW w:type="dxa" w:w="12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16.x (2022)</w:t>
            </w:r>
          </w:p>
        </w:tc>
        <w:tc>
          <w:tcPr>
            <w:tcW w:type="dxa" w:w="290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ACID persistence, BIN2 collation, filtered unique index, ROWVERSION.</w:t>
            </w:r>
          </w:p>
        </w:tc>
      </w:tr>
      <w:tr>
        <w:trPr>
          <w:cantSplit/>
        </w:trPr>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Zero-Setup Test DB</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H2 Database Engine (MODE=MSSQLServer)</w:t>
            </w:r>
          </w:p>
        </w:tc>
        <w:tc>
          <w:tcPr>
            <w:tcW w:type="dxa" w:w="12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Runtime</w:t>
            </w:r>
          </w:p>
        </w:tc>
        <w:tc>
          <w:tcPr>
            <w:tcW w:type="dxa" w:w="290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In-memory / file-backed local run and MockMvc integration tests.</w:t>
            </w:r>
          </w:p>
        </w:tc>
      </w:tr>
      <w:tr>
        <w:trPr>
          <w:cantSplit/>
        </w:trPr>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 Subsystem</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Spring Boot Starter Mail (Jakarta Mail)</w:t>
            </w:r>
          </w:p>
        </w:tc>
        <w:tc>
          <w:tcPr>
            <w:tcW w:type="dxa" w:w="12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4.1.2</w:t>
            </w:r>
          </w:p>
        </w:tc>
        <w:tc>
          <w:tcPr>
            <w:tcW w:type="dxa" w:w="290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STARTTLS/SSL SMTP dispatch driven by transactional EmailLogs outbox.</w:t>
            </w:r>
          </w:p>
        </w:tc>
      </w:tr>
      <w:tr>
        <w:trPr>
          <w:cantSplit/>
        </w:trPr>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Build &amp; Dependency</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Apache Maven (Bundled in tools/)</w:t>
            </w:r>
          </w:p>
        </w:tc>
        <w:tc>
          <w:tcPr>
            <w:tcW w:type="dxa" w:w="129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3.9.11</w:t>
            </w:r>
          </w:p>
        </w:tc>
        <w:tc>
          <w:tcPr>
            <w:tcW w:type="dxa" w:w="290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Lifecycle compilation, Lombok annotation processing, JUnit runner.</w:t>
            </w:r>
          </w:p>
        </w:tc>
      </w:tr>
      <w:tr>
        <w:trPr>
          <w:cantSplit/>
        </w:trPr>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Testing Stack</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JUnit Jupiter 5, Mockito, AssertJ, Spring Security Test</w:t>
            </w:r>
          </w:p>
        </w:tc>
        <w:tc>
          <w:tcPr>
            <w:tcW w:type="dxa" w:w="129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Managed</w:t>
            </w:r>
          </w:p>
        </w:tc>
        <w:tc>
          <w:tcPr>
            <w:tcW w:type="dxa" w:w="290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Unit, service-ownership, and full HTTP MockMvc security verification.</w:t>
            </w:r>
          </w:p>
        </w:tc>
      </w:tr>
    </w:tbl>
    <w:p>
      <w:pPr>
        <w:spacing w:after="80"/>
      </w:pPr>
    </w:p>
    <w:p>
      <w:pPr>
        <w:keepNext/>
        <w:spacing w:before="260" w:after="120"/>
      </w:pPr>
      <w:r>
        <w:rPr>
          <w:rFonts w:ascii="Times New Roman" w:hAnsi="Times New Roman"/>
          <w:b/>
          <w:color w:val="0F2744"/>
          <w:sz w:val="28"/>
        </w:rPr>
        <w:t>5.2 Hardware Requirements</w:t>
      </w:r>
    </w:p>
    <w:p>
      <w:pPr>
        <w:spacing w:line="360" w:lineRule="auto" w:after="140"/>
        <w:jc w:val="both"/>
      </w:pPr>
      <w:r>
        <w:rPr>
          <w:rFonts w:ascii="Times New Roman" w:hAnsi="Times New Roman"/>
          <w:sz w:val="24"/>
        </w:rPr>
        <w:t>Because IMS compiles to a self-contained Spring Boot application with server-side Thymeleaf rendering and efficient HikariCP database connection pooling, hardware resource demands remain modest across developer machines, clinic/cloud servers, and client workstations, as detailed in Table 5.2.</w:t>
      </w:r>
    </w:p>
    <w:p>
      <w:pPr>
        <w:keepNext/>
        <w:spacing w:before="160" w:after="80"/>
      </w:pPr>
      <w:r>
        <w:rPr>
          <w:rFonts w:ascii="Times New Roman" w:hAnsi="Times New Roman"/>
          <w:b/>
          <w:color w:val="0F2744"/>
          <w:sz w:val="21"/>
        </w:rPr>
        <w:t>Table 5.2: Minimum and Recommended Hardware Specifications</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08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Deployment Tier</w:t>
            </w:r>
          </w:p>
        </w:tc>
        <w:tc>
          <w:tcPr>
            <w:tcW w:type="dxa" w:w="2232"/>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Processor (CPU)</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Memory (RAM)</w:t>
            </w:r>
          </w:p>
        </w:tc>
        <w:tc>
          <w:tcPr>
            <w:tcW w:type="dxa" w:w="2549"/>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Storage &amp; Network</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Developer Workstation</w:t>
            </w:r>
          </w:p>
        </w:tc>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Intel Core i5 / AMD Ryzen 5 (4+ cores, 2.5 GHz+)</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8 GB min (16 GB recommended)</w:t>
            </w:r>
          </w:p>
        </w:tc>
        <w:tc>
          <w:tcPr>
            <w:tcW w:type="dxa" w:w="254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20 GB SSD free space for JDK, Maven cache &amp; SQL Express</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Production Application + DB Server</w:t>
            </w:r>
          </w:p>
        </w:tc>
        <w:tc>
          <w:tcPr>
            <w:tcW w:type="dxa" w:w="223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4 vCPU x86_64 Server Processor</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8 GB – 16 GB ECC / Cloud RAM</w:t>
            </w:r>
          </w:p>
        </w:tc>
        <w:tc>
          <w:tcPr>
            <w:tcW w:type="dxa" w:w="254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50 GB NVMe SSD (RAID/Snapshot backed), 100 Mbps NIC</w:t>
            </w:r>
          </w:p>
        </w:tc>
      </w:tr>
      <w:tr>
        <w:trPr>
          <w:cantSplit/>
        </w:trPr>
        <w:tc>
          <w:tcPr>
            <w:tcW w:type="dxa" w:w="208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 Doctor Client PC or Tablet</w:t>
            </w:r>
          </w:p>
        </w:tc>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Dual-core 1.8 GHz+ (Desktop, Laptop, or iPad/Tablet)</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4 GB RAM</w:t>
            </w:r>
          </w:p>
        </w:tc>
        <w:tc>
          <w:tcPr>
            <w:tcW w:type="dxa" w:w="2549"/>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1366x768+ display, modern browser (Chrome/Edge/Firefox)</w:t>
            </w:r>
          </w:p>
        </w:tc>
      </w:tr>
      <w:tr>
        <w:trPr>
          <w:cantSplit/>
        </w:trPr>
        <w:tc>
          <w:tcPr>
            <w:tcW w:type="dxa" w:w="208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 POS Counter Terminal</w:t>
            </w:r>
          </w:p>
        </w:tc>
        <w:tc>
          <w:tcPr>
            <w:tcW w:type="dxa" w:w="223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Dual-core x86 PC + Optional USB HID 1D/2D Scanner</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4 GB RAM</w:t>
            </w:r>
          </w:p>
        </w:tc>
        <w:tc>
          <w:tcPr>
            <w:tcW w:type="dxa" w:w="2549"/>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Thermal/Laser receipt printer + broadband/LAN link</w:t>
            </w:r>
          </w:p>
        </w:tc>
      </w:tr>
    </w:tbl>
    <w:p>
      <w:pPr>
        <w:spacing w:after="80"/>
      </w:pPr>
    </w:p>
    <w:p>
      <w:pPr>
        <w:keepNext/>
        <w:spacing w:before="260" w:after="120"/>
      </w:pPr>
      <w:r>
        <w:rPr>
          <w:rFonts w:ascii="Times New Roman" w:hAnsi="Times New Roman"/>
          <w:b/>
          <w:color w:val="0F2744"/>
          <w:sz w:val="28"/>
        </w:rPr>
        <w:t>5.3 Programming Languages Used</w:t>
      </w:r>
    </w:p>
    <w:p>
      <w:pPr>
        <w:keepNext/>
        <w:spacing w:before="200" w:after="80"/>
      </w:pPr>
      <w:r>
        <w:rPr>
          <w:rFonts w:ascii="Times New Roman" w:hAnsi="Times New Roman"/>
          <w:b/>
          <w:color w:val="1E3A8A"/>
          <w:sz w:val="24"/>
        </w:rPr>
        <w:t>5.3.1 Java 27 (Backend Domain, Security, and Web Layer)</w:t>
      </w:r>
    </w:p>
    <w:p>
      <w:pPr>
        <w:spacing w:line="360" w:lineRule="auto" w:after="140"/>
        <w:jc w:val="both"/>
      </w:pPr>
      <w:r>
        <w:rPr>
          <w:rFonts w:ascii="Times New Roman" w:hAnsi="Times New Roman"/>
          <w:sz w:val="24"/>
        </w:rPr>
        <w:t>All 189 production source files and 8 test suites in clinicflow-app are written in modern Java (configured at &lt;java.version&gt;27&lt;/java.version&gt; in pom.xml). Modern Java language constructs materially improve clarity and safety throughout the codebase: immutable Java records (such as KpiCard, ActivityRow, NavItem, Breadcrumb, IssuedToken, EmailContent, SlotOption, and domain event payloads) eliminate mutable DTO boilerplate; exhaustive switch expressions (used in NavigationService, RoleHomeResolver, AuthTokenService, and EmailDeliveryService) guarantee at compile time that every enum constant of Role or AuthTokenPurpose is handled; and pattern matching for instanceof simplifies principal inspection in ClinicStatusFilter.</w:t>
      </w:r>
    </w:p>
    <w:p>
      <w:pPr>
        <w:keepNext/>
        <w:spacing w:before="200" w:after="80"/>
      </w:pPr>
      <w:r>
        <w:rPr>
          <w:rFonts w:ascii="Times New Roman" w:hAnsi="Times New Roman"/>
          <w:b/>
          <w:color w:val="1E3A8A"/>
          <w:sz w:val="24"/>
        </w:rPr>
        <w:t>5.3.2 Transact-SQL (T-SQL for Microsoft SQL Server 2022)</w:t>
      </w:r>
    </w:p>
    <w:p>
      <w:pPr>
        <w:spacing w:line="360" w:lineRule="auto" w:after="140"/>
        <w:jc w:val="both"/>
      </w:pPr>
      <w:r>
        <w:rPr>
          <w:rFonts w:ascii="Times New Roman" w:hAnsi="Times New Roman"/>
          <w:sz w:val="24"/>
        </w:rPr>
        <w:t>Database DDL across V001 through V009 leverages rich Transact-SQL capabilities unavailable in generic auto-generated ORM schemas: explicit named CHECK constraints on every status and monetary column, Latin1_General_100_BIN2 binary code-point collation on Prescriptions.prescription_code to enforce strict case sensitivity at the index level, filtered unique indexes (WHERE status IN (...) and WHERE dispense_id IS NOT NULL) to combine business flexibility with relational uniqueness, ROWVERSION columns for hardware-fast optimistic concurrency, and aggregated SQL views (dbo.vw_PrescriptionFulfilment).</w:t>
      </w:r>
    </w:p>
    <w:p>
      <w:pPr>
        <w:keepNext/>
        <w:spacing w:before="200" w:after="80"/>
      </w:pPr>
      <w:r>
        <w:rPr>
          <w:rFonts w:ascii="Times New Roman" w:hAnsi="Times New Roman"/>
          <w:b/>
          <w:color w:val="1E3A8A"/>
          <w:sz w:val="24"/>
        </w:rPr>
        <w:t>5.3.3 HTML5, CSS3 Custom Properties, SVG, and Vanilla ES6 JavaScript</w:t>
      </w:r>
    </w:p>
    <w:p>
      <w:pPr>
        <w:spacing w:line="360" w:lineRule="auto" w:after="140"/>
        <w:jc w:val="both"/>
      </w:pPr>
      <w:r>
        <w:rPr>
          <w:rFonts w:ascii="Times New Roman" w:hAnsi="Times New Roman"/>
          <w:sz w:val="24"/>
        </w:rPr>
        <w:t>Client markup across all 61 templates adheres to semantic, accessible HTML5 (ARIA landmarks, aria-current, associated &lt;label&gt; elements, and keyboard focus rings). Styling in static/css/app.css (1,882 lines) uses CSS3 Custom Properties (--c-primary, --c-sidebar-bg, --c-accent, spacing tokens --s-1..--s-6) with zero external CSS framework bloat, paired with an inline SVG icon sprite (static/icons.svg) and unobtrusive ES6 JavaScript (static/js/app.js) for responsive sidebar toggling and dynamic prescription/POS row helpers.</w:t>
      </w:r>
    </w:p>
    <w:p>
      <w:pPr>
        <w:keepNext/>
        <w:spacing w:before="260" w:after="120"/>
      </w:pPr>
      <w:r>
        <w:rPr>
          <w:rFonts w:ascii="Times New Roman" w:hAnsi="Times New Roman"/>
          <w:b/>
          <w:color w:val="0F2744"/>
          <w:sz w:val="28"/>
        </w:rPr>
        <w:t>5.4 Frameworks and Libraries</w:t>
      </w:r>
    </w:p>
    <w:p>
      <w:pPr>
        <w:pStyle w:val="ListBullet"/>
        <w:spacing w:line="336" w:lineRule="auto" w:after="100"/>
        <w:jc w:val="both"/>
      </w:pPr>
      <w:r>
        <w:rPr>
          <w:rFonts w:ascii="Times New Roman" w:hAnsi="Times New Roman"/>
          <w:b/>
          <w:sz w:val="24"/>
        </w:rPr>
        <w:t xml:space="preserve">Spring Boot 4.1.2 &amp; Spring WebMVC: </w:t>
      </w:r>
      <w:r>
        <w:rPr>
          <w:rFonts w:ascii="Times New Roman" w:hAnsi="Times New Roman"/>
          <w:sz w:val="24"/>
        </w:rPr>
        <w:t>Provides convention-over-configuration bootstrap, externalized YAML property binding, Jakarta Bean Validation integration, custom HTTP 403/404/500 error routing, and Actuator /actuator/health probes.</w:t>
      </w:r>
    </w:p>
    <w:p>
      <w:pPr>
        <w:pStyle w:val="ListBullet"/>
        <w:spacing w:line="336" w:lineRule="auto" w:after="100"/>
        <w:jc w:val="both"/>
      </w:pPr>
      <w:r>
        <w:rPr>
          <w:rFonts w:ascii="Times New Roman" w:hAnsi="Times New Roman"/>
          <w:b/>
          <w:sz w:val="24"/>
        </w:rPr>
        <w:t xml:space="preserve">Spring Security 6: </w:t>
      </w:r>
      <w:r>
        <w:rPr>
          <w:rFonts w:ascii="Times New Roman" w:hAnsi="Times New Roman"/>
          <w:sz w:val="24"/>
        </w:rPr>
        <w:t>Implements stateful HTTP session authentication, DelegatingPasswordEncoder (BCrypt default), automatic synchronizer-token CSRF protection, 7-day Remember-Me cookies, custom authentication success/failure handlers, and filter-chain hooks for LoginThrottleFilter and ClinicStatusFilter.</w:t>
      </w:r>
    </w:p>
    <w:p>
      <w:pPr>
        <w:pStyle w:val="ListBullet"/>
        <w:spacing w:line="336" w:lineRule="auto" w:after="100"/>
        <w:jc w:val="both"/>
      </w:pPr>
      <w:r>
        <w:rPr>
          <w:rFonts w:ascii="Times New Roman" w:hAnsi="Times New Roman"/>
          <w:b/>
          <w:sz w:val="24"/>
        </w:rPr>
        <w:t xml:space="preserve">Spring Data JPA &amp; Hibernate 6: </w:t>
      </w:r>
      <w:r>
        <w:rPr>
          <w:rFonts w:ascii="Times New Roman" w:hAnsi="Times New Roman"/>
          <w:sz w:val="24"/>
        </w:rPr>
        <w:t>Backs all 24 repository interfaces with compile-checked query methods, custom JPQL @Lock(LockModeType.PESSIMISTIC_WRITE) row locks for atomic token consumption, doctor slot booking, and pharmacy item dispensing, and PhysicalNamingStrategyStandardImpl for exact SQL Server column alignment.</w:t>
      </w:r>
    </w:p>
    <w:p>
      <w:pPr>
        <w:pStyle w:val="ListBullet"/>
        <w:spacing w:line="336" w:lineRule="auto" w:after="100"/>
        <w:jc w:val="both"/>
      </w:pPr>
      <w:r>
        <w:rPr>
          <w:rFonts w:ascii="Times New Roman" w:hAnsi="Times New Roman"/>
          <w:b/>
          <w:sz w:val="24"/>
        </w:rPr>
        <w:t xml:space="preserve">Thymeleaf &amp; Ultraq Layout Dialect 4.0.1: </w:t>
      </w:r>
      <w:r>
        <w:rPr>
          <w:rFonts w:ascii="Times New Roman" w:hAnsi="Times New Roman"/>
          <w:sz w:val="24"/>
        </w:rPr>
        <w:t>Composes all portal pages cleanly from layout/base.html and layout/auth.html fragments while escaping untrusted text by default (th:text) to neutralize Cross-Site Scripting (XSS).</w:t>
      </w:r>
    </w:p>
    <w:p>
      <w:pPr>
        <w:pStyle w:val="ListBullet"/>
        <w:spacing w:line="336" w:lineRule="auto" w:after="100"/>
        <w:jc w:val="both"/>
      </w:pPr>
      <w:r>
        <w:rPr>
          <w:rFonts w:ascii="Times New Roman" w:hAnsi="Times New Roman"/>
          <w:b/>
          <w:sz w:val="24"/>
        </w:rPr>
        <w:t xml:space="preserve">Flyway Database Migrations: </w:t>
      </w:r>
      <w:r>
        <w:rPr>
          <w:rFonts w:ascii="Times New Roman" w:hAnsi="Times New Roman"/>
          <w:sz w:val="24"/>
        </w:rPr>
        <w:t>Configured with baseline-on-migrate=true and baseline-version=1 so existing SQL Server schemas upgrade deterministically through V002–V009 on startup without manual DDL drift.</w:t>
      </w:r>
    </w:p>
    <w:p>
      <w:pPr>
        <w:pStyle w:val="ListBullet"/>
        <w:spacing w:line="336" w:lineRule="auto" w:after="100"/>
        <w:jc w:val="both"/>
      </w:pPr>
      <w:r>
        <w:rPr>
          <w:rFonts w:ascii="Times New Roman" w:hAnsi="Times New Roman"/>
          <w:b/>
          <w:sz w:val="24"/>
        </w:rPr>
        <w:t xml:space="preserve">JUnit 5, Mockito &amp; AssertJ: </w:t>
      </w:r>
      <w:r>
        <w:rPr>
          <w:rFonts w:ascii="Times New Roman" w:hAnsi="Times New Roman"/>
          <w:sz w:val="24"/>
        </w:rPr>
        <w:t>Powers fast, isolated unit tests of cryptographic/policy utilities alongside full @SpringBootTest + @AutoConfigureMockMvc web security and multi-step workflow integration tests.</w:t>
      </w:r>
    </w:p>
    <w:p>
      <w:pPr>
        <w:keepNext/>
        <w:spacing w:before="260" w:after="120"/>
      </w:pPr>
      <w:r>
        <w:rPr>
          <w:rFonts w:ascii="Times New Roman" w:hAnsi="Times New Roman"/>
          <w:b/>
          <w:color w:val="0F2744"/>
          <w:sz w:val="28"/>
        </w:rPr>
        <w:t>5.5 Development and Runtime Environment</w:t>
      </w:r>
    </w:p>
    <w:p>
      <w:pPr>
        <w:spacing w:line="360" w:lineRule="auto" w:after="140"/>
        <w:jc w:val="both"/>
      </w:pPr>
      <w:r>
        <w:rPr>
          <w:rFonts w:ascii="Times New Roman" w:hAnsi="Times New Roman"/>
          <w:sz w:val="24"/>
        </w:rPr>
        <w:t>IMS supports two clean runtime profiles out of the box. The default profile connects via the Microsoft JDBC Driver (mssql-jdbc) over TCP port 1433 to localhost\SQLEXPRESS (database ClinicFlow_Dev) with HikariCP connection pooling and Flyway enabled. For instant developer onboarding or offline automated testing where SQL Server TCP/IP is unavailable, activating -Dspring-boot.run.profiles=h2 switches transparently to H2 in MSSQLServer compatibility mode and logs outbound verification/invitation links via clinicflow.mail.mode=log. Build reproducibility is guaranteed by bundling Apache Maven 3.9.11 directly inside tools/apache-maven-3.9.11 alongside PowerShell launch scripts in clinicflow-app/scripts/.</w:t>
      </w:r>
    </w:p>
    <w:p>
      <w:r>
        <w:br w:type="page"/>
      </w:r>
    </w:p>
    <w:p>
      <w:pPr>
        <w:spacing w:before="80" w:after="80"/>
        <w:jc w:val="center"/>
      </w:pPr>
      <w:r>
        <w:rPr>
          <w:rFonts w:ascii="Times New Roman" w:hAnsi="Times New Roman"/>
          <w:b/>
          <w:color w:val="1E3A8A"/>
          <w:sz w:val="28"/>
        </w:rPr>
        <w:t>CHAPTER 6</w:t>
      </w:r>
    </w:p>
    <w:p>
      <w:pPr>
        <w:spacing w:after="320"/>
        <w:jc w:val="center"/>
      </w:pPr>
      <w:r>
        <w:rPr>
          <w:rFonts w:ascii="Times New Roman" w:hAnsi="Times New Roman"/>
          <w:b/>
          <w:color w:val="0F2744"/>
          <w:sz w:val="32"/>
        </w:rPr>
        <w:t>IMPLEMENTATION</w:t>
      </w:r>
    </w:p>
    <w:p>
      <w:pPr>
        <w:keepNext/>
        <w:spacing w:before="260" w:after="120"/>
      </w:pPr>
      <w:r>
        <w:rPr>
          <w:rFonts w:ascii="Times New Roman" w:hAnsi="Times New Roman"/>
          <w:b/>
          <w:color w:val="0F2744"/>
          <w:sz w:val="28"/>
        </w:rPr>
        <w:t>6.1 Module Description</w:t>
      </w:r>
    </w:p>
    <w:p>
      <w:pPr>
        <w:spacing w:line="360" w:lineRule="auto" w:after="140"/>
        <w:jc w:val="both"/>
      </w:pPr>
      <w:r>
        <w:rPr>
          <w:rFonts w:ascii="Times New Roman" w:hAnsi="Times New Roman"/>
          <w:sz w:val="24"/>
        </w:rPr>
        <w:t>The implementation of Infeara Medical System spans 189 Java classes across eight tightly cohesive functional modules under src/main/java/com/clinicflow/. Each module encapsulates its own controllers, form validation DTOs, @Transactional domain services, domain events, and audit instrumentation.</w:t>
      </w:r>
    </w:p>
    <w:p>
      <w:pPr>
        <w:keepNext/>
        <w:spacing w:before="200" w:after="80"/>
      </w:pPr>
      <w:r>
        <w:rPr>
          <w:rFonts w:ascii="Times New Roman" w:hAnsi="Times New Roman"/>
          <w:b/>
          <w:color w:val="1E3A8A"/>
          <w:sz w:val="24"/>
        </w:rPr>
        <w:t>6.1.1 Module 1: Zero-Seed Platform Bootstrap (/setup) &amp; Super Admin Console (/admin/**)</w:t>
      </w:r>
    </w:p>
    <w:p>
      <w:pPr>
        <w:spacing w:line="360" w:lineRule="auto" w:after="140"/>
        <w:jc w:val="both"/>
      </w:pPr>
      <w:r>
        <w:rPr>
          <w:rFonts w:ascii="Times New Roman" w:hAnsi="Times New Roman"/>
          <w:sz w:val="24"/>
        </w:rPr>
        <w:t>Implemented in SetupController, SetupService, AdminController, AdminClinicService, AdminPharmacyService, AdminPatientService, AdminReportService, and SmtpSettingsService, this module governs tenant lifecycle from day zero. IMS intentionally ships with zero hardcoded accounts. When userRepository.count() == 0, GET /setup renders the initial owner bootstrap screen; submitting SetupForm validates password policy, creates the first ACTIVE SUPER_ADMIN user, logs SETUP_COMPLETED in AuditLogs, and permanently locks /setup against subsequent calls. From /admin/**, the Super Admin enrolls Clinics and Pharmacies, triggers 72-hour STAFF_INVITE tokens via InvitationService, toggles tenant statuses (ACTIVE / SUSPENDED), inspects platform-wide KPI metrics, and configures live SMTP credentials encrypted via SecretCipher.</w:t>
      </w:r>
    </w:p>
    <w:p>
      <w:pPr>
        <w:keepNext/>
        <w:spacing w:before="200" w:after="80"/>
      </w:pPr>
      <w:r>
        <w:rPr>
          <w:rFonts w:ascii="Times New Roman" w:hAnsi="Times New Roman"/>
          <w:b/>
          <w:color w:val="1E3A8A"/>
          <w:sz w:val="24"/>
        </w:rPr>
        <w:t>6.1.2 Module 2: Identity, Single-Use SHA-256 Auth Tokens, Invitations &amp; Login Throttling</w:t>
      </w:r>
    </w:p>
    <w:p>
      <w:pPr>
        <w:spacing w:line="360" w:lineRule="auto" w:after="140"/>
        <w:jc w:val="both"/>
      </w:pPr>
      <w:r>
        <w:rPr>
          <w:rFonts w:ascii="Times New Roman" w:hAnsi="Times New Roman"/>
          <w:sz w:val="24"/>
        </w:rPr>
        <w:t>Implemented across RegistrationService, VerificationService, PasswordResetService, InvitationService, EmailChangeService, AuthTokenService, TokenHasher, PasswordPolicy, LoginAttemptService, and AuthRateLimiter, this module enforces healthcare-grade identity hygiene. Patient self-registration (/register) collects personal, address, and optional medical fields, enforces &gt;=10-character alphanumeric passwords, creates a PENDING User and PATIENT_ENTERED Patient row (PAT-YYYY-NNNN), and issues a 24-hour VERIFY_EMAIL token. Raw tokens are 32-byte SecureRandom URL-safe strings sent only to the user's email; dbo.AuthTokens persists only the 32-byte SHA-256 hash. Re-issuing a token deletes prior unused tokens for that user and purpose, and consuming a token acquires a pessimistic write lock (findForUpdate) before setting used_at.</w:t>
      </w:r>
    </w:p>
    <w:p>
      <w:pPr>
        <w:keepNext/>
        <w:spacing w:before="200" w:after="80"/>
      </w:pPr>
      <w:r>
        <w:rPr>
          <w:rFonts w:ascii="Times New Roman" w:hAnsi="Times New Roman"/>
          <w:b/>
          <w:color w:val="1E3A8A"/>
          <w:sz w:val="24"/>
        </w:rPr>
        <w:t>6.1.3 Module 3: Patient Self-Service Portal, Clinic Discovery &amp; Atomic Slot Booking</w:t>
      </w:r>
    </w:p>
    <w:p>
      <w:pPr>
        <w:spacing w:line="360" w:lineRule="auto" w:after="140"/>
        <w:jc w:val="both"/>
      </w:pPr>
      <w:r>
        <w:rPr>
          <w:rFonts w:ascii="Times New Roman" w:hAnsi="Times New Roman"/>
          <w:sz w:val="24"/>
        </w:rPr>
        <w:t>Implemented in PatientProfileController, PatientProfileService, ClinicDiscoveryService, SlotService, BookingService, PatientBookingController, and PatientHistoryService, this module empowers authenticated patients while eliminating IDOR vulnerabilities. Every controller method resolves the acting Patient via patientRepository.findByUserUserId(principal.getUserId()). ClinicDiscoveryService lists only ACTIVE clinics with city/name search; SlotService computes available future time slots by subtracting active Appointments from weekday DoctorSchedules; and BookingService serializes bookings by locking the Doctor entity (doctorRepository.findForUpdate) before inserting into Appointments under UX_Appt_Slot.</w:t>
      </w:r>
    </w:p>
    <w:p>
      <w:pPr>
        <w:keepNext/>
        <w:spacing w:before="200" w:after="80"/>
      </w:pPr>
      <w:r>
        <w:rPr>
          <w:rFonts w:ascii="Times New Roman" w:hAnsi="Times New Roman"/>
          <w:b/>
          <w:color w:val="1E3A8A"/>
          <w:sz w:val="24"/>
        </w:rPr>
        <w:t>6.1.4 Module 4: Staff-Verified Patient Account Linking &amp; Non-Destructive Record Merge</w:t>
      </w:r>
    </w:p>
    <w:p>
      <w:pPr>
        <w:spacing w:line="360" w:lineRule="auto" w:after="140"/>
        <w:jc w:val="both"/>
      </w:pPr>
      <w:r>
        <w:rPr>
          <w:rFonts w:ascii="Times New Roman" w:hAnsi="Times New Roman"/>
          <w:sz w:val="24"/>
        </w:rPr>
        <w:t>Implemented in PatientLinkService, ClinicLinkRequestController, and ClinicLinkRequestService (390 lines), this module bridges online accounts with pre-existing clinic walk-in charts safely. A patient submits a link request to an active clinic from My Profile. In /clinic/link-requests/{id}, ClinicLinkRequestService automatically scans the clinic's Patient Masters for matching names and Dates of Birth to surface duplicate warnings. Approval requires ticking the physical identity-verification checkbox. If the administrator supplies an existing clinic patient ID to merge into, the service verifies exact DOB equality, re-points all Appointments, Prescriptions, ClinicPatients, and PatientLinkRequests to the target record, detaches user_id from the old row, marks merged_into_patient_id on the superseded record so audit foreign keys stay valid, and records PATIENT_RECORD_MERGED.</w:t>
      </w:r>
    </w:p>
    <w:p>
      <w:pPr>
        <w:keepNext/>
        <w:spacing w:before="200" w:after="80"/>
      </w:pPr>
      <w:r>
        <w:rPr>
          <w:rFonts w:ascii="Times New Roman" w:hAnsi="Times New Roman"/>
          <w:b/>
          <w:color w:val="1E3A8A"/>
          <w:sz w:val="24"/>
        </w:rPr>
        <w:t>6.1.5 Module 5: Clinic Administration, Doctor Schedules &amp; CSV Medicine Formulary</w:t>
      </w:r>
    </w:p>
    <w:p>
      <w:pPr>
        <w:spacing w:line="360" w:lineRule="auto" w:after="140"/>
        <w:jc w:val="both"/>
      </w:pPr>
      <w:r>
        <w:rPr>
          <w:rFonts w:ascii="Times New Roman" w:hAnsi="Times New Roman"/>
          <w:sz w:val="24"/>
        </w:rPr>
        <w:t>Implemented in ClinicPatientService, ClinicDoctorService, ClinicAppointmentService, and ClinicInventoryService, this module equips CLINIC_ADMIN staff with operational masters. Administrators onboard practitioners, set clinic-specific consultation fees in ClinicDoctors, define granular weekday DoctorSchedules (start time, end time, slot length in minutes, effective date bounds), and dispatch doctor login invitations. ClinicInventoryService manages standardized ClinicMedicines (drug name, dosage, default form, frequency, duration, quantity, instructions) with RFC-4180 CSV template download, bulk CSV import with upsert deduplication, and CSV export.</w:t>
      </w:r>
    </w:p>
    <w:p>
      <w:pPr>
        <w:keepNext/>
        <w:spacing w:before="200" w:after="80"/>
      </w:pPr>
      <w:r>
        <w:rPr>
          <w:rFonts w:ascii="Times New Roman" w:hAnsi="Times New Roman"/>
          <w:b/>
          <w:color w:val="1E3A8A"/>
          <w:sz w:val="24"/>
        </w:rPr>
        <w:t>6.1.6 Module 6: Doctor Clinical Workspace — Consultations, Addenda &amp; 32-Char e-Prescriptions</w:t>
      </w:r>
    </w:p>
    <w:p>
      <w:pPr>
        <w:spacing w:line="360" w:lineRule="auto" w:after="140"/>
        <w:jc w:val="both"/>
      </w:pPr>
      <w:r>
        <w:rPr>
          <w:rFonts w:ascii="Times New Roman" w:hAnsi="Times New Roman"/>
          <w:sz w:val="24"/>
        </w:rPr>
        <w:t>Implemented in DoctorConsultationController, DoctorConsultationService, DoctorPrescriptionController, and PrescriptionService (390 lines), this module governs clinical encounters. Starting an appointment transitions status to IN_CONSULTATION and creates a DRAFT Consultation. While in DRAFT, diagnosis, examination notes, and follow-up date remain editable. Clicking Finalise sets status=FINAL, stamps finalised_at, marks the Appointment COMPLETED, and permanently locks the primary clinical fields; any subsequent clinical clarification is saved exclusively as an author-attributed ConsultationAddendum. PrescriptionService then validates prescribed items (including chronic lifetime flags), enforces one prescription per consultation, generates a unique 32-character code via PublicIdGenerator.prescriptionCode(), and publishes PrescriptionIssuedEvent.</w:t>
      </w:r>
    </w:p>
    <w:p>
      <w:pPr>
        <w:keepNext/>
        <w:spacing w:before="200" w:after="80"/>
      </w:pPr>
      <w:r>
        <w:rPr>
          <w:rFonts w:ascii="Times New Roman" w:hAnsi="Times New Roman"/>
          <w:b/>
          <w:color w:val="1E3A8A"/>
          <w:sz w:val="24"/>
        </w:rPr>
        <w:t>6.1.7 Module 7: Pharmacy Workspace — Verification, Auto-Pricing POS &amp; Finance Ledger</w:t>
      </w:r>
    </w:p>
    <w:p>
      <w:pPr>
        <w:spacing w:line="360" w:lineRule="auto" w:after="140"/>
        <w:jc w:val="both"/>
      </w:pPr>
      <w:r>
        <w:rPr>
          <w:rFonts w:ascii="Times New Roman" w:hAnsi="Times New Roman"/>
          <w:sz w:val="24"/>
        </w:rPr>
        <w:t>Implemented in PharmacyController, PharmacyService (768 lines), PharmacyFinanceController, and PharmacyFinanceService, this module powers retail pharmacy operations. Scanning or entering a 32-character code executes a binary case-sensitive lookup AND Java exact-string filter, logs a PharmacyVerification row with a SHA-256 attempt_hash, and evaluates status, UTC expiry, and remaining item units. Inside /pharmacy/pos, verified prescription items auto-populate a billing cart pre-filled with remembered unit prices from PharmacyMedicinePrices. On sale completion, PharmacyService locks PrescriptionItems for update, verifies requested quantities do not exceed remaining units, computes BigDecimal(HALF_UP) subtotal, discount, percentage tax, net total, and change due, saves PrescriptionDispense and line items, updates remembered catalog prices, and invokes financeService to auto-post an INCOME ledger entry foreign-keyed to dispense_id.</w:t>
      </w:r>
    </w:p>
    <w:p>
      <w:pPr>
        <w:keepNext/>
        <w:spacing w:before="200" w:after="80"/>
      </w:pPr>
      <w:r>
        <w:rPr>
          <w:rFonts w:ascii="Times New Roman" w:hAnsi="Times New Roman"/>
          <w:b/>
          <w:color w:val="1E3A8A"/>
          <w:sz w:val="24"/>
        </w:rPr>
        <w:t>6.1.8 Module 8: Transactional Email Outbox Worker &amp; Encrypted SMTP Engine</w:t>
      </w:r>
    </w:p>
    <w:p>
      <w:pPr>
        <w:spacing w:line="360" w:lineRule="auto" w:after="140"/>
        <w:jc w:val="both"/>
      </w:pPr>
      <w:r>
        <w:rPr>
          <w:rFonts w:ascii="Times New Roman" w:hAnsi="Times New Roman"/>
          <w:sz w:val="24"/>
        </w:rPr>
        <w:t>Implemented across IdentityEmailListener, NotificationEmailListener, EmailOutboxService, EmailTemplates, EmailDeliveryService, EmailDispatchWorker, and SmtpSettingsService, outbound notifications are never sent directly on HTTP request threads. Domain listeners render structured plain-text clinical/security emails and insert QUEUED rows into dbo.EmailLogs guarded by unique idempotency_key values. Every 5 seconds, EmailDispatchWorker invokes EmailDeliveryService.dispatchBatch(), which locks due rows, sends via the active decrypted SmtpSettings JavaMailSender (or logs in dev mode), and applies 1-minute, 5-minute, and 15-minute retry backoff up to 3 attempts.</w:t>
      </w:r>
    </w:p>
    <w:p>
      <w:pPr>
        <w:keepNext/>
        <w:spacing w:before="260" w:after="120"/>
      </w:pPr>
      <w:r>
        <w:rPr>
          <w:rFonts w:ascii="Times New Roman" w:hAnsi="Times New Roman"/>
          <w:b/>
          <w:color w:val="0F2744"/>
          <w:sz w:val="28"/>
        </w:rPr>
        <w:t>6.2 Core Algorithms and Cryptographic Mechanisms</w:t>
      </w:r>
    </w:p>
    <w:p>
      <w:pPr>
        <w:pStyle w:val="ListBullet"/>
        <w:spacing w:line="336" w:lineRule="auto" w:after="100"/>
        <w:jc w:val="both"/>
      </w:pPr>
      <w:r>
        <w:rPr>
          <w:rFonts w:ascii="Times New Roman" w:hAnsi="Times New Roman"/>
          <w:b/>
          <w:sz w:val="24"/>
        </w:rPr>
        <w:t xml:space="preserve">Algorithm 1 — Unambiguous 32-Character CSPRNG Prescription Code Generation: </w:t>
      </w:r>
      <w:r>
        <w:rPr>
          <w:rFonts w:ascii="Times New Roman" w:hAnsi="Times New Roman"/>
          <w:sz w:val="24"/>
        </w:rPr>
        <w:t>PublicIdGenerator draws 32 indices from java.security.SecureRandom over the 32-character unambiguous alphabet ABCDEFGHJKLMNPQRSTUVWXYZ23456789 (deliberately omitting visually confusable 0/O and 1/I). Each character carries log2(32) = 5 bits of entropy, yielding 32 x 5 = 160 bits of cryptographic randomness (1.46 x 10^48 possibilities), making brute-force guessing computationally infeasible.</w:t>
      </w:r>
    </w:p>
    <w:p>
      <w:pPr>
        <w:pStyle w:val="ListBullet"/>
        <w:spacing w:line="336" w:lineRule="auto" w:after="100"/>
        <w:jc w:val="both"/>
      </w:pPr>
      <w:r>
        <w:rPr>
          <w:rFonts w:ascii="Times New Roman" w:hAnsi="Times New Roman"/>
          <w:b/>
          <w:sz w:val="24"/>
        </w:rPr>
        <w:t xml:space="preserve">Algorithm 2 — Single-Use SHA-256 Token Issuance &amp; Atomic Consumption: </w:t>
      </w:r>
      <w:r>
        <w:rPr>
          <w:rFonts w:ascii="Times New Roman" w:hAnsi="Times New Roman"/>
          <w:sz w:val="24"/>
        </w:rPr>
        <w:t>TokenHasher generates 32 random bytes (256 bits), Base64URL-encodes them without padding for email links, and stores MessageDigest('SHA-256') as BINARY(32) under unique index UX_AuthTokens_token_hash. Consumption locks the row via PESSIMISTIC_WRITE, verifies used_at IS NULL and expires_at &gt; UTC_NOW, and stamps used_at atomically.</w:t>
      </w:r>
    </w:p>
    <w:p>
      <w:pPr>
        <w:pStyle w:val="ListBullet"/>
        <w:spacing w:line="336" w:lineRule="auto" w:after="100"/>
        <w:jc w:val="both"/>
      </w:pPr>
      <w:r>
        <w:rPr>
          <w:rFonts w:ascii="Times New Roman" w:hAnsi="Times New Roman"/>
          <w:b/>
          <w:sz w:val="24"/>
        </w:rPr>
        <w:t xml:space="preserve">Algorithm 3 — AES-256-GCM Authenticated Secret Encryption: </w:t>
      </w:r>
      <w:r>
        <w:rPr>
          <w:rFonts w:ascii="Times New Roman" w:hAnsi="Times New Roman"/>
          <w:sz w:val="24"/>
        </w:rPr>
        <w:t>SecretCipher derives a 256-bit AES key by hashing the deployment secret with SHA-256, generates a fresh 12-byte (96-bit) SecureRandom IV per encryption, encrypts plaintext under AES/GCM/NoPadding with a 128-bit authentication tag, and prepends the 12-byte IV to the ciphertext stored in SmtpSettings.password_encrypted.</w:t>
      </w:r>
    </w:p>
    <w:p>
      <w:pPr>
        <w:pStyle w:val="ListBullet"/>
        <w:spacing w:line="336" w:lineRule="auto" w:after="100"/>
        <w:jc w:val="both"/>
      </w:pPr>
      <w:r>
        <w:rPr>
          <w:rFonts w:ascii="Times New Roman" w:hAnsi="Times New Roman"/>
          <w:b/>
          <w:sz w:val="24"/>
        </w:rPr>
        <w:t xml:space="preserve">Algorithm 4 — Dual-Guard Atomic Slot Allocation: </w:t>
      </w:r>
      <w:r>
        <w:rPr>
          <w:rFonts w:ascii="Times New Roman" w:hAnsi="Times New Roman"/>
          <w:sz w:val="24"/>
        </w:rPr>
        <w:t>BookingService acquires a pessimistic write lock on the target Doctor entity (serializing concurrent requests for the same practitioner), re-verifies slot validity via SlotService against active appointments, and flushes the new Appointment under UX_Appt_Slot, translating any residual DataIntegrityViolationException into a clean user-facing conflict message.</w:t>
      </w:r>
    </w:p>
    <w:p>
      <w:pPr>
        <w:pStyle w:val="ListBullet"/>
        <w:spacing w:line="336" w:lineRule="auto" w:after="100"/>
        <w:jc w:val="both"/>
      </w:pPr>
      <w:r>
        <w:rPr>
          <w:rFonts w:ascii="Times New Roman" w:hAnsi="Times New Roman"/>
          <w:b/>
          <w:sz w:val="24"/>
        </w:rPr>
        <w:t xml:space="preserve">Algorithm 5 — Non-Destructive Patient Record Merge: </w:t>
      </w:r>
      <w:r>
        <w:rPr>
          <w:rFonts w:ascii="Times New Roman" w:hAnsi="Times New Roman"/>
          <w:sz w:val="24"/>
        </w:rPr>
        <w:t>ClinicLinkRequestService verifies exact DOB match between the online account patient row P_src and the clinic master patient row P_dst, migrates ClinicPatients, Appointments, Prescriptions, and PatientLinkRequests from P_src to P_dst, moves user_id from P_src to P_dst, and sets P_src.merged_into_patient_id = P_dst.patient_id without issuing DELETE on P_src.</w:t>
      </w:r>
    </w:p>
    <w:p>
      <w:pPr>
        <w:pStyle w:val="ListBullet"/>
        <w:spacing w:line="336" w:lineRule="auto" w:after="100"/>
        <w:jc w:val="both"/>
      </w:pPr>
      <w:r>
        <w:rPr>
          <w:rFonts w:ascii="Times New Roman" w:hAnsi="Times New Roman"/>
          <w:b/>
          <w:sz w:val="24"/>
        </w:rPr>
        <w:t xml:space="preserve">Algorithm 6 — Self-Learning Pharmacy POS Pricing &amp; Auto-Ledger Sync: </w:t>
      </w:r>
      <w:r>
        <w:rPr>
          <w:rFonts w:ascii="Times New Roman" w:hAnsi="Times New Roman"/>
          <w:sz w:val="24"/>
        </w:rPr>
        <w:t>PharmacyService resolves unit prices from user input or falls back to case-insensitive lookup in PharmacyMedicinePrices, computes line_total = round(unit_price * qty, 2), taxable = subtotal - discount, tax_amount = round(taxable * tax_rate / 100, 2), and total = taxable + tax_amount, upserts new unit prices back into PharmacyMedicinePrices, and inserts a linked INCOME row in PharmacyFinanceEntries.</w:t>
      </w:r>
    </w:p>
    <w:p>
      <w:pPr>
        <w:keepNext/>
        <w:spacing w:before="260" w:after="120"/>
      </w:pPr>
      <w:r>
        <w:rPr>
          <w:rFonts w:ascii="Times New Roman" w:hAnsi="Times New Roman"/>
          <w:b/>
          <w:color w:val="0F2744"/>
          <w:sz w:val="28"/>
        </w:rPr>
        <w:t>6.3 Pseudocode and Logic Flows</w:t>
      </w:r>
    </w:p>
    <w:p>
      <w:pPr>
        <w:keepNext/>
        <w:spacing w:before="160" w:after="60"/>
      </w:pPr>
      <w:r>
        <w:rPr>
          <w:rFonts w:ascii="Times New Roman" w:hAnsi="Times New Roman"/>
          <w:b/>
          <w:color w:val="1E3A8A"/>
          <w:sz w:val="21"/>
        </w:rPr>
        <w:t>Pseudocode 6.1 — Staff-Verified Patient Link Approval &amp; Non-Destructive Merge</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PROCEDURE ApprovePatientLinkRequest(adminUserId, clinicId, requestId, form):</w:t>
              <w:br/>
              <w:t xml:space="preserve">  1. IF form.identityVerified == FALSE THEN</w:t>
              <w:br/>
              <w:t xml:space="preserve">       THROW ValidationException("Confirm physical identity verification before</w:t>
              <w:br/>
              <w:t xml:space="preserve">           approving.")</w:t>
              <w:br/>
              <w:t xml:space="preserve">  2. req &lt;- PatientLinkRequestRepository.findForUpdateByClinic(requestId,</w:t>
              <w:br/>
              <w:t xml:space="preserve">      clinicId)</w:t>
              <w:br/>
              <w:t xml:space="preserve">  3. ASSERT req.status == PENDING</w:t>
              <w:br/>
              <w:t xml:space="preserve">  4. accountPatient &lt;- req.patient</w:t>
              <w:br/>
              <w:t xml:space="preserve">  5. IF form.existingClinicPatientId IS BLANK THEN</w:t>
              <w:br/>
              <w:t xml:space="preserve">       EnsureClinicPatientLink(clinicId, accountPatient)</w:t>
              <w:br/>
              <w:t xml:space="preserve">       req.clinicPatientRecord &lt;- accountPatient</w:t>
              <w:br/>
              <w:t xml:space="preserve">       req.status &lt;- APPROVED; req.resolvedBy &lt;- adminUserId; req.resolvedAt &lt;-</w:t>
              <w:br/>
              <w:t xml:space="preserve">           UTC_NOW()</w:t>
              <w:br/>
              <w:t xml:space="preserve">       AuditService.record(adminUserId, CLINIC_ADMIN, "PATIENT_LINK_APPROVED",</w:t>
              <w:br/>
              <w:t xml:space="preserve">           accountPatient)</w:t>
              <w:br/>
              <w:t xml:space="preserve">     ELSE</w:t>
              <w:br/>
              <w:t xml:space="preserve">       targetPatient &lt;- ResolveClinicPatientByPublicOrNumericId(clinicId,</w:t>
              <w:br/>
              <w:t xml:space="preserve">           form.existingClinicPatientId)</w:t>
              <w:br/>
              <w:t xml:space="preserve">       IF targetPatient.dob != accountPatient.dob THEN</w:t>
              <w:br/>
              <w:t xml:space="preserve">         THROW ValidationException("Date of Birth mismatch; merge blocked for</w:t>
              <w:br/>
              <w:t xml:space="preserve">             clinical safety.")</w:t>
              <w:br/>
              <w:t xml:space="preserve">       ReassignAppointmentsAndPrescriptions(from=accountPatient,</w:t>
              <w:br/>
              <w:t xml:space="preserve">           to=targetPatient)</w:t>
              <w:br/>
              <w:t xml:space="preserve">       MergeClinicPatientMemberships(from=accountPatient, to=targetPatient)</w:t>
              <w:br/>
              <w:t xml:space="preserve">       targetPatient.user &lt;- accountPatient.user</w:t>
              <w:br/>
              <w:t xml:space="preserve">       accountPatient.user &lt;- NULL</w:t>
              <w:br/>
              <w:t xml:space="preserve">       accountPatient.mergedIntoPatientId &lt;- targetPatient.patientId</w:t>
              <w:br/>
              <w:t xml:space="preserve">       req.patient &lt;- targetPatient; req.clinicPatientRecord &lt;- targetPatient</w:t>
              <w:br/>
              <w:t xml:space="preserve">       req.status &lt;- APPROVED; req.resolvedBy &lt;- adminUserId; req.resolvedAt &lt;-</w:t>
              <w:br/>
              <w:t xml:space="preserve">           UTC_NOW()</w:t>
              <w:br/>
              <w:t xml:space="preserve">       AuditService.record(adminUserId, CLINIC_ADMIN, "PATIENT_RECORD_MERGED",</w:t>
              <w:br/>
              <w:t xml:space="preserve">           targetPatient)</w:t>
              <w:br/>
              <w:t xml:space="preserve">  6. COMMIT TRANSACTION</w:t>
            </w:r>
          </w:p>
        </w:tc>
      </w:tr>
    </w:tbl>
    <w:p>
      <w:pPr>
        <w:spacing w:after="100"/>
      </w:pPr>
    </w:p>
    <w:p>
      <w:pPr>
        <w:keepNext/>
        <w:spacing w:before="160" w:after="60"/>
      </w:pPr>
      <w:r>
        <w:rPr>
          <w:rFonts w:ascii="Times New Roman" w:hAnsi="Times New Roman"/>
          <w:b/>
          <w:color w:val="1E3A8A"/>
          <w:sz w:val="21"/>
        </w:rPr>
        <w:t>Pseudocode 6.2 — Pharmacy POS Verification, Partial Dispensing &amp; Auto-Finance Sync</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PROCEDURE CompletePosSaleAndDispense(pharmUserId, verificationId, qtyMap,</w:t>
              <w:br/>
              <w:t xml:space="preserve">    priceMap, discount, taxRate, payMethod):</w:t>
              <w:br/>
              <w:t xml:space="preserve">  1. pharmUser &lt;- RequireActivePharmacyUser(pharmUserId)</w:t>
              <w:br/>
              <w:t xml:space="preserve">  2. ver &lt;- VerificationRepository.findById(verificationId)</w:t>
              <w:br/>
              <w:t xml:space="preserve">  3. ASSERT ver.pharmacyId == pharmUser.pharmacyId AND ver.outcome == VALID</w:t>
              <w:br/>
              <w:t xml:space="preserve">  4. ASSERT NOT DispenseRepository.existsByVerificationId(verificationId)</w:t>
              <w:br/>
              <w:t xml:space="preserve">  5. rx &lt;- PrescriptionRepository.findForUpdate(ver.prescriptionId)</w:t>
              <w:br/>
              <w:t xml:space="preserve">  6. ASSERT rx.status == VALID AND rx.expiryDate &gt; UTC_NOW()</w:t>
              <w:br/>
              <w:t xml:space="preserve">  7. items &lt;-</w:t>
              <w:br/>
              <w:t xml:space="preserve">      PrescriptionItemRepository.findForUpdateByPrescriptionId(rx.prescriptionId)</w:t>
              <w:br/>
              <w:t xml:space="preserve">  8. subtotal &lt;- 0.00</w:t>
              <w:br/>
              <w:t xml:space="preserve">  9. FOR EACH item IN items:</w:t>
              <w:br/>
              <w:t xml:space="preserve">       q &lt;- qtyMap.getOrDefault(item.id, 0)</w:t>
              <w:br/>
              <w:t xml:space="preserve">       IF q &gt; (item.quantity - item.quantityDispensed) THEN</w:t>
              <w:br/>
              <w:t xml:space="preserve">         THROW IllegalArgumentException("Over-dispense blocked for " +</w:t>
              <w:br/>
              <w:t xml:space="preserve">             item.medicine)</w:t>
              <w:br/>
              <w:t xml:space="preserve">       IF q &gt; 0 THEN</w:t>
              <w:br/>
              <w:t xml:space="preserve">         uPrice &lt;- Coalesce(priceMap.get(item.id),</w:t>
              <w:br/>
              <w:t xml:space="preserve">             RememberedCatalogPrice(pharmUser.pharmacyId, item.medicine), 0.00)</w:t>
              <w:br/>
              <w:t xml:space="preserve">         subtotal &lt;- subtotal + RoundHalfUp(uPrice * q, 2)</w:t>
              <w:br/>
              <w:t xml:space="preserve">  10. taxable &lt;- subtotal - discount</w:t>
              <w:br/>
              <w:t xml:space="preserve">  11. taxAmt  &lt;- RoundHalfUp(taxable * taxRate / 100, 2)</w:t>
              <w:br/>
              <w:t xml:space="preserve">  12. total   &lt;- taxable + taxAmt</w:t>
              <w:br/>
              <w:t xml:space="preserve">  13. receipt &lt;- SavePrescriptionDispense(rx, pharmUser, ver, subtotal, discount,</w:t>
              <w:br/>
              <w:t xml:space="preserve">      taxRate, taxAmt, total, payMethod)</w:t>
              <w:br/>
              <w:t xml:space="preserve">  14. FOR EACH accepted line (item, q, uPrice):</w:t>
              <w:br/>
              <w:t xml:space="preserve">        item.quantityDispensed &lt;- item.quantityDispensed + q</w:t>
              <w:br/>
              <w:t xml:space="preserve">        SaveDispenseItem(receipt, item, q, uPrice, RoundHalfUp(uPrice * q, 2))</w:t>
              <w:br/>
              <w:t xml:space="preserve">        UpsertPharmacyMedicinePrice(pharmUser.pharmacyId, item.medicine, uPrice)</w:t>
              <w:br/>
              <w:t xml:space="preserve">  15. IF total &gt; 0 THEN</w:t>
              <w:br/>
              <w:t xml:space="preserve">        PharmacyFinanceService.recordPosIncome(pharmUser.pharmacy, receipt,</w:t>
              <w:br/>
              <w:t xml:space="preserve">            total, rx.prescriptionCode)</w:t>
              <w:br/>
              <w:t xml:space="preserve">  16. AuditService.record(pharmUserId, pharmUser.role, "DISPENSE_COMPLETED",</w:t>
              <w:br/>
              <w:t xml:space="preserve">      receipt.publicUuid)</w:t>
              <w:br/>
              <w:t xml:space="preserve">  17. COMMIT TRANSACTION &amp; RETURN receipt</w:t>
            </w:r>
          </w:p>
        </w:tc>
      </w:tr>
    </w:tbl>
    <w:p>
      <w:pPr>
        <w:spacing w:after="100"/>
      </w:pPr>
    </w:p>
    <w:p>
      <w:pPr>
        <w:keepNext/>
        <w:spacing w:before="260" w:after="120"/>
      </w:pPr>
      <w:r>
        <w:rPr>
          <w:rFonts w:ascii="Times New Roman" w:hAnsi="Times New Roman"/>
          <w:b/>
          <w:color w:val="0F2744"/>
          <w:sz w:val="28"/>
        </w:rPr>
        <w:t>6.4 Key Source Code Implementations</w:t>
      </w:r>
    </w:p>
    <w:p>
      <w:pPr>
        <w:spacing w:line="360" w:lineRule="auto" w:after="140"/>
        <w:jc w:val="both"/>
      </w:pPr>
      <w:r>
        <w:rPr>
          <w:rFonts w:ascii="Times New Roman" w:hAnsi="Times New Roman"/>
          <w:sz w:val="24"/>
        </w:rPr>
        <w:t>The following authentic Java source listings are excerpted directly from the clinicflow-app repository to illustrate how security rules, cryptographic primitives, atomic booking, 32-character prescribing, and transactional outbox delivery are realized in production code.</w:t>
      </w:r>
    </w:p>
    <w:p>
      <w:pPr>
        <w:keepNext/>
        <w:spacing w:before="160" w:after="60"/>
      </w:pPr>
      <w:r>
        <w:rPr>
          <w:rFonts w:ascii="Times New Roman" w:hAnsi="Times New Roman"/>
          <w:b/>
          <w:color w:val="1E3A8A"/>
          <w:sz w:val="21"/>
        </w:rPr>
        <w:t>Listing 6.1 — Spring Security 6 RBAC &amp; Tenant Filter Chain (SecurityConfig.java)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@Bean</w:t>
              <w:br/>
              <w:t>public SecurityFilterChain securityFilterChain(HttpSecurity http) throws</w:t>
              <w:br/>
              <w:t xml:space="preserve">    Exception {</w:t>
              <w:br/>
              <w:t xml:space="preserve">    http</w:t>
              <w:br/>
              <w:t xml:space="preserve">        .authorizeHttpRequests(auth -&gt; auth</w:t>
              <w:br/>
              <w:t xml:space="preserve">            .requestMatchers(</w:t>
              <w:br/>
              <w:t xml:space="preserve">                "/", "/login", "/setup", "/setup/**", "/invite", "/invite/**",</w:t>
              <w:br/>
              <w:t xml:space="preserve">                "/register", "/register/**", "/verify-email", "/verify-email/**",</w:t>
              <w:br/>
              <w:t xml:space="preserve">                "/verify-email-change", "/verify-email-change/**",</w:t>
              <w:br/>
              <w:t xml:space="preserve">                "/forgot-password", "/forgot-password/**",</w:t>
              <w:br/>
              <w:t xml:space="preserve">                "/reset-password", "/reset-password/**",</w:t>
              <w:br/>
              <w:t xml:space="preserve">                "/css/**", "/js/**", "/images/**", "/actuator/health", "/error",</w:t>
              <w:br/>
              <w:t xml:space="preserve">                "/error/**"</w:t>
              <w:br/>
              <w:t xml:space="preserve">            ).permitAll()</w:t>
              <w:br/>
              <w:t xml:space="preserve">            .requestMatchers("/admin/**").hasRole("SUPER_ADMIN")</w:t>
              <w:br/>
              <w:t xml:space="preserve">            .requestMatchers("/clinic/**").hasRole("CLINIC_ADMIN")</w:t>
              <w:br/>
              <w:t xml:space="preserve">            .requestMatchers("/doctor/**").hasRole("DOCTOR")</w:t>
              <w:br/>
              <w:t xml:space="preserve">            .requestMatchers("/patient/**").hasRole("PATIENT")</w:t>
              <w:br/>
              <w:t xml:space="preserve">            .requestMatchers("/pharmacy/**").hasAnyRole("PHARMACY_ADMIN",</w:t>
              <w:br/>
              <w:t xml:space="preserve">                "PHARMACIST")</w:t>
              <w:br/>
              <w:t xml:space="preserve">            .anyRequest().authenticated()</w:t>
              <w:br/>
              <w:t xml:space="preserve">        )</w:t>
              <w:br/>
              <w:t xml:space="preserve">        .formLogin(form -&gt; form</w:t>
              <w:br/>
              <w:t xml:space="preserve">            .loginPage("/login").loginProcessingUrl("/login")</w:t>
              <w:br/>
              <w:t xml:space="preserve">            .usernameParameter("email").passwordParameter("password")</w:t>
              <w:br/>
              <w:t xml:space="preserve">            .successHandler(successHandler).failureHandler(failureHandler).permit</w:t>
              <w:br/>
              <w:t xml:space="preserve">                All()</w:t>
              <w:br/>
              <w:t xml:space="preserve">        )</w:t>
              <w:br/>
              <w:t xml:space="preserve">        .exceptionHandling(ex -&gt; ex.accessDeniedPage("/error/403"))</w:t>
              <w:br/>
              <w:t xml:space="preserve">        .addFilterBefore(loginThrottleFilter,</w:t>
              <w:br/>
              <w:t xml:space="preserve">            UsernamePasswordAuthenticationFilter.class)</w:t>
              <w:br/>
              <w:t xml:space="preserve">        .addFilterAfter(clinicStatusFilter,</w:t>
              <w:br/>
              <w:t xml:space="preserve">            UsernamePasswordAuthenticationFilter.class);</w:t>
              <w:br/>
              <w:t xml:space="preserve">    return http.build();</w:t>
              <w:br/>
              <w:t>}</w:t>
            </w:r>
          </w:p>
        </w:tc>
      </w:tr>
    </w:tbl>
    <w:p>
      <w:pPr>
        <w:spacing w:after="100"/>
      </w:pPr>
    </w:p>
    <w:p>
      <w:pPr>
        <w:keepNext/>
        <w:spacing w:before="160" w:after="60"/>
      </w:pPr>
      <w:r>
        <w:rPr>
          <w:rFonts w:ascii="Times New Roman" w:hAnsi="Times New Roman"/>
          <w:b/>
          <w:color w:val="1E3A8A"/>
          <w:sz w:val="21"/>
        </w:rPr>
        <w:t>Listing 6.2 — 32-Character CSPRNG Prescription Code &amp; AES-256-GCM Cipher (PublicIdGenerator.java &amp; SecretCipher.java)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 PublicIdGenerator.java — 160-bit unambiguous 32-character prescription</w:t>
              <w:br/>
              <w:t xml:space="preserve">    identifier</w:t>
              <w:br/>
              <w:t>public final class PublicIdGenerator {</w:t>
              <w:br/>
              <w:t xml:space="preserve">    private static final SecureRandom RANDOM = new SecureRandom();</w:t>
              <w:br/>
              <w:t xml:space="preserve">    private static final char[] ALPHABET =</w:t>
              <w:br/>
              <w:t xml:space="preserve">        "ABCDEFGHJKLMNPQRSTUVWXYZ23456789".toCharArray();</w:t>
              <w:br/>
              <w:br/>
              <w:t xml:space="preserve">    public static String patientId(long sequence) {</w:t>
              <w:br/>
              <w:t xml:space="preserve">        return String.format(Locale.ROOT, "PAT-%d-%04d", Year.now().getValue(),</w:t>
              <w:br/>
              <w:t xml:space="preserve">            sequence);</w:t>
              <w:br/>
              <w:t xml:space="preserve">    }</w:t>
              <w:br/>
              <w:t xml:space="preserve">    public static String appointmentId(long sequence) {</w:t>
              <w:br/>
              <w:t xml:space="preserve">        return String.format(Locale.ROOT, "APT-%d-%05d", Year.now().getValue(),</w:t>
              <w:br/>
              <w:t xml:space="preserve">            sequence);</w:t>
              <w:br/>
              <w:t xml:space="preserve">    }</w:t>
              <w:br/>
              <w:t xml:space="preserve">    public static String prescriptionCode() {</w:t>
              <w:br/>
              <w:t xml:space="preserve">        StringBuilder sb = new StringBuilder(32);</w:t>
              <w:br/>
              <w:t xml:space="preserve">        for (int i = 0; i &lt; 32; i++) {</w:t>
              <w:br/>
              <w:t xml:space="preserve">            sb.append(ALPHABET[RANDOM.nextInt(ALPHABET.length)]);</w:t>
              <w:br/>
              <w:t xml:space="preserve">        }</w:t>
              <w:br/>
              <w:t xml:space="preserve">        return sb.toString();</w:t>
              <w:br/>
              <w:t xml:space="preserve">    }</w:t>
              <w:br/>
              <w:t>}</w:t>
              <w:br/>
              <w:br/>
              <w:t>// SecretCipher.java — Authenticated AES-256-GCM encryption for stored SMTP</w:t>
              <w:br/>
              <w:t xml:space="preserve">    credentials</w:t>
              <w:br/>
              <w:t>public byte[] encrypt(String plaintext) {</w:t>
              <w:br/>
              <w:t xml:space="preserve">    if (plaintext == null || plaintext.isEmpty()) return null;</w:t>
              <w:br/>
              <w:t xml:space="preserve">    byte[] iv = new byte[12];</w:t>
              <w:br/>
              <w:t xml:space="preserve">    random.nextBytes(iv);</w:t>
              <w:br/>
              <w:t xml:space="preserve">    Cipher cipher = Cipher.getInstance("AES/GCM/NoPadding");</w:t>
              <w:br/>
              <w:t xml:space="preserve">    cipher.init(Cipher.ENCRYPT_MODE, key, new GCMParameterSpec(128, iv));</w:t>
              <w:br/>
              <w:t xml:space="preserve">    byte[] encrypted =</w:t>
              <w:br/>
              <w:t xml:space="preserve">        cipher.doFinal(plaintext.getBytes(StandardCharsets.UTF_8));</w:t>
              <w:br/>
              <w:t xml:space="preserve">    byte[] result = new byte[iv.length + encrypted.length];</w:t>
              <w:br/>
              <w:t xml:space="preserve">    System.arraycopy(iv, 0, result, 0, iv.length);</w:t>
              <w:br/>
              <w:t xml:space="preserve">    System.arraycopy(encrypted, 0, result, iv.length, encrypted.length);</w:t>
              <w:br/>
              <w:t xml:space="preserve">    return result;</w:t>
              <w:br/>
              <w:t>}</w:t>
            </w:r>
          </w:p>
        </w:tc>
      </w:tr>
    </w:tbl>
    <w:p>
      <w:pPr>
        <w:spacing w:after="100"/>
      </w:pPr>
    </w:p>
    <w:p>
      <w:pPr>
        <w:keepNext/>
        <w:spacing w:before="160" w:after="60"/>
      </w:pPr>
      <w:r>
        <w:rPr>
          <w:rFonts w:ascii="Times New Roman" w:hAnsi="Times New Roman"/>
          <w:b/>
          <w:color w:val="1E3A8A"/>
          <w:sz w:val="21"/>
        </w:rPr>
        <w:t>Listing 6.3 — Single-Use SHA-256 Hashed Token Vault (AuthTokenService.java)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@Transactional</w:t>
              <w:br/>
              <w:t>public IssuedToken issue(User user, AuthTokenPurpose purpose) {</w:t>
              <w:br/>
              <w:t xml:space="preserve">    repository.deleteByUserAndPurpose(user.getUserId(), purpose);</w:t>
              <w:br/>
              <w:t xml:space="preserve">    String rawToken = TokenHasher.newToken();</w:t>
              <w:br/>
              <w:t xml:space="preserve">    AuthToken token = new AuthToken();</w:t>
              <w:br/>
              <w:t xml:space="preserve">    token.setUser(user);</w:t>
              <w:br/>
              <w:t xml:space="preserve">    token.setPurpose(purpose);</w:t>
              <w:br/>
              <w:t xml:space="preserve">    token.setTokenHash(TokenHasher.sha256(rawToken));</w:t>
              <w:br/>
              <w:t xml:space="preserve">    token.setExpiresAt(now().plus(ttlFor(purpose)));</w:t>
              <w:br/>
              <w:t xml:space="preserve">    token.setCreatedAt(now());</w:t>
              <w:br/>
              <w:t xml:space="preserve">    repository.save(token);</w:t>
              <w:br/>
              <w:t xml:space="preserve">    return new IssuedToken(rawToken, token);</w:t>
              <w:br/>
              <w:t>}</w:t>
              <w:br/>
              <w:br/>
              <w:t>@Transactional</w:t>
              <w:br/>
              <w:t>public Optional&lt;AuthToken&gt; consume(String rawToken, AuthTokenPurpose purpose) {</w:t>
              <w:br/>
              <w:t xml:space="preserve">    if (rawToken == null || rawToken.isBlank()) return Optional.empty();</w:t>
              <w:br/>
              <w:t xml:space="preserve">    LocalDateTime now = now();</w:t>
              <w:br/>
              <w:t xml:space="preserve">    return repository.findForUpdate(TokenHasher.sha256(rawToken), purpose)</w:t>
              <w:br/>
              <w:t xml:space="preserve">            .filter(token -&gt; token.getUsedAt() == null)</w:t>
              <w:br/>
              <w:t xml:space="preserve">            .filter(token -&gt; token.getExpiresAt().isAfter(now))</w:t>
              <w:br/>
              <w:t xml:space="preserve">            .map(token -&gt; { token.setUsedAt(now); return token; });</w:t>
              <w:br/>
              <w:t>}</w:t>
            </w:r>
          </w:p>
        </w:tc>
      </w:tr>
    </w:tbl>
    <w:p>
      <w:pPr>
        <w:spacing w:after="100"/>
      </w:pPr>
    </w:p>
    <w:p>
      <w:pPr>
        <w:keepNext/>
        <w:spacing w:before="160" w:after="60"/>
      </w:pPr>
      <w:r>
        <w:rPr>
          <w:rFonts w:ascii="Times New Roman" w:hAnsi="Times New Roman"/>
          <w:b/>
          <w:color w:val="1E3A8A"/>
          <w:sz w:val="21"/>
        </w:rPr>
        <w:t>Listing 6.4 — Atomic Conflict-Free Slot Reservation (BookingService.java)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@Transactional</w:t>
              <w:br/>
              <w:t>public Long book(Long patientUserId, BookingForm form) {</w:t>
              <w:br/>
              <w:t xml:space="preserve">    Patient patient = patientRepository.findByUserUserId(patientUserId)</w:t>
              <w:br/>
              <w:t xml:space="preserve">            .orElseThrow(() -&gt; new IllegalStateException("Your patient profile is</w:t>
              <w:br/>
              <w:t xml:space="preserve">                not linked."));</w:t>
              <w:br/>
              <w:t xml:space="preserve">    Clinic clinic = clinicRepository.findById(form.getClinicId())</w:t>
              <w:br/>
              <w:t xml:space="preserve">            .filter(c -&gt; c.getStatus() == ClinicStatus.ACTIVE)</w:t>
              <w:br/>
              <w:t xml:space="preserve">            .orElseThrow(() -&gt; new IllegalArgumentException("Clinic is not</w:t>
              <w:br/>
              <w:t xml:space="preserve">                available."));</w:t>
              <w:br/>
              <w:t xml:space="preserve">    // Pessimistic write lock serialises competing bookings for the same doctor</w:t>
              <w:br/>
              <w:t xml:space="preserve">    Doctor doctor = doctorRepository.findForUpdate(form.getDoctorId())</w:t>
              <w:br/>
              <w:t xml:space="preserve">            .filter(d -&gt; d.getStatus() == DoctorStatus.ACTIVE)</w:t>
              <w:br/>
              <w:t xml:space="preserve">            .orElseThrow(() -&gt; new IllegalArgumentException("Doctor is not</w:t>
              <w:br/>
              <w:t xml:space="preserve">                available."));</w:t>
              <w:br/>
              <w:t xml:space="preserve">    if (!slotService.isValidSlot(clinic.getClinicId(), doctor.getDoctorId(),</w:t>
              <w:br/>
              <w:t xml:space="preserve">        form.getSlotStart())) {</w:t>
              <w:br/>
              <w:t xml:space="preserve">        throw new IllegalArgumentException("That slot is no longer available.</w:t>
              <w:br/>
              <w:t xml:space="preserve">            Choose another.");</w:t>
              <w:br/>
              <w:t xml:space="preserve">    }</w:t>
              <w:br/>
              <w:t xml:space="preserve">    Appointment appointment = new Appointment();</w:t>
              <w:br/>
              <w:t xml:space="preserve">    appointment.setPatient(patient); appointment.setClinic(clinic);</w:t>
              <w:br/>
              <w:t xml:space="preserve">        appointment.setDoctor(doctor);</w:t>
              <w:br/>
              <w:t xml:space="preserve">    appointment.setSlotStart(form.getSlotStart());</w:t>
              <w:br/>
              <w:t xml:space="preserve">    appointment.setSlotEnd(form.getSlotStart().plusMinutes(</w:t>
              <w:br/>
              <w:t xml:space="preserve">            slotService.slotLengthMinutes(clinic.getClinicId(),</w:t>
              <w:br/>
              <w:t xml:space="preserve">                doctor.getDoctorId(), form.getSlotStart())));</w:t>
              <w:br/>
              <w:t xml:space="preserve">    appointment.setStatus(AppointmentStatus.BOOKED);</w:t>
              <w:br/>
              <w:t xml:space="preserve">    try {</w:t>
              <w:br/>
              <w:t xml:space="preserve">        appointment = appointmentRepository.saveAndFlush(appointment);</w:t>
              <w:br/>
              <w:t xml:space="preserve">    } catch (DataIntegrityViolationException ex) {</w:t>
              <w:br/>
              <w:t xml:space="preserve">        throw new IllegalArgumentException("That slot was just taken. Choose</w:t>
              <w:br/>
              <w:t xml:space="preserve">            another.");</w:t>
              <w:br/>
              <w:t xml:space="preserve">    }</w:t>
              <w:br/>
              <w:t xml:space="preserve">    appointment.setPublicAppointmentId(PublicIdGenerator.appointmentId(appointmen</w:t>
              <w:br/>
              <w:t xml:space="preserve">        t.getAppointmentId()));</w:t>
              <w:br/>
              <w:t xml:space="preserve">    return appointmentRepository.save(appointment).getAppointmentId();</w:t>
              <w:br/>
              <w:t>}</w:t>
            </w:r>
          </w:p>
        </w:tc>
      </w:tr>
    </w:tbl>
    <w:p>
      <w:pPr>
        <w:spacing w:after="100"/>
      </w:pPr>
    </w:p>
    <w:p>
      <w:pPr>
        <w:keepNext/>
        <w:spacing w:before="160" w:after="60"/>
      </w:pPr>
      <w:r>
        <w:rPr>
          <w:rFonts w:ascii="Times New Roman" w:hAnsi="Times New Roman"/>
          <w:b/>
          <w:color w:val="1E3A8A"/>
          <w:sz w:val="21"/>
        </w:rPr>
        <w:t>Listing 6.5 — Non-Destructive Patient Chart Consolidation (ClinicLinkRequestService.java)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private Patient mergeIntoClinicRecord(Patient account, Patient clinicRecord, Long</w:t>
              <w:br/>
              <w:t xml:space="preserve">    clinicId,</w:t>
              <w:br/>
              <w:t xml:space="preserve">                                      PatientLinkRequest currentRequest) {</w:t>
              <w:br/>
              <w:t xml:space="preserve">    User accountUser = account.getUser();</w:t>
              <w:br/>
              <w:br/>
              <w:t xml:space="preserve">    List&lt;ClinicPatient&gt; links =</w:t>
              <w:br/>
              <w:t xml:space="preserve">        clinicPatientRepository.findByPatientPatientId(account.getPatientId());</w:t>
              <w:br/>
              <w:t xml:space="preserve">    for (ClinicPatient link : links) {</w:t>
              <w:br/>
              <w:t xml:space="preserve">        boolean sameClinic = link.getClinic().getClinicId().equals(clinicId);</w:t>
              <w:br/>
              <w:t xml:space="preserve">        boolean targetAlreadyLinked =</w:t>
              <w:br/>
              <w:t xml:space="preserve">            clinicPatientRepository.existsByClinicClinicIdAndPatientPatientId(</w:t>
              <w:br/>
              <w:t xml:space="preserve">                link.getClinic().getClinicId(), clinicRecord.getPatientId());</w:t>
              <w:br/>
              <w:t xml:space="preserve">        if (sameClinic || targetAlreadyLinked) {</w:t>
              <w:br/>
              <w:t xml:space="preserve">            clinicPatientRepository.delete(link);</w:t>
              <w:br/>
              <w:t xml:space="preserve">        } else {</w:t>
              <w:br/>
              <w:t xml:space="preserve">            link.setPatient(clinicRecord);</w:t>
              <w:br/>
              <w:t xml:space="preserve">            clinicPatientRepository.save(link);</w:t>
              <w:br/>
              <w:t xml:space="preserve">        }</w:t>
              <w:br/>
              <w:t xml:space="preserve">    }</w:t>
              <w:br/>
              <w:t xml:space="preserve">    appointmentRepository.findByPatientPatientIdOrderBySlotStartDesc(account.getP</w:t>
              <w:br/>
              <w:t xml:space="preserve">        atientId())</w:t>
              <w:br/>
              <w:t xml:space="preserve">            .forEach(a -&gt; a.setPatient(clinicRecord));</w:t>
              <w:br/>
              <w:t xml:space="preserve">    prescriptionRepository.findByPatientPatientIdOrderByIssueDateDesc(account.get</w:t>
              <w:br/>
              <w:t xml:space="preserve">        PatientId())</w:t>
              <w:br/>
              <w:t xml:space="preserve">            .forEach(rx -&gt; rx.setPatient(clinicRecord));</w:t>
              <w:br/>
              <w:br/>
              <w:t xml:space="preserve">    clinicRecord.setEmail(accountUser.getEmail());</w:t>
              <w:br/>
              <w:t xml:space="preserve">    clinicRecord.setMobile(copyIfBlank(clinicRecord.getMobile(),</w:t>
              <w:br/>
              <w:t xml:space="preserve">        account.getMobile()));</w:t>
              <w:br/>
              <w:t xml:space="preserve">    clinicRecord.setAllergies(copyIfBlank(clinicRecord.getAllergies(),</w:t>
              <w:br/>
              <w:t xml:space="preserve">        account.getAllergies()));</w:t>
              <w:br/>
              <w:t xml:space="preserve">    clinicRecord.setConditions(copyIfBlank(clinicRecord.getConditions(),</w:t>
              <w:br/>
              <w:t xml:space="preserve">        account.getConditions()));</w:t>
              <w:br/>
              <w:t xml:space="preserve">    clinicRecord.setUser(accountUser);</w:t>
              <w:br/>
              <w:t xml:space="preserve">    clinicRecord.setUpdatedAt(LocalDateTime.now(ZoneOffset.UTC));</w:t>
              <w:br/>
              <w:t xml:space="preserve">    patientRepository.save(clinicRecord);</w:t>
              <w:br/>
              <w:br/>
              <w:t xml:space="preserve">    account.setUser(null); // Retain historical row so foreign keys in AuditLogs</w:t>
              <w:br/>
              <w:t xml:space="preserve">        stay valid</w:t>
              <w:br/>
              <w:t xml:space="preserve">    account.setMergedInto(clinicRecord);</w:t>
              <w:br/>
              <w:t xml:space="preserve">    patientRepository.save(account);</w:t>
              <w:br/>
              <w:t xml:space="preserve">    return clinicRecord;</w:t>
              <w:br/>
              <w:t>}</w:t>
            </w:r>
          </w:p>
        </w:tc>
      </w:tr>
    </w:tbl>
    <w:p>
      <w:pPr>
        <w:spacing w:after="100"/>
      </w:pPr>
    </w:p>
    <w:p>
      <w:pPr>
        <w:keepNext/>
        <w:spacing w:before="160" w:after="60"/>
      </w:pPr>
      <w:r>
        <w:rPr>
          <w:rFonts w:ascii="Times New Roman" w:hAnsi="Times New Roman"/>
          <w:b/>
          <w:color w:val="1E3A8A"/>
          <w:sz w:val="21"/>
        </w:rPr>
        <w:t>Listing 6.6 — Receipt-Linked Pharmacy Cashbook Ledger Service (PharmacyFinanceService.java)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@Transactional</w:t>
              <w:br/>
              <w:t>public void addEntry(Long userId, String type, BigDecimal amount, String</w:t>
              <w:br/>
              <w:t xml:space="preserve">    description,</w:t>
              <w:br/>
              <w:t xml:space="preserve">                     LocalDate entryDate, Long actorUserId, Long dispenseId) {</w:t>
              <w:br/>
              <w:t xml:space="preserve">    PharmacyUser link = pharmacyUserRepository.findByUserUserId(userId)</w:t>
              <w:br/>
              <w:t xml:space="preserve">            .orElseThrow(() -&gt; new IllegalStateException("Pharmacy account is not</w:t>
              <w:br/>
              <w:t xml:space="preserve">                linked."));</w:t>
              <w:br/>
              <w:t xml:space="preserve">    if (!"INCOME".equals(type) &amp;&amp; !"EXPENSE".equals(type)) {</w:t>
              <w:br/>
              <w:t xml:space="preserve">        throw new IllegalArgumentException("Choose INCOME or EXPENSE.");</w:t>
              <w:br/>
              <w:t xml:space="preserve">    }</w:t>
              <w:br/>
              <w:t xml:space="preserve">    if (amount == null || amount.compareTo(BigDecimal.ZERO) &lt;= 0) {</w:t>
              <w:br/>
              <w:t xml:space="preserve">        throw new IllegalArgumentException("Enter an amount greater than zero.");</w:t>
              <w:br/>
              <w:t xml:space="preserve">    }</w:t>
              <w:br/>
              <w:t xml:space="preserve">    PharmacyFinanceEntry entry = new PharmacyFinanceEntry();</w:t>
              <w:br/>
              <w:t xml:space="preserve">    entry.setPharmacy(link.getPharmacy());</w:t>
              <w:br/>
              <w:t xml:space="preserve">    entry.setEntryType(type);</w:t>
              <w:br/>
              <w:t xml:space="preserve">    entry.setAmount(amount);</w:t>
              <w:br/>
              <w:t xml:space="preserve">    entry.setDescription(description == null || description.isBlank() ? null :</w:t>
              <w:br/>
              <w:t xml:space="preserve">        description.trim());</w:t>
              <w:br/>
              <w:t xml:space="preserve">    entry.setEntryDate(entryDate != null ? entryDate : LocalDate.now());</w:t>
              <w:br/>
              <w:t xml:space="preserve">    entry.setCreatedBy(actorUserId);</w:t>
              <w:br/>
              <w:t xml:space="preserve">    entry.setDispenseId(dispenseId);</w:t>
              <w:br/>
              <w:t xml:space="preserve">    entry.setCreatedAt(LocalDateTime.now(ZoneOffset.UTC));</w:t>
              <w:br/>
              <w:t xml:space="preserve">    entryRepository.save(entry);</w:t>
              <w:br/>
              <w:t>}</w:t>
            </w:r>
          </w:p>
        </w:tc>
      </w:tr>
    </w:tbl>
    <w:p>
      <w:pPr>
        <w:spacing w:after="100"/>
      </w:pPr>
    </w:p>
    <w:p>
      <w:pPr>
        <w:keepNext/>
        <w:spacing w:before="160" w:after="80"/>
      </w:pPr>
      <w:r>
        <w:rPr>
          <w:rFonts w:ascii="Times New Roman" w:hAnsi="Times New Roman"/>
          <w:b/>
          <w:color w:val="0F2744"/>
          <w:sz w:val="21"/>
        </w:rPr>
        <w:t>Table 6.1: Complete Thymeleaf View &amp; Fragment Directory Inventory (61 HTML5 Templates)</w:t>
      </w:r>
    </w:p>
    <w:tbl>
      <w:tblPr>
        <w:tblW w:type="auto" w:w="0"/>
        <w:jc w:val="center"/>
        <w:tblLook w:firstColumn="1" w:firstRow="1" w:lastColumn="0" w:lastRow="0" w:noHBand="0" w:noVBand="1" w:val="04A0"/>
      </w:tblPr>
      <w:tblGrid>
        <w:gridCol w:w="2890"/>
        <w:gridCol w:w="2890"/>
        <w:gridCol w:w="2890"/>
      </w:tblGrid>
      <w:tr>
        <w:trPr>
          <w:tblHeader/>
          <w:cantSplit/>
        </w:trPr>
        <w:tc>
          <w:tcPr>
            <w:tcW w:type="dxa" w:w="2232"/>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Template Directory</w:t>
            </w:r>
          </w:p>
        </w:tc>
        <w:tc>
          <w:tcPr>
            <w:tcW w:type="dxa" w:w="792"/>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Count</w:t>
            </w:r>
          </w:p>
        </w:tc>
        <w:tc>
          <w:tcPr>
            <w:tcW w:type="dxa" w:w="564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Representative Templates &amp; Clinical Views</w:t>
            </w:r>
          </w:p>
        </w:tc>
      </w:tr>
      <w:tr>
        <w:trPr>
          <w:cantSplit/>
        </w:trPr>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templates/layout/ &amp; fragments/</w:t>
            </w:r>
          </w:p>
        </w:tc>
        <w:tc>
          <w:tcPr>
            <w:tcW w:type="dxa" w:w="7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5</w:t>
            </w:r>
          </w:p>
        </w:tc>
        <w:tc>
          <w:tcPr>
            <w:tcW w:type="dxa" w:w="56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base.html (ERP shell), auth.html (split login/register), brand.html (IMS SVG mark), page-header.html, status-badge.html</w:t>
            </w:r>
          </w:p>
        </w:tc>
      </w:tr>
      <w:tr>
        <w:trPr>
          <w:cantSplit/>
        </w:trPr>
        <w:tc>
          <w:tcPr>
            <w:tcW w:type="dxa" w:w="223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templates/auth/ &amp; error/</w:t>
            </w:r>
          </w:p>
        </w:tc>
        <w:tc>
          <w:tcPr>
            <w:tcW w:type="dxa" w:w="7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16</w:t>
            </w:r>
          </w:p>
        </w:tc>
        <w:tc>
          <w:tcPr>
            <w:tcW w:type="dxa" w:w="564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setup.html, login.html, register.html, register-check-email.html, verify-result.html, forgot-password.html, reset-password.html, invite-accept.html, error/403, 404, 500</w:t>
            </w:r>
          </w:p>
        </w:tc>
      </w:tr>
      <w:tr>
        <w:trPr>
          <w:cantSplit/>
        </w:trPr>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templates/admin/</w:t>
            </w:r>
          </w:p>
        </w:tc>
        <w:tc>
          <w:tcPr>
            <w:tcW w:type="dxa" w:w="7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10</w:t>
            </w:r>
          </w:p>
        </w:tc>
        <w:tc>
          <w:tcPr>
            <w:tcW w:type="dxa" w:w="56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dashboard.html, clinics.html, clinic-new.html, clinic-detail.html, pharmacies.html, pharmacy-new.html, pharmacy-detail.html, patients.html, reports.html, smtp.html</w:t>
            </w:r>
          </w:p>
        </w:tc>
      </w:tr>
      <w:tr>
        <w:trPr>
          <w:cantSplit/>
        </w:trPr>
        <w:tc>
          <w:tcPr>
            <w:tcW w:type="dxa" w:w="223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templates/clinic/</w:t>
            </w:r>
          </w:p>
        </w:tc>
        <w:tc>
          <w:tcPr>
            <w:tcW w:type="dxa" w:w="7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12</w:t>
            </w:r>
          </w:p>
        </w:tc>
        <w:tc>
          <w:tcPr>
            <w:tcW w:type="dxa" w:w="564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dashboard.html, patients.html, patient-new.html, patient-detail.html, link-requests.html, link-request-detail.html, doctors.html, doctor-schedules.html, appointments.html, inventory.html, prescriptions.html</w:t>
            </w:r>
          </w:p>
        </w:tc>
      </w:tr>
      <w:tr>
        <w:trPr>
          <w:cantSplit/>
        </w:trPr>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templates/doctor/</w:t>
            </w:r>
          </w:p>
        </w:tc>
        <w:tc>
          <w:tcPr>
            <w:tcW w:type="dxa" w:w="7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5</w:t>
            </w:r>
          </w:p>
        </w:tc>
        <w:tc>
          <w:tcPr>
            <w:tcW w:type="dxa" w:w="56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dashboard.html, appointments.html, consultation.html (draft/final + addenda), prescription-form.html, prescriptions.html</w:t>
            </w:r>
          </w:p>
        </w:tc>
      </w:tr>
      <w:tr>
        <w:trPr>
          <w:cantSplit/>
        </w:trPr>
        <w:tc>
          <w:tcPr>
            <w:tcW w:type="dxa" w:w="223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templates/patient/</w:t>
            </w:r>
          </w:p>
        </w:tc>
        <w:tc>
          <w:tcPr>
            <w:tcW w:type="dxa" w:w="7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7</w:t>
            </w:r>
          </w:p>
        </w:tc>
        <w:tc>
          <w:tcPr>
            <w:tcW w:type="dxa" w:w="564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dashboard.html, profile.html (verified DOB + clinic link requests), clinics.html, clinic-detail.html, book.html, appointments.html, prescriptions.html, history.html</w:t>
            </w:r>
          </w:p>
        </w:tc>
      </w:tr>
      <w:tr>
        <w:trPr>
          <w:cantSplit/>
        </w:trPr>
        <w:tc>
          <w:tcPr>
            <w:tcW w:type="dxa" w:w="223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templates/pharmacy/</w:t>
            </w:r>
          </w:p>
        </w:tc>
        <w:tc>
          <w:tcPr>
            <w:tcW w:type="dxa" w:w="7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6</w:t>
            </w:r>
          </w:p>
        </w:tc>
        <w:tc>
          <w:tcPr>
            <w:tcW w:type="dxa" w:w="564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dashboard.html, pos.html (live 32-char Rx POS), verify.html, dispense-receipt.html, prices.html, finance.html, users.html, reports.html</w:t>
            </w:r>
          </w:p>
        </w:tc>
      </w:tr>
    </w:tbl>
    <w:p>
      <w:pPr>
        <w:spacing w:after="80"/>
      </w:pPr>
    </w:p>
    <w:p>
      <w:pPr>
        <w:keepNext/>
        <w:spacing w:before="260" w:after="120"/>
      </w:pPr>
      <w:r>
        <w:rPr>
          <w:rFonts w:ascii="Times New Roman" w:hAnsi="Times New Roman"/>
          <w:b/>
          <w:color w:val="0F2744"/>
          <w:sz w:val="28"/>
        </w:rPr>
        <w:t>6.5 Screenshots of Live Application Across Operational Workspaces</w:t>
      </w:r>
    </w:p>
    <w:p>
      <w:pPr>
        <w:spacing w:line="360" w:lineRule="auto" w:after="140"/>
        <w:jc w:val="both"/>
      </w:pPr>
      <w:r>
        <w:rPr>
          <w:rFonts w:ascii="Times New Roman" w:hAnsi="Times New Roman"/>
          <w:sz w:val="24"/>
        </w:rPr>
        <w:t>Figures 6.1 through 6.14 present authentic full-resolution screenshots captured directly from the live running Infeara Medical System (IMS v0.1) deployment across the Authentication Gateway, Super Admin Platform Governance Portal, Doctor Clinical Workspace, and Pharmacy POS &amp; Finance Workspace. Every screen reflects live SQL Server relational records, active role-scoped ERP navigation, real 32-character CSPRNG prescription identifiers, and automated POS-to-Finance ledger synchronization.</w:t>
      </w:r>
    </w:p>
    <w:p>
      <w:pPr>
        <w:spacing w:line="360" w:lineRule="auto" w:after="140"/>
        <w:jc w:val="both"/>
      </w:pPr>
      <w:r>
        <w:rPr>
          <w:rFonts w:ascii="Times New Roman" w:hAnsi="Times New Roman"/>
          <w:b/>
          <w:sz w:val="24"/>
        </w:rPr>
        <w:t xml:space="preserve">Screen 6.1 Walkthrough: </w:t>
      </w:r>
      <w:r>
        <w:rPr>
          <w:rFonts w:ascii="Times New Roman" w:hAnsi="Times New Roman"/>
          <w:sz w:val="24"/>
        </w:rPr>
        <w:t>Displays the live IMS authentication card rendered via templates/layout/auth.html with the medical-cross brand mark, post-logout confirmation banner ('You have been signed out.'), BCrypt-backed email/password inputs (mvignesh479@gmail.com), 7-day Remember-Me checkbox, password recovery link, email verification resend trigger, and self-service patient registration entry point.</w:t>
      </w:r>
    </w:p>
    <w:p>
      <w:pPr>
        <w:keepNext/>
        <w:spacing w:before="160" w:after="80"/>
        <w:jc w:val="center"/>
      </w:pPr>
      <w:r>
        <w:drawing>
          <wp:inline xmlns:a="http://schemas.openxmlformats.org/drawingml/2006/main" xmlns:pic="http://schemas.openxmlformats.org/drawingml/2006/picture">
            <wp:extent cx="5413248" cy="2544424"/>
            <wp:docPr id="13" name="Picture 13"/>
            <wp:cNvGraphicFramePr>
              <a:graphicFrameLocks noChangeAspect="1"/>
            </wp:cNvGraphicFramePr>
            <a:graphic>
              <a:graphicData uri="http://schemas.openxmlformats.org/drawingml/2006/picture">
                <pic:pic>
                  <pic:nvPicPr>
                    <pic:cNvPr id="0" name="real_01_signin.png"/>
                    <pic:cNvPicPr/>
                  </pic:nvPicPr>
                  <pic:blipFill>
                    <a:blip r:embed="rId25"/>
                    <a:stretch>
                      <a:fillRect/>
                    </a:stretch>
                  </pic:blipFill>
                  <pic:spPr>
                    <a:xfrm>
                      <a:off x="0" y="0"/>
                      <a:ext cx="5413248" cy="2544424"/>
                    </a:xfrm>
                    <a:prstGeom prst="rect"/>
                  </pic:spPr>
                </pic:pic>
              </a:graphicData>
            </a:graphic>
          </wp:inline>
        </w:drawing>
      </w:r>
    </w:p>
    <w:p>
      <w:pPr>
        <w:spacing w:after="200"/>
        <w:jc w:val="center"/>
      </w:pPr>
      <w:r>
        <w:rPr>
          <w:rFonts w:ascii="Times New Roman" w:hAnsi="Times New Roman"/>
          <w:b/>
          <w:i/>
          <w:color w:val="334155"/>
          <w:sz w:val="21"/>
        </w:rPr>
        <w:t>Figure 6.1: IMS Unified Sign-In &amp; Session Lifecycle Gateway (/login)</w:t>
      </w:r>
    </w:p>
    <w:p>
      <w:pPr>
        <w:spacing w:line="360" w:lineRule="auto" w:after="140"/>
        <w:jc w:val="both"/>
      </w:pPr>
      <w:r>
        <w:rPr>
          <w:rFonts w:ascii="Times New Roman" w:hAnsi="Times New Roman"/>
          <w:b/>
          <w:sz w:val="24"/>
        </w:rPr>
        <w:t xml:space="preserve">Screen 6.2 Walkthrough: </w:t>
      </w:r>
      <w:r>
        <w:rPr>
          <w:rFonts w:ascii="Times New Roman" w:hAnsi="Times New Roman"/>
          <w:sz w:val="24"/>
        </w:rPr>
        <w:t>Shows the live Super Admin command center featuring six real-time KPI metric cards (Active Clinics: 1, Pending Enrollment: 0, Registered Patients: 2, Appointments Today: 0, Prescriptions Issued: 2, Email Failures: 0) alongside the enrolled facility table listing Vignesh Clinics (ACTIVE) and quick Enroll Clinic CTA.</w:t>
      </w:r>
    </w:p>
    <w:p>
      <w:pPr>
        <w:keepNext/>
        <w:spacing w:before="160" w:after="80"/>
        <w:jc w:val="center"/>
      </w:pPr>
      <w:r>
        <w:drawing>
          <wp:inline xmlns:a="http://schemas.openxmlformats.org/drawingml/2006/main" xmlns:pic="http://schemas.openxmlformats.org/drawingml/2006/picture">
            <wp:extent cx="5413248" cy="2578274"/>
            <wp:docPr id="14" name="Picture 14"/>
            <wp:cNvGraphicFramePr>
              <a:graphicFrameLocks noChangeAspect="1"/>
            </wp:cNvGraphicFramePr>
            <a:graphic>
              <a:graphicData uri="http://schemas.openxmlformats.org/drawingml/2006/picture">
                <pic:pic>
                  <pic:nvPicPr>
                    <pic:cNvPr id="0" name="real_02_admin_dashboard.png"/>
                    <pic:cNvPicPr/>
                  </pic:nvPicPr>
                  <pic:blipFill>
                    <a:blip r:embed="rId26"/>
                    <a:stretch>
                      <a:fillRect/>
                    </a:stretch>
                  </pic:blipFill>
                  <pic:spPr>
                    <a:xfrm>
                      <a:off x="0" y="0"/>
                      <a:ext cx="5413248" cy="2578274"/>
                    </a:xfrm>
                    <a:prstGeom prst="rect"/>
                  </pic:spPr>
                </pic:pic>
              </a:graphicData>
            </a:graphic>
          </wp:inline>
        </w:drawing>
      </w:r>
    </w:p>
    <w:p>
      <w:pPr>
        <w:spacing w:after="200"/>
        <w:jc w:val="center"/>
      </w:pPr>
      <w:r>
        <w:rPr>
          <w:rFonts w:ascii="Times New Roman" w:hAnsi="Times New Roman"/>
          <w:b/>
          <w:i/>
          <w:color w:val="334155"/>
          <w:sz w:val="21"/>
        </w:rPr>
        <w:t>Figure 6.2: Super Admin — Platform Governance Dashboard (/admin/dashboard)</w:t>
      </w:r>
    </w:p>
    <w:p>
      <w:pPr>
        <w:spacing w:line="360" w:lineRule="auto" w:after="140"/>
        <w:jc w:val="both"/>
      </w:pPr>
      <w:r>
        <w:rPr>
          <w:rFonts w:ascii="Times New Roman" w:hAnsi="Times New Roman"/>
          <w:b/>
          <w:sz w:val="24"/>
        </w:rPr>
        <w:t xml:space="preserve">Screen 6.3 Walkthrough: </w:t>
      </w:r>
      <w:r>
        <w:rPr>
          <w:rFonts w:ascii="Times New Roman" w:hAnsi="Times New Roman"/>
          <w:sz w:val="24"/>
        </w:rPr>
        <w:t>Captures the live clinic tenant directory showing Vignesh Clinics (Chennai), active Clinic Administrator vstv4k2002@gmail.com, linked doctor count (1), linked patient count (2), ACTIVE tenant status badge, and enrollment date (25 Oct 2026).</w:t>
      </w:r>
    </w:p>
    <w:p>
      <w:pPr>
        <w:keepNext/>
        <w:spacing w:before="160" w:after="80"/>
        <w:jc w:val="center"/>
      </w:pPr>
      <w:r>
        <w:drawing>
          <wp:inline xmlns:a="http://schemas.openxmlformats.org/drawingml/2006/main" xmlns:pic="http://schemas.openxmlformats.org/drawingml/2006/picture">
            <wp:extent cx="5413248" cy="2552887"/>
            <wp:docPr id="15" name="Picture 15"/>
            <wp:cNvGraphicFramePr>
              <a:graphicFrameLocks noChangeAspect="1"/>
            </wp:cNvGraphicFramePr>
            <a:graphic>
              <a:graphicData uri="http://schemas.openxmlformats.org/drawingml/2006/picture">
                <pic:pic>
                  <pic:nvPicPr>
                    <pic:cNvPr id="0" name="real_03_admin_clinics.png"/>
                    <pic:cNvPicPr/>
                  </pic:nvPicPr>
                  <pic:blipFill>
                    <a:blip r:embed="rId27"/>
                    <a:stretch>
                      <a:fillRect/>
                    </a:stretch>
                  </pic:blipFill>
                  <pic:spPr>
                    <a:xfrm>
                      <a:off x="0" y="0"/>
                      <a:ext cx="5413248" cy="2552887"/>
                    </a:xfrm>
                    <a:prstGeom prst="rect"/>
                  </pic:spPr>
                </pic:pic>
              </a:graphicData>
            </a:graphic>
          </wp:inline>
        </w:drawing>
      </w:r>
    </w:p>
    <w:p>
      <w:pPr>
        <w:spacing w:after="200"/>
        <w:jc w:val="center"/>
      </w:pPr>
      <w:r>
        <w:rPr>
          <w:rFonts w:ascii="Times New Roman" w:hAnsi="Times New Roman"/>
          <w:b/>
          <w:i/>
          <w:color w:val="334155"/>
          <w:sz w:val="21"/>
        </w:rPr>
        <w:t>Figure 6.3: Super Admin — Multi-Tenant Clinic Enrollment Console (/admin/clinics)</w:t>
      </w:r>
    </w:p>
    <w:p>
      <w:pPr>
        <w:spacing w:line="360" w:lineRule="auto" w:after="140"/>
        <w:jc w:val="both"/>
      </w:pPr>
      <w:r>
        <w:rPr>
          <w:rFonts w:ascii="Times New Roman" w:hAnsi="Times New Roman"/>
          <w:b/>
          <w:sz w:val="24"/>
        </w:rPr>
        <w:t xml:space="preserve">Screen 6.4 Walkthrough: </w:t>
      </w:r>
      <w:r>
        <w:rPr>
          <w:rFonts w:ascii="Times New Roman" w:hAnsi="Times New Roman"/>
          <w:sz w:val="24"/>
        </w:rPr>
        <w:t>Depicts the live pharmacy tenant registry listing Vignesh Pharmacy with verified drug licence number KL-12356H2-77 (Chennai, Tamilnadu), active Pharmacy Administrator mvignesh479@gmail.com, staff count, and ACTIVE operational status.</w:t>
      </w:r>
    </w:p>
    <w:p>
      <w:pPr>
        <w:keepNext/>
        <w:spacing w:before="160" w:after="80"/>
        <w:jc w:val="center"/>
      </w:pPr>
      <w:r>
        <w:drawing>
          <wp:inline xmlns:a="http://schemas.openxmlformats.org/drawingml/2006/main" xmlns:pic="http://schemas.openxmlformats.org/drawingml/2006/picture">
            <wp:extent cx="5413248" cy="2547245"/>
            <wp:docPr id="16" name="Picture 16"/>
            <wp:cNvGraphicFramePr>
              <a:graphicFrameLocks noChangeAspect="1"/>
            </wp:cNvGraphicFramePr>
            <a:graphic>
              <a:graphicData uri="http://schemas.openxmlformats.org/drawingml/2006/picture">
                <pic:pic>
                  <pic:nvPicPr>
                    <pic:cNvPr id="0" name="real_04_admin_pharmacies.png"/>
                    <pic:cNvPicPr/>
                  </pic:nvPicPr>
                  <pic:blipFill>
                    <a:blip r:embed="rId28"/>
                    <a:stretch>
                      <a:fillRect/>
                    </a:stretch>
                  </pic:blipFill>
                  <pic:spPr>
                    <a:xfrm>
                      <a:off x="0" y="0"/>
                      <a:ext cx="5413248" cy="2547245"/>
                    </a:xfrm>
                    <a:prstGeom prst="rect"/>
                  </pic:spPr>
                </pic:pic>
              </a:graphicData>
            </a:graphic>
          </wp:inline>
        </w:drawing>
      </w:r>
    </w:p>
    <w:p>
      <w:pPr>
        <w:spacing w:after="200"/>
        <w:jc w:val="center"/>
      </w:pPr>
      <w:r>
        <w:rPr>
          <w:rFonts w:ascii="Times New Roman" w:hAnsi="Times New Roman"/>
          <w:b/>
          <w:i/>
          <w:color w:val="334155"/>
          <w:sz w:val="21"/>
        </w:rPr>
        <w:t>Figure 6.4: Super Admin — Dispensing Pharmacy Enrollment &amp; Licence Registry (/admin/pharmacies)</w:t>
      </w:r>
    </w:p>
    <w:p>
      <w:pPr>
        <w:spacing w:line="360" w:lineRule="auto" w:after="140"/>
        <w:jc w:val="both"/>
      </w:pPr>
      <w:r>
        <w:rPr>
          <w:rFonts w:ascii="Times New Roman" w:hAnsi="Times New Roman"/>
          <w:b/>
          <w:sz w:val="24"/>
        </w:rPr>
        <w:t xml:space="preserve">Screen 6.5 Walkthrough: </w:t>
      </w:r>
      <w:r>
        <w:rPr>
          <w:rFonts w:ascii="Times New Roman" w:hAnsi="Times New Roman"/>
          <w:sz w:val="24"/>
        </w:rPr>
        <w:t>Demonstrates IMS's privacy-by-design READ ONLY cross-clinic patient index. While Super Admin can search public IDs (PAT-2026-0004, PAT-2026-0003) and inspect clinic associations (Vignesh Clinics), contact PII is automatically masked server-side (******3289, ******4546, v***@gmail.com).</w:t>
      </w:r>
    </w:p>
    <w:p>
      <w:pPr>
        <w:keepNext/>
        <w:spacing w:before="160" w:after="80"/>
        <w:jc w:val="center"/>
      </w:pPr>
      <w:r>
        <w:drawing>
          <wp:inline xmlns:a="http://schemas.openxmlformats.org/drawingml/2006/main" xmlns:pic="http://schemas.openxmlformats.org/drawingml/2006/picture">
            <wp:extent cx="5413248" cy="2555707"/>
            <wp:docPr id="17" name="Picture 17"/>
            <wp:cNvGraphicFramePr>
              <a:graphicFrameLocks noChangeAspect="1"/>
            </wp:cNvGraphicFramePr>
            <a:graphic>
              <a:graphicData uri="http://schemas.openxmlformats.org/drawingml/2006/picture">
                <pic:pic>
                  <pic:nvPicPr>
                    <pic:cNvPr id="0" name="real_05_admin_patients.png"/>
                    <pic:cNvPicPr/>
                  </pic:nvPicPr>
                  <pic:blipFill>
                    <a:blip r:embed="rId29"/>
                    <a:stretch>
                      <a:fillRect/>
                    </a:stretch>
                  </pic:blipFill>
                  <pic:spPr>
                    <a:xfrm>
                      <a:off x="0" y="0"/>
                      <a:ext cx="5413248" cy="2555707"/>
                    </a:xfrm>
                    <a:prstGeom prst="rect"/>
                  </pic:spPr>
                </pic:pic>
              </a:graphicData>
            </a:graphic>
          </wp:inline>
        </w:drawing>
      </w:r>
    </w:p>
    <w:p>
      <w:pPr>
        <w:spacing w:after="200"/>
        <w:jc w:val="center"/>
      </w:pPr>
      <w:r>
        <w:rPr>
          <w:rFonts w:ascii="Times New Roman" w:hAnsi="Times New Roman"/>
          <w:b/>
          <w:i/>
          <w:color w:val="334155"/>
          <w:sz w:val="21"/>
        </w:rPr>
        <w:t>Figure 6.5: Super Admin — Privacy-Masked Cross-Clinic Patient Masters (/admin/patients)</w:t>
      </w:r>
    </w:p>
    <w:p>
      <w:pPr>
        <w:spacing w:line="360" w:lineRule="auto" w:after="140"/>
        <w:jc w:val="both"/>
      </w:pPr>
      <w:r>
        <w:rPr>
          <w:rFonts w:ascii="Times New Roman" w:hAnsi="Times New Roman"/>
          <w:b/>
          <w:sz w:val="24"/>
        </w:rPr>
        <w:t xml:space="preserve">Screen 6.6 Walkthrough: </w:t>
      </w:r>
      <w:r>
        <w:rPr>
          <w:rFonts w:ascii="Times New Roman" w:hAnsi="Times New Roman"/>
          <w:sz w:val="24"/>
        </w:rPr>
        <w:t>Displays live cross-tenant operational totals across clinics, pharmacies, patient masters, completed appointments (COMPLETED: 2), transactional email outbox health (SENT: 13, QUEUED: 0, FAILED: 0), and patient clinic-linking verification counters.</w:t>
      </w:r>
    </w:p>
    <w:p>
      <w:pPr>
        <w:keepNext/>
        <w:spacing w:before="160" w:after="80"/>
        <w:jc w:val="center"/>
      </w:pPr>
      <w:r>
        <w:drawing>
          <wp:inline xmlns:a="http://schemas.openxmlformats.org/drawingml/2006/main" xmlns:pic="http://schemas.openxmlformats.org/drawingml/2006/picture">
            <wp:extent cx="5413248" cy="2541603"/>
            <wp:docPr id="18" name="Picture 18"/>
            <wp:cNvGraphicFramePr>
              <a:graphicFrameLocks noChangeAspect="1"/>
            </wp:cNvGraphicFramePr>
            <a:graphic>
              <a:graphicData uri="http://schemas.openxmlformats.org/drawingml/2006/picture">
                <pic:pic>
                  <pic:nvPicPr>
                    <pic:cNvPr id="0" name="real_06_admin_reports.png"/>
                    <pic:cNvPicPr/>
                  </pic:nvPicPr>
                  <pic:blipFill>
                    <a:blip r:embed="rId30"/>
                    <a:stretch>
                      <a:fillRect/>
                    </a:stretch>
                  </pic:blipFill>
                  <pic:spPr>
                    <a:xfrm>
                      <a:off x="0" y="0"/>
                      <a:ext cx="5413248" cy="2541603"/>
                    </a:xfrm>
                    <a:prstGeom prst="rect"/>
                  </pic:spPr>
                </pic:pic>
              </a:graphicData>
            </a:graphic>
          </wp:inline>
        </w:drawing>
      </w:r>
    </w:p>
    <w:p>
      <w:pPr>
        <w:spacing w:after="200"/>
        <w:jc w:val="center"/>
      </w:pPr>
      <w:r>
        <w:rPr>
          <w:rFonts w:ascii="Times New Roman" w:hAnsi="Times New Roman"/>
          <w:b/>
          <w:i/>
          <w:color w:val="334155"/>
          <w:sz w:val="21"/>
        </w:rPr>
        <w:t>Figure 6.6: Super Admin — Live Platform Reports &amp; Outbox Delivery Telemetry (/admin/reports)</w:t>
      </w:r>
    </w:p>
    <w:p>
      <w:pPr>
        <w:spacing w:line="360" w:lineRule="auto" w:after="140"/>
        <w:jc w:val="both"/>
      </w:pPr>
      <w:r>
        <w:rPr>
          <w:rFonts w:ascii="Times New Roman" w:hAnsi="Times New Roman"/>
          <w:b/>
          <w:sz w:val="24"/>
        </w:rPr>
        <w:t xml:space="preserve">Screen 6.7 Walkthrough: </w:t>
      </w:r>
      <w:r>
        <w:rPr>
          <w:rFonts w:ascii="Times New Roman" w:hAnsi="Times New Roman"/>
          <w:sz w:val="24"/>
        </w:rPr>
        <w:t>Shows the live mail-relay configuration form (Host, Port 587, STARTTLS, From name IMS) enforcing at-rest AES-256-GCM password encryption ('Passwords are encrypted at rest and never shown again') paired with the live Recent Email Activity feed logging SENT events for PRESCRIPTION_ISSUED, APPOINTMENT_CONFIRMATION, RESET_PASSWORD, and VERIFY_EMAIL.</w:t>
      </w:r>
    </w:p>
    <w:p>
      <w:pPr>
        <w:keepNext/>
        <w:spacing w:before="160" w:after="80"/>
        <w:jc w:val="center"/>
      </w:pPr>
      <w:r>
        <w:drawing>
          <wp:inline xmlns:a="http://schemas.openxmlformats.org/drawingml/2006/main" xmlns:pic="http://schemas.openxmlformats.org/drawingml/2006/picture">
            <wp:extent cx="5413248" cy="2564170"/>
            <wp:docPr id="19" name="Picture 19"/>
            <wp:cNvGraphicFramePr>
              <a:graphicFrameLocks noChangeAspect="1"/>
            </wp:cNvGraphicFramePr>
            <a:graphic>
              <a:graphicData uri="http://schemas.openxmlformats.org/drawingml/2006/picture">
                <pic:pic>
                  <pic:nvPicPr>
                    <pic:cNvPr id="0" name="real_07_admin_smtp.png"/>
                    <pic:cNvPicPr/>
                  </pic:nvPicPr>
                  <pic:blipFill>
                    <a:blip r:embed="rId31"/>
                    <a:stretch>
                      <a:fillRect/>
                    </a:stretch>
                  </pic:blipFill>
                  <pic:spPr>
                    <a:xfrm>
                      <a:off x="0" y="0"/>
                      <a:ext cx="5413248" cy="2564170"/>
                    </a:xfrm>
                    <a:prstGeom prst="rect"/>
                  </pic:spPr>
                </pic:pic>
              </a:graphicData>
            </a:graphic>
          </wp:inline>
        </w:drawing>
      </w:r>
    </w:p>
    <w:p>
      <w:pPr>
        <w:spacing w:after="200"/>
        <w:jc w:val="center"/>
      </w:pPr>
      <w:r>
        <w:rPr>
          <w:rFonts w:ascii="Times New Roman" w:hAnsi="Times New Roman"/>
          <w:b/>
          <w:i/>
          <w:color w:val="334155"/>
          <w:sz w:val="21"/>
        </w:rPr>
        <w:t>Figure 6.7: Super Admin — AES-256-GCM Encrypted SMTP Configuration &amp; Mail Audit (/admin/smtp)</w:t>
      </w:r>
    </w:p>
    <w:p>
      <w:pPr>
        <w:spacing w:line="360" w:lineRule="auto" w:after="140"/>
        <w:jc w:val="both"/>
      </w:pPr>
      <w:r>
        <w:rPr>
          <w:rFonts w:ascii="Times New Roman" w:hAnsi="Times New Roman"/>
          <w:b/>
          <w:sz w:val="24"/>
        </w:rPr>
        <w:t xml:space="preserve">Screen 6.8 Walkthrough: </w:t>
      </w:r>
      <w:r>
        <w:rPr>
          <w:rFonts w:ascii="Times New Roman" w:hAnsi="Times New Roman"/>
          <w:sz w:val="24"/>
        </w:rPr>
        <w:t>Captures the role-scoped Doctor Workspace for practitioner Kiran (General Medicine), displaying personal schedule KPIs (Appointments Today: 0, Prescriptions Issued: 2, Specialization card) and today's patient queue.</w:t>
      </w:r>
    </w:p>
    <w:p>
      <w:pPr>
        <w:keepNext/>
        <w:spacing w:before="160" w:after="80"/>
        <w:jc w:val="center"/>
      </w:pPr>
      <w:r>
        <w:drawing>
          <wp:inline xmlns:a="http://schemas.openxmlformats.org/drawingml/2006/main" xmlns:pic="http://schemas.openxmlformats.org/drawingml/2006/picture">
            <wp:extent cx="5413248" cy="2578274"/>
            <wp:docPr id="20" name="Picture 20"/>
            <wp:cNvGraphicFramePr>
              <a:graphicFrameLocks noChangeAspect="1"/>
            </wp:cNvGraphicFramePr>
            <a:graphic>
              <a:graphicData uri="http://schemas.openxmlformats.org/drawingml/2006/picture">
                <pic:pic>
                  <pic:nvPicPr>
                    <pic:cNvPr id="0" name="real_08_doctor_dashboard.png"/>
                    <pic:cNvPicPr/>
                  </pic:nvPicPr>
                  <pic:blipFill>
                    <a:blip r:embed="rId32"/>
                    <a:stretch>
                      <a:fillRect/>
                    </a:stretch>
                  </pic:blipFill>
                  <pic:spPr>
                    <a:xfrm>
                      <a:off x="0" y="0"/>
                      <a:ext cx="5413248" cy="2578274"/>
                    </a:xfrm>
                    <a:prstGeom prst="rect"/>
                  </pic:spPr>
                </pic:pic>
              </a:graphicData>
            </a:graphic>
          </wp:inline>
        </w:drawing>
      </w:r>
    </w:p>
    <w:p>
      <w:pPr>
        <w:spacing w:after="200"/>
        <w:jc w:val="center"/>
      </w:pPr>
      <w:r>
        <w:rPr>
          <w:rFonts w:ascii="Times New Roman" w:hAnsi="Times New Roman"/>
          <w:b/>
          <w:i/>
          <w:color w:val="334155"/>
          <w:sz w:val="21"/>
        </w:rPr>
        <w:t>Figure 6.8: Doctor Workspace — Practitioner Clinical Dashboard (/doctor/dashboard)</w:t>
      </w:r>
    </w:p>
    <w:p>
      <w:pPr>
        <w:spacing w:line="360" w:lineRule="auto" w:after="140"/>
        <w:jc w:val="both"/>
      </w:pPr>
      <w:r>
        <w:rPr>
          <w:rFonts w:ascii="Times New Roman" w:hAnsi="Times New Roman"/>
          <w:b/>
          <w:sz w:val="24"/>
        </w:rPr>
        <w:t xml:space="preserve">Screen 6.9 Walkthrough: </w:t>
      </w:r>
      <w:r>
        <w:rPr>
          <w:rFonts w:ascii="Times New Roman" w:hAnsi="Times New Roman"/>
          <w:sz w:val="24"/>
        </w:rPr>
        <w:t>Illustrates the practitioner's date-filtered daily queue (2026-10-31) with status selector, Today / All Dates quick filters, and contextual front-desk check-in workflow guidance.</w:t>
      </w:r>
    </w:p>
    <w:p>
      <w:pPr>
        <w:keepNext/>
        <w:spacing w:before="160" w:after="80"/>
        <w:jc w:val="center"/>
      </w:pPr>
      <w:r>
        <w:drawing>
          <wp:inline xmlns:a="http://schemas.openxmlformats.org/drawingml/2006/main" xmlns:pic="http://schemas.openxmlformats.org/drawingml/2006/picture">
            <wp:extent cx="5413248" cy="2575454"/>
            <wp:docPr id="21" name="Picture 21"/>
            <wp:cNvGraphicFramePr>
              <a:graphicFrameLocks noChangeAspect="1"/>
            </wp:cNvGraphicFramePr>
            <a:graphic>
              <a:graphicData uri="http://schemas.openxmlformats.org/drawingml/2006/picture">
                <pic:pic>
                  <pic:nvPicPr>
                    <pic:cNvPr id="0" name="real_09_doctor_appts_today.png"/>
                    <pic:cNvPicPr/>
                  </pic:nvPicPr>
                  <pic:blipFill>
                    <a:blip r:embed="rId33"/>
                    <a:stretch>
                      <a:fillRect/>
                    </a:stretch>
                  </pic:blipFill>
                  <pic:spPr>
                    <a:xfrm>
                      <a:off x="0" y="0"/>
                      <a:ext cx="5413248" cy="2575454"/>
                    </a:xfrm>
                    <a:prstGeom prst="rect"/>
                  </pic:spPr>
                </pic:pic>
              </a:graphicData>
            </a:graphic>
          </wp:inline>
        </w:drawing>
      </w:r>
    </w:p>
    <w:p>
      <w:pPr>
        <w:spacing w:after="200"/>
        <w:jc w:val="center"/>
      </w:pPr>
      <w:r>
        <w:rPr>
          <w:rFonts w:ascii="Times New Roman" w:hAnsi="Times New Roman"/>
          <w:b/>
          <w:i/>
          <w:color w:val="334155"/>
          <w:sz w:val="21"/>
        </w:rPr>
        <w:t>Figure 6.9: Doctor Workspace — Date &amp; Status Filtered Appointment Queue (/doctor/appointments)</w:t>
      </w:r>
    </w:p>
    <w:p>
      <w:pPr>
        <w:spacing w:line="360" w:lineRule="auto" w:after="140"/>
        <w:jc w:val="both"/>
      </w:pPr>
      <w:r>
        <w:rPr>
          <w:rFonts w:ascii="Times New Roman" w:hAnsi="Times New Roman"/>
          <w:b/>
          <w:sz w:val="24"/>
        </w:rPr>
        <w:t xml:space="preserve">Screen 6.10 Walkthrough: </w:t>
      </w:r>
      <w:r>
        <w:rPr>
          <w:rFonts w:ascii="Times New Roman" w:hAnsi="Times New Roman"/>
          <w:sz w:val="24"/>
        </w:rPr>
        <w:t>Displays historical clinical encounters APT-2026-00004 (30 Oct 2026, 10:00) and APT-2026-00003 (26 Oct 2026, 10:10) for patient vignesh m (PAT-2026-0004), both showing COMPLETED appointment status and irreversibly locked FINAL consultation status.</w:t>
      </w:r>
    </w:p>
    <w:p>
      <w:pPr>
        <w:keepNext/>
        <w:spacing w:before="160" w:after="80"/>
        <w:jc w:val="center"/>
      </w:pPr>
      <w:r>
        <w:drawing>
          <wp:inline xmlns:a="http://schemas.openxmlformats.org/drawingml/2006/main" xmlns:pic="http://schemas.openxmlformats.org/drawingml/2006/picture">
            <wp:extent cx="5413248" cy="2521857"/>
            <wp:docPr id="22" name="Picture 22"/>
            <wp:cNvGraphicFramePr>
              <a:graphicFrameLocks noChangeAspect="1"/>
            </wp:cNvGraphicFramePr>
            <a:graphic>
              <a:graphicData uri="http://schemas.openxmlformats.org/drawingml/2006/picture">
                <pic:pic>
                  <pic:nvPicPr>
                    <pic:cNvPr id="0" name="real_10_doctor_appts_all.png"/>
                    <pic:cNvPicPr/>
                  </pic:nvPicPr>
                  <pic:blipFill>
                    <a:blip r:embed="rId34"/>
                    <a:stretch>
                      <a:fillRect/>
                    </a:stretch>
                  </pic:blipFill>
                  <pic:spPr>
                    <a:xfrm>
                      <a:off x="0" y="0"/>
                      <a:ext cx="5413248" cy="2521857"/>
                    </a:xfrm>
                    <a:prstGeom prst="rect"/>
                  </pic:spPr>
                </pic:pic>
              </a:graphicData>
            </a:graphic>
          </wp:inline>
        </w:drawing>
      </w:r>
    </w:p>
    <w:p>
      <w:pPr>
        <w:spacing w:after="200"/>
        <w:jc w:val="center"/>
      </w:pPr>
      <w:r>
        <w:rPr>
          <w:rFonts w:ascii="Times New Roman" w:hAnsi="Times New Roman"/>
          <w:b/>
          <w:i/>
          <w:color w:val="334155"/>
          <w:sz w:val="21"/>
        </w:rPr>
        <w:t>Figure 6.10: Doctor Workspace — Completed Encounters &amp; Finalised Consultations (/doctor/appointments?all)</w:t>
      </w:r>
    </w:p>
    <w:p>
      <w:pPr>
        <w:spacing w:line="360" w:lineRule="auto" w:after="140"/>
        <w:jc w:val="both"/>
      </w:pPr>
      <w:r>
        <w:rPr>
          <w:rFonts w:ascii="Times New Roman" w:hAnsi="Times New Roman"/>
          <w:b/>
          <w:sz w:val="24"/>
        </w:rPr>
        <w:t xml:space="preserve">Screen 6.11 Walkthrough: </w:t>
      </w:r>
      <w:r>
        <w:rPr>
          <w:rFonts w:ascii="Times New Roman" w:hAnsi="Times New Roman"/>
          <w:sz w:val="24"/>
        </w:rPr>
        <w:t>Showcases two live 32-character CSPRNG electronic prescriptions authored by Dr. Kiran for PAT-2026-0004: JUEB9AGPAKBTXGWNX3MQKNCUFA3DMXRP (PARTIALLY DISPENSED, VALID until 29 Nov 2026) and VEYHFFWEGYVZUWWWQHGY28RSUT8F59WT (NOT DISPENSED, automatically marked EXPIRED on 29 Oct 2026).</w:t>
      </w:r>
    </w:p>
    <w:p>
      <w:pPr>
        <w:keepNext/>
        <w:spacing w:before="160" w:after="80"/>
        <w:jc w:val="center"/>
      </w:pPr>
      <w:r>
        <w:drawing>
          <wp:inline xmlns:a="http://schemas.openxmlformats.org/drawingml/2006/main" xmlns:pic="http://schemas.openxmlformats.org/drawingml/2006/picture">
            <wp:extent cx="5413248" cy="2561349"/>
            <wp:docPr id="23" name="Picture 23"/>
            <wp:cNvGraphicFramePr>
              <a:graphicFrameLocks noChangeAspect="1"/>
            </wp:cNvGraphicFramePr>
            <a:graphic>
              <a:graphicData uri="http://schemas.openxmlformats.org/drawingml/2006/picture">
                <pic:pic>
                  <pic:nvPicPr>
                    <pic:cNvPr id="0" name="real_11_doctor_prescriptions.png"/>
                    <pic:cNvPicPr/>
                  </pic:nvPicPr>
                  <pic:blipFill>
                    <a:blip r:embed="rId35"/>
                    <a:stretch>
                      <a:fillRect/>
                    </a:stretch>
                  </pic:blipFill>
                  <pic:spPr>
                    <a:xfrm>
                      <a:off x="0" y="0"/>
                      <a:ext cx="5413248" cy="2561349"/>
                    </a:xfrm>
                    <a:prstGeom prst="rect"/>
                  </pic:spPr>
                </pic:pic>
              </a:graphicData>
            </a:graphic>
          </wp:inline>
        </w:drawing>
      </w:r>
    </w:p>
    <w:p>
      <w:pPr>
        <w:spacing w:after="200"/>
        <w:jc w:val="center"/>
      </w:pPr>
      <w:r>
        <w:rPr>
          <w:rFonts w:ascii="Times New Roman" w:hAnsi="Times New Roman"/>
          <w:b/>
          <w:i/>
          <w:color w:val="334155"/>
          <w:sz w:val="21"/>
        </w:rPr>
        <w:t>Figure 6.11: Doctor Workspace — Issued 32-Character Prescriptions &amp; Fulfilment States (/doctor/prescriptions)</w:t>
      </w:r>
    </w:p>
    <w:p>
      <w:pPr>
        <w:spacing w:line="360" w:lineRule="auto" w:after="140"/>
        <w:jc w:val="both"/>
      </w:pPr>
      <w:r>
        <w:rPr>
          <w:rFonts w:ascii="Times New Roman" w:hAnsi="Times New Roman"/>
          <w:b/>
          <w:sz w:val="24"/>
        </w:rPr>
        <w:t xml:space="preserve">Screen 6.12 Walkthrough: </w:t>
      </w:r>
      <w:r>
        <w:rPr>
          <w:rFonts w:ascii="Times New Roman" w:hAnsi="Times New Roman"/>
          <w:sz w:val="24"/>
        </w:rPr>
        <w:t>Presents Vignesh Pharmacy's operational home screen with live daily counters (Verifications Today, Dispenses Today, Pharmacy Users: 1), left-rail POS/Price List/Finance navigation, and one-click 32-character prescription verification shortcut.</w:t>
      </w:r>
    </w:p>
    <w:p>
      <w:pPr>
        <w:keepNext/>
        <w:spacing w:before="160" w:after="80"/>
        <w:jc w:val="center"/>
      </w:pPr>
      <w:r>
        <w:drawing>
          <wp:inline xmlns:a="http://schemas.openxmlformats.org/drawingml/2006/main" xmlns:pic="http://schemas.openxmlformats.org/drawingml/2006/picture">
            <wp:extent cx="5413248" cy="2555707"/>
            <wp:docPr id="24" name="Picture 24"/>
            <wp:cNvGraphicFramePr>
              <a:graphicFrameLocks noChangeAspect="1"/>
            </wp:cNvGraphicFramePr>
            <a:graphic>
              <a:graphicData uri="http://schemas.openxmlformats.org/drawingml/2006/picture">
                <pic:pic>
                  <pic:nvPicPr>
                    <pic:cNvPr id="0" name="real_12_pharmacy_dashboard.png"/>
                    <pic:cNvPicPr/>
                  </pic:nvPicPr>
                  <pic:blipFill>
                    <a:blip r:embed="rId36"/>
                    <a:stretch>
                      <a:fillRect/>
                    </a:stretch>
                  </pic:blipFill>
                  <pic:spPr>
                    <a:xfrm>
                      <a:off x="0" y="0"/>
                      <a:ext cx="5413248" cy="2555707"/>
                    </a:xfrm>
                    <a:prstGeom prst="rect"/>
                  </pic:spPr>
                </pic:pic>
              </a:graphicData>
            </a:graphic>
          </wp:inline>
        </w:drawing>
      </w:r>
    </w:p>
    <w:p>
      <w:pPr>
        <w:spacing w:after="200"/>
        <w:jc w:val="center"/>
      </w:pPr>
      <w:r>
        <w:rPr>
          <w:rFonts w:ascii="Times New Roman" w:hAnsi="Times New Roman"/>
          <w:b/>
          <w:i/>
          <w:color w:val="334155"/>
          <w:sz w:val="21"/>
        </w:rPr>
        <w:t>Figure 6.12: Pharmacy Workspace — Dispensing Operations Dashboard (/pharmacy/dashboard)</w:t>
      </w:r>
    </w:p>
    <w:p>
      <w:pPr>
        <w:spacing w:line="360" w:lineRule="auto" w:after="140"/>
        <w:jc w:val="both"/>
      </w:pPr>
      <w:r>
        <w:rPr>
          <w:rFonts w:ascii="Times New Roman" w:hAnsi="Times New Roman"/>
          <w:b/>
          <w:sz w:val="24"/>
        </w:rPr>
        <w:t xml:space="preserve">Screen 6.13 Walkthrough: </w:t>
      </w:r>
      <w:r>
        <w:rPr>
          <w:rFonts w:ascii="Times New Roman" w:hAnsi="Times New Roman"/>
          <w:sz w:val="24"/>
        </w:rPr>
        <w:t>Captures the live Pharmacy POS terminal featuring the case-sensitive 32-character Prescription ID scanner bar, Analyze Prescription &amp; Price List actions, live counter telemetry, and completed POS sales receipts SALE-000006 (Rs. 12.50 CASH) and SALE-000005 (Rs. 62.50 UPI) against JUEB9AGPAKBTXGWNX3MQKNCUFA3DMXRP.</w:t>
      </w:r>
    </w:p>
    <w:p>
      <w:pPr>
        <w:keepNext/>
        <w:spacing w:before="160" w:after="80"/>
        <w:jc w:val="center"/>
      </w:pPr>
      <w:r>
        <w:drawing>
          <wp:inline xmlns:a="http://schemas.openxmlformats.org/drawingml/2006/main" xmlns:pic="http://schemas.openxmlformats.org/drawingml/2006/picture">
            <wp:extent cx="5413248" cy="2575454"/>
            <wp:docPr id="25" name="Picture 25"/>
            <wp:cNvGraphicFramePr>
              <a:graphicFrameLocks noChangeAspect="1"/>
            </wp:cNvGraphicFramePr>
            <a:graphic>
              <a:graphicData uri="http://schemas.openxmlformats.org/drawingml/2006/picture">
                <pic:pic>
                  <pic:nvPicPr>
                    <pic:cNvPr id="0" name="real_13_pharmacy_pos.png"/>
                    <pic:cNvPicPr/>
                  </pic:nvPicPr>
                  <pic:blipFill>
                    <a:blip r:embed="rId37"/>
                    <a:stretch>
                      <a:fillRect/>
                    </a:stretch>
                  </pic:blipFill>
                  <pic:spPr>
                    <a:xfrm>
                      <a:off x="0" y="0"/>
                      <a:ext cx="5413248" cy="2575454"/>
                    </a:xfrm>
                    <a:prstGeom prst="rect"/>
                  </pic:spPr>
                </pic:pic>
              </a:graphicData>
            </a:graphic>
          </wp:inline>
        </w:drawing>
      </w:r>
    </w:p>
    <w:p>
      <w:pPr>
        <w:spacing w:after="200"/>
        <w:jc w:val="center"/>
      </w:pPr>
      <w:r>
        <w:rPr>
          <w:rFonts w:ascii="Times New Roman" w:hAnsi="Times New Roman"/>
          <w:b/>
          <w:i/>
          <w:color w:val="334155"/>
          <w:sz w:val="21"/>
        </w:rPr>
        <w:t>Figure 6.13: Pharmacy Workspace — Live 32-Character Prescription Point of Sale (/pharmacy/pos)</w:t>
      </w:r>
    </w:p>
    <w:p>
      <w:pPr>
        <w:spacing w:line="360" w:lineRule="auto" w:after="140"/>
        <w:jc w:val="both"/>
      </w:pPr>
      <w:r>
        <w:rPr>
          <w:rFonts w:ascii="Times New Roman" w:hAnsi="Times New Roman"/>
          <w:b/>
          <w:sz w:val="24"/>
        </w:rPr>
        <w:t xml:space="preserve">Screen 6.14 Walkthrough: </w:t>
      </w:r>
      <w:r>
        <w:rPr>
          <w:rFonts w:ascii="Times New Roman" w:hAnsi="Times New Roman"/>
          <w:sz w:val="24"/>
        </w:rPr>
        <w:t>Demonstrates end-to-end POS-to-Finance accounting integration: five KPI cards track Today &amp; 30-Day Income (Rs. 75.00), Expenses (Rs. 100.00), and Net Cashflow (-Rs. 25.00), while the Finance Ledger displays auto-posted receipt-linked POS SALE income (Rs. 12.50 CASH) alongside manual operating expenses (Electricity bill).</w:t>
      </w:r>
    </w:p>
    <w:p>
      <w:pPr>
        <w:keepNext/>
        <w:spacing w:before="160" w:after="80"/>
        <w:jc w:val="center"/>
      </w:pPr>
      <w:r>
        <w:drawing>
          <wp:inline xmlns:a="http://schemas.openxmlformats.org/drawingml/2006/main" xmlns:pic="http://schemas.openxmlformats.org/drawingml/2006/picture">
            <wp:extent cx="5413248" cy="2586737"/>
            <wp:docPr id="26" name="Picture 26"/>
            <wp:cNvGraphicFramePr>
              <a:graphicFrameLocks noChangeAspect="1"/>
            </wp:cNvGraphicFramePr>
            <a:graphic>
              <a:graphicData uri="http://schemas.openxmlformats.org/drawingml/2006/picture">
                <pic:pic>
                  <pic:nvPicPr>
                    <pic:cNvPr id="0" name="real_14_pharmacy_finance.png"/>
                    <pic:cNvPicPr/>
                  </pic:nvPicPr>
                  <pic:blipFill>
                    <a:blip r:embed="rId38"/>
                    <a:stretch>
                      <a:fillRect/>
                    </a:stretch>
                  </pic:blipFill>
                  <pic:spPr>
                    <a:xfrm>
                      <a:off x="0" y="0"/>
                      <a:ext cx="5413248" cy="2586737"/>
                    </a:xfrm>
                    <a:prstGeom prst="rect"/>
                  </pic:spPr>
                </pic:pic>
              </a:graphicData>
            </a:graphic>
          </wp:inline>
        </w:drawing>
      </w:r>
    </w:p>
    <w:p>
      <w:pPr>
        <w:spacing w:after="200"/>
        <w:jc w:val="center"/>
      </w:pPr>
      <w:r>
        <w:rPr>
          <w:rFonts w:ascii="Times New Roman" w:hAnsi="Times New Roman"/>
          <w:b/>
          <w:i/>
          <w:color w:val="334155"/>
          <w:sz w:val="21"/>
        </w:rPr>
        <w:t>Figure 6.14: Pharmacy Workspace — Automated POS Income &amp; Expense Finance Ledger (/pharmacy/finance)</w:t>
      </w:r>
    </w:p>
    <w:p>
      <w:pPr>
        <w:keepNext/>
        <w:spacing w:before="260" w:after="120"/>
      </w:pPr>
      <w:r>
        <w:rPr>
          <w:rFonts w:ascii="Times New Roman" w:hAnsi="Times New Roman"/>
          <w:b/>
          <w:color w:val="0F2744"/>
          <w:sz w:val="28"/>
        </w:rPr>
        <w:t>6.6 Integration of Modules and Cross-Cutting Event Flow</w:t>
      </w:r>
    </w:p>
    <w:p>
      <w:pPr>
        <w:spacing w:line="360" w:lineRule="auto" w:after="140"/>
        <w:jc w:val="both"/>
      </w:pPr>
      <w:r>
        <w:rPr>
          <w:rFonts w:ascii="Times New Roman" w:hAnsi="Times New Roman"/>
          <w:sz w:val="24"/>
        </w:rPr>
        <w:t>All eight modules integrate cleanly inside a single Spring ApplicationContext through three mechanisms: (1) shared GlobalModelAttributes (@ControllerAdvice) that inject navigation items, breadcrumbs, active principal metadata, and organization display names into every Thymeleaf view; (2) synchronous Spring ApplicationEventPublisher events (VerificationEmailRequested, PasswordResetEmailRequested, StaffInviteRequested, EmailChangeRequested, AppointmentBookedEvent, AppointmentCancelledEvent, and PrescriptionIssuedEvent) consumed within the same database transaction by IdentityEmailListener and NotificationEmailListener to populate dbo.EmailLogs atomically; and (3) AuditService, which enriches every security and clinical milestone with client IP resolution (ClientIp) and patient-centric indexing.</w:t>
      </w:r>
    </w:p>
    <w:p>
      <w:r>
        <w:br w:type="page"/>
      </w:r>
    </w:p>
    <w:p>
      <w:pPr>
        <w:spacing w:before="80" w:after="80"/>
        <w:jc w:val="center"/>
      </w:pPr>
      <w:r>
        <w:rPr>
          <w:rFonts w:ascii="Times New Roman" w:hAnsi="Times New Roman"/>
          <w:b/>
          <w:color w:val="1E3A8A"/>
          <w:sz w:val="28"/>
        </w:rPr>
        <w:t>CHAPTER 7</w:t>
      </w:r>
    </w:p>
    <w:p>
      <w:pPr>
        <w:spacing w:after="320"/>
        <w:jc w:val="center"/>
      </w:pPr>
      <w:r>
        <w:rPr>
          <w:rFonts w:ascii="Times New Roman" w:hAnsi="Times New Roman"/>
          <w:b/>
          <w:color w:val="0F2744"/>
          <w:sz w:val="32"/>
        </w:rPr>
        <w:t>TESTING &amp; RESULTS</w:t>
      </w:r>
    </w:p>
    <w:p>
      <w:pPr>
        <w:keepNext/>
        <w:spacing w:before="260" w:after="120"/>
      </w:pPr>
      <w:r>
        <w:rPr>
          <w:rFonts w:ascii="Times New Roman" w:hAnsi="Times New Roman"/>
          <w:b/>
          <w:color w:val="0F2744"/>
          <w:sz w:val="28"/>
        </w:rPr>
        <w:t>7.1 Testing Strategy</w:t>
      </w:r>
    </w:p>
    <w:p>
      <w:pPr>
        <w:spacing w:line="360" w:lineRule="auto" w:after="140"/>
        <w:jc w:val="both"/>
      </w:pPr>
      <w:r>
        <w:rPr>
          <w:rFonts w:ascii="Times New Roman" w:hAnsi="Times New Roman"/>
          <w:sz w:val="24"/>
        </w:rPr>
        <w:t>Because healthcare management software directly handles personal health records, clinical diagnoses, medication regimens, and financial pharmacy transactions, Infeara Medical System adopts a multi-layered verification strategy spanning fast deterministic JUnit 5 unit tests, Mockito-isolated domain service ownership tests, full-stack Spring Boot MockMvc HTTP security tests against H2 in MSSQLServer compatibility mode, and end-to-end multi-role browser validation against Microsoft SQL Server 2022 Express.</w:t>
      </w:r>
    </w:p>
    <w:p>
      <w:pPr>
        <w:spacing w:line="360" w:lineRule="auto" w:after="140"/>
        <w:jc w:val="both"/>
      </w:pPr>
      <w:r>
        <w:rPr>
          <w:rFonts w:ascii="Times New Roman" w:hAnsi="Times New Roman"/>
          <w:sz w:val="24"/>
        </w:rPr>
        <w:t>Every automated test executes offline via mvn -B test without requiring an external database daemon or live SMTP relay. Security-critical invariants—such as session-derived patient ownership, CSRF token enforcement on POST endpoints, cross-clinic link isolation, DOB mismatch rejection during patient merges, and role-based 403 Forbidden enforcement—are verified through automated assertions rather than manual spot-checks.</w:t>
      </w:r>
    </w:p>
    <w:p>
      <w:pPr>
        <w:keepNext/>
        <w:spacing w:before="260" w:after="120"/>
      </w:pPr>
      <w:r>
        <w:rPr>
          <w:rFonts w:ascii="Times New Roman" w:hAnsi="Times New Roman"/>
          <w:b/>
          <w:color w:val="0F2744"/>
          <w:sz w:val="28"/>
        </w:rPr>
        <w:t>7.2 Types of Testing</w:t>
      </w:r>
    </w:p>
    <w:p>
      <w:pPr>
        <w:keepNext/>
        <w:spacing w:before="200" w:after="80"/>
      </w:pPr>
      <w:r>
        <w:rPr>
          <w:rFonts w:ascii="Times New Roman" w:hAnsi="Times New Roman"/>
          <w:b/>
          <w:color w:val="1E3A8A"/>
          <w:sz w:val="24"/>
        </w:rPr>
        <w:t>7.2.1 Unit Testing (JUnit Jupiter 5, AssertJ &amp; Mockito)</w:t>
      </w:r>
    </w:p>
    <w:p>
      <w:pPr>
        <w:spacing w:line="360" w:lineRule="auto" w:after="140"/>
        <w:jc w:val="both"/>
      </w:pPr>
      <w:r>
        <w:rPr>
          <w:rFonts w:ascii="Times New Roman" w:hAnsi="Times New Roman"/>
          <w:sz w:val="24"/>
        </w:rPr>
        <w:t>Unit tests validate pure cryptographic, identifier, routing, and domain-service logic in sub-millisecond isolation. In clinicflow-app/src/test/java/com/clinicflow/, PublicIdGeneratorTest verifies PAT-YYYY-NNNN and APT-YYYY-NNNNN formatting plus 32-character unambiguous prescription-code entropy; PasswordPolicyTest exercises boundary lengths (&lt;10 vs &gt;=10 chars), missing-letter, and missing-digit edge cases; TokenHasherTest verifies 256-bit URL-safe token uniqueness and deterministic 32-byte SHA-256 digesting; RoleHomeResolverTest confirms dashboard target resolution for all six Role enum values; and PatientProfileServiceTest + ClinicLinkRequestServiceTest verify Mockito-mocked ownership, input trimming, duplicate detection, DOB-mismatch blocking, record merging, and AuditService event emission.</w:t>
      </w:r>
    </w:p>
    <w:p>
      <w:pPr>
        <w:keepNext/>
        <w:spacing w:before="200" w:after="80"/>
      </w:pPr>
      <w:r>
        <w:rPr>
          <w:rFonts w:ascii="Times New Roman" w:hAnsi="Times New Roman"/>
          <w:b/>
          <w:color w:val="1E3A8A"/>
          <w:sz w:val="24"/>
        </w:rPr>
        <w:t>7.2.2 Integration and Web Security Testing (Spring Boot Test &amp; MockMvc)</w:t>
      </w:r>
    </w:p>
    <w:p>
      <w:pPr>
        <w:spacing w:line="360" w:lineRule="auto" w:after="140"/>
        <w:jc w:val="both"/>
      </w:pPr>
      <w:r>
        <w:rPr>
          <w:rFonts w:ascii="Times New Roman" w:hAnsi="Times New Roman"/>
          <w:sz w:val="24"/>
        </w:rPr>
        <w:t>Integration suites annotated with @SpringBootTest, @AutoConfigureMockMvc, and @ActiveProfiles('h2') (specifically PatientProfileWebTest and ClinicLinkRequestWebTest) boot the complete Spring WebMVC + Spring Security 6 filter chain, Hibernate 6 persistence context, and Thymeleaf template engine. MockMvc simulates realistic multi-actor HTTP sessions—logging in as a Patient to submit a clinic link request with .with(csrf()), verifying Pending status rendering in HTML, logging in as Clinic Admin of Clinic A to confirm cross-clinic requests from Clinic B are invisible, testing unverified-checkbox rejection, executing full patient record merges, and asserting HTTP 403 on unauthorized role access.</w:t>
      </w:r>
    </w:p>
    <w:p>
      <w:pPr>
        <w:keepNext/>
        <w:spacing w:before="200" w:after="80"/>
      </w:pPr>
      <w:r>
        <w:rPr>
          <w:rFonts w:ascii="Times New Roman" w:hAnsi="Times New Roman"/>
          <w:b/>
          <w:color w:val="1E3A8A"/>
          <w:sz w:val="24"/>
        </w:rPr>
        <w:t>7.2.3 System, Concurrency, and End-to-End Browser Validation</w:t>
      </w:r>
    </w:p>
    <w:p>
      <w:pPr>
        <w:spacing w:line="360" w:lineRule="auto" w:after="140"/>
        <w:jc w:val="both"/>
      </w:pPr>
      <w:r>
        <w:rPr>
          <w:rFonts w:ascii="Times New Roman" w:hAnsi="Times New Roman"/>
          <w:sz w:val="24"/>
        </w:rPr>
        <w:t>System-level testing validates the integrated behavior of all eight modules across realistic multi-portal journeys: bootstrapping the first Super Admin at /setup, enrolling clinics and pharmacies, accepting 72-hour staff invitations, registering and verifying patient accounts, booking and rescheduling doctor slots, finalizing consultations with signed addenda, issuing 32-character prescriptions, scanning codes at /pharmacy/pos across partial and full dispenses, verifying over-dispense blocking, and confirming automatic INCOME ledger synchronization in /pharmacy/finance.</w:t>
      </w:r>
    </w:p>
    <w:p>
      <w:pPr>
        <w:keepNext/>
        <w:spacing w:before="260" w:after="120"/>
      </w:pPr>
      <w:r>
        <w:rPr>
          <w:rFonts w:ascii="Times New Roman" w:hAnsi="Times New Roman"/>
          <w:b/>
          <w:color w:val="0F2744"/>
          <w:sz w:val="28"/>
        </w:rPr>
        <w:t>7.3 Test Cases and Results</w:t>
      </w:r>
    </w:p>
    <w:p>
      <w:pPr>
        <w:spacing w:line="360" w:lineRule="auto" w:after="140"/>
        <w:jc w:val="both"/>
      </w:pPr>
      <w:r>
        <w:rPr>
          <w:rFonts w:ascii="Times New Roman" w:hAnsi="Times New Roman"/>
          <w:sz w:val="24"/>
        </w:rPr>
        <w:t>Tables 7.1 and 7.2 document 36 representative test cases executed across the automated JUnit/MockMvc suite and end-to-end system validation, recording test inputs, expected clinical/security outcomes, and verified PASS statuses.</w:t>
      </w:r>
    </w:p>
    <w:p>
      <w:pPr>
        <w:keepNext/>
        <w:spacing w:before="160" w:after="80"/>
      </w:pPr>
      <w:r>
        <w:rPr>
          <w:rFonts w:ascii="Times New Roman" w:hAnsi="Times New Roman"/>
          <w:b/>
          <w:color w:val="0F2744"/>
          <w:sz w:val="21"/>
        </w:rPr>
        <w:t>Table 7.1: Automated Unit &amp; Service-Layer Test Cases (JUnit 5 + Mockito)</w:t>
      </w:r>
    </w:p>
    <w:tbl>
      <w:tblPr>
        <w:tblW w:type="auto" w:w="0"/>
        <w:jc w:val="center"/>
        <w:tblLook w:firstColumn="1" w:firstRow="1" w:lastColumn="0" w:lastRow="0" w:noHBand="0" w:noVBand="1" w:val="04A0"/>
      </w:tblPr>
      <w:tblGrid>
        <w:gridCol w:w="1734"/>
        <w:gridCol w:w="1734"/>
        <w:gridCol w:w="1734"/>
        <w:gridCol w:w="1734"/>
        <w:gridCol w:w="1734"/>
      </w:tblGrid>
      <w:tr>
        <w:trPr>
          <w:tblHeader/>
          <w:cantSplit/>
        </w:trPr>
        <w:tc>
          <w:tcPr>
            <w:tcW w:type="dxa" w:w="89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TC ID</w:t>
            </w:r>
          </w:p>
        </w:tc>
        <w:tc>
          <w:tcPr>
            <w:tcW w:type="dxa" w:w="201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Test Class / Module</w:t>
            </w:r>
          </w:p>
        </w:tc>
        <w:tc>
          <w:tcPr>
            <w:tcW w:type="dxa" w:w="2376"/>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Scenario &amp; Input Condition</w:t>
            </w:r>
          </w:p>
        </w:tc>
        <w:tc>
          <w:tcPr>
            <w:tcW w:type="dxa" w:w="252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Expected Output</w:t>
            </w:r>
          </w:p>
        </w:tc>
        <w:tc>
          <w:tcPr>
            <w:tcW w:type="dxa" w:w="864"/>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Status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TC-01</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PublicIdGeneratorTest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Generate patientId(7) and appointmentId(108)</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Formats PAT-2026-0007 and APT-2026-00108 accurately</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TC-02</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PublicIdGeneratorTest</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Generate 1,000 prescriptionCode() values</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All 32 chars, uppercase alphanumeric excluding 0,O,1,I; 0 collisions</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TC-03</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PasswordPolicyTest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Validate 'Short1' (6 chars) and 'alllettersonly'</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Rejected by PasswordPolicy with descriptive rule message</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TC-04</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PasswordPolicyTest</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Validate 'ClinicPass123' (&gt;=10 chars, letter + digit)</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Accepted as compliant strong password</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TC-05</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TokenHasherTest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Invoke newToken() twice and sha256(token)</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Distinct URL-safe strings; deterministic 32-byte SHA-256 digest</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TC-06</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RoleHomeResolverTest</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Resolve home URL for all 6 Role enum constants</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Maps to /admin, /clinic, /doctor, /patient, /pharmacy dashboards</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TC-07</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PatientProfileServiceTest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Authenticated user 42 updates profile with whitespace</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Fields trimmed, saved to user 42's Patient, PATIENT_PROFILE_UPDATED audited</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TC-08</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PatientProfileServiceTest</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Update called when no Patient row linked to userId</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Returns false safely; zero repository writes or false audits</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TC-09</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ClinicLinkRequestServiceTest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requests link to ACTIVE clinic</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Creates PENDING PatientLinkRequest and audits PATIENT_LINK_REQUESTED</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TC-10</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ClinicLinkRequestServiceTest</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re-requests link while PENDING/already linked</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Duplicate request blocked cleanly with informative validation error</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TC-11</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ClinicLinkRequestServiceTest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Admin approves without ticking identityVerified</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Throws validation error; request remains PENDING</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TC-12</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ClinicLinkRequestServiceTest</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Admin approves account's own patient record</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Creates ClinicPatient link, marks APPROVED, audits PATIENT_LINK_APPROVED</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TC-13</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ClinicLinkRequestServiceTest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Merge attempted onto clinic record with different DOB</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Rejected immediately; prevents cross-person chart contamination</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TC-14</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ClinicLinkRequestServiceTest</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Valid merge onto existing walk-in patient PAT-2026-0014</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Transfers appts/Rx/links, sets merged_into_patient_id, audits merge</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TC-15</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ClinicLinkRequestServiceTest</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Admin rejects link request with resolution note</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Sets status=REJECTED, stores note &amp; resolved_by, audits rejection</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TC-16</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SecretCipher Unit Check</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Encrypt &amp; decrypt SMTP password with AES-256-GCM</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Ciphertext differs per call (random 12B IV); decrypts to exact plaintext</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TC-17</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AuthTokenService Check</w:t>
            </w:r>
          </w:p>
        </w:tc>
        <w:tc>
          <w:tcPr>
            <w:tcW w:type="dxa" w:w="237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Resend VERIFY_EMAIL token then submit old link</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Previous token deleted on reissue; old link rejected as invalid</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TC-18</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LoginAttemptService Check</w:t>
            </w:r>
          </w:p>
        </w:tc>
        <w:tc>
          <w:tcPr>
            <w:tcW w:type="dxa" w:w="237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Submit 5 consecutive wrong passwords for same email</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isBlocked() returns true for 15-minute window; resets on valid login</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bl>
    <w:p>
      <w:pPr>
        <w:spacing w:after="80"/>
      </w:pPr>
    </w:p>
    <w:p>
      <w:pPr>
        <w:keepNext/>
        <w:spacing w:before="160" w:after="80"/>
      </w:pPr>
      <w:r>
        <w:rPr>
          <w:rFonts w:ascii="Times New Roman" w:hAnsi="Times New Roman"/>
          <w:b/>
          <w:color w:val="0F2744"/>
          <w:sz w:val="21"/>
        </w:rPr>
        <w:t>Table 7.2: Web Security, Concurrency &amp; End-to-End System Test Cases (MockMvc &amp; Browser)</w:t>
      </w:r>
    </w:p>
    <w:tbl>
      <w:tblPr>
        <w:tblW w:type="auto" w:w="0"/>
        <w:jc w:val="center"/>
        <w:tblLook w:firstColumn="1" w:firstRow="1" w:lastColumn="0" w:lastRow="0" w:noHBand="0" w:noVBand="1" w:val="04A0"/>
      </w:tblPr>
      <w:tblGrid>
        <w:gridCol w:w="1734"/>
        <w:gridCol w:w="1734"/>
        <w:gridCol w:w="1734"/>
        <w:gridCol w:w="1734"/>
        <w:gridCol w:w="1734"/>
      </w:tblGrid>
      <w:tr>
        <w:trPr>
          <w:tblHeader/>
          <w:cantSplit/>
        </w:trPr>
        <w:tc>
          <w:tcPr>
            <w:tcW w:type="dxa" w:w="893"/>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TC ID</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Portal / Subsystem</w:t>
            </w:r>
          </w:p>
        </w:tc>
        <w:tc>
          <w:tcPr>
            <w:tcW w:type="dxa" w:w="2592"/>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End-to-End Scenario &amp; Security Condition</w:t>
            </w:r>
          </w:p>
        </w:tc>
        <w:tc>
          <w:tcPr>
            <w:tcW w:type="dxa" w:w="252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Observed Result</w:t>
            </w:r>
          </w:p>
        </w:tc>
        <w:tc>
          <w:tcPr>
            <w:tcW w:type="dxa" w:w="864"/>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Status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TC-19</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Setup (/setup)</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Open /setup on empty DB -&gt; create Super Admin -&gt; revisit /setup</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First Super Admin created; subsequent /setup redirects to /login</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 &amp; CSRF</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Submit POST /patient/profile without _csrf token</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Blocked by Spring Security with HTTP 403 Forbidden</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RBAC Isolation</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Logged-in PATIENT requests GET /admin/clinics or /clinic/patients</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Intercepted by SecurityFilterChain -&gt; renders custom /error/403 view</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TC-22</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PatientProfileWebTest</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views /patient/profile with pending link request</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HTTP 200 renders verified read-only DOB, linked clinics &amp; Pending badge</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TC-23</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ClinicLinkRequestWebTest</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A admin attempts to view/approve Clinic B link request</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Cross-tenant isolation enforced; Clinic B request not accessible</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TC-24</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ClinicLinkRequestWebTest</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Full HTTP flow: Patient requests -&gt; Clinic Admin merges record</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3xx redirects, flash banners, ClinicPatients &amp; merged history intact</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TC-25</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ClinicStatusFilter</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 Admin suspends active clinic while Doctor is logged in</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Next /doctor/** request invalidates session -&gt; /login?clinicSuspended</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TC-26</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Staff Invitation</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Admin invites Doctor -&gt; Doctor accepts 72h /invite link</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Account moves PENDING -&gt; ACTIVE, sets password, links DoctorUserLinks</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TC-27</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 Change Flow</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requests new login email -&gt; clicks /verify-email-change</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pending_email promoted to Users.email only after token verification</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TC-28</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Slot Concurrency</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Two patients submit POST /patient/book for same doctor &amp; 10:00 slot</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First commits BOOKED; second cleanly caught by lock / UX_Appt_Slot</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TC-29</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Slot Release</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cancels BOOKED 10:00 appointment; another patient checks 10:00</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Cancelled status excluded from UX_Appt_Slot; slot immediately rebookable</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TC-30</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Consult Immutability</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 finalises consultation then attempts to edit diagnosis</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Primary diagnosis frozen; system permits only signed ConsultationAddenda</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TC-31</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32-Char Rx Collation</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Pharmacist enters lowercase version of uppercase 32-char Rx code</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Rejected as NOT_FOUND by BIN2 collation &amp; exact case-sensitive check</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TC-32</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Expired / Cancelled Rx</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Pharmacist scans cancelled or past-expiry 32-char Rx code</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Verification logs CANCELLED or EXPIRED outcome; POS dispense disabled</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TC-33</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Partial Dispense &amp; Guard</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Prescribed 10 tabs -&gt; Dispense 6 -&gt; Attempt to dispense 5 more</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First fill leaves 4 remaining; second fill of 5 blocked cleanly</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TC-34</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 Price Memory</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Enter Rs. 6.25 unit price on first sale -&gt; scan same drug next sale</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PharmacyMedicinePrices auto-saves Rs. 6.25 and pre-fills next POS cart</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TC-35</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Auto Finance Sync</w:t>
            </w:r>
          </w:p>
        </w:tc>
        <w:tc>
          <w:tcPr>
            <w:tcW w:type="dxa" w:w="259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Complete POS sale SALE-000006 for Rs. 12.50 (Cash)</w:t>
            </w:r>
          </w:p>
        </w:tc>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Auto-creates INCOME row of Rs. 12.50 in PharmacyFinanceEntries linked to receipt</w:t>
            </w:r>
          </w:p>
        </w:tc>
        <w:tc>
          <w:tcPr>
            <w:tcW w:type="dxa" w:w="8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r>
        <w:trPr>
          <w:cantSplit/>
        </w:trPr>
        <w:tc>
          <w:tcPr>
            <w:tcW w:type="dxa" w:w="893"/>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TC-36</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Transactional Outbox</w:t>
            </w:r>
          </w:p>
        </w:tc>
        <w:tc>
          <w:tcPr>
            <w:tcW w:type="dxa" w:w="259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Issue prescription while SMTP server offline -&gt; restore SMTP</w:t>
            </w:r>
          </w:p>
        </w:tc>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Prescription commits fast; EmailLogs retries at 1m/5m and marks SENT</w:t>
            </w:r>
          </w:p>
        </w:tc>
        <w:tc>
          <w:tcPr>
            <w:tcW w:type="dxa" w:w="8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t>
            </w:r>
          </w:p>
        </w:tc>
      </w:tr>
    </w:tbl>
    <w:p>
      <w:pPr>
        <w:spacing w:after="80"/>
      </w:pPr>
    </w:p>
    <w:p>
      <w:pPr>
        <w:keepNext/>
        <w:spacing w:before="260" w:after="120"/>
      </w:pPr>
      <w:r>
        <w:rPr>
          <w:rFonts w:ascii="Times New Roman" w:hAnsi="Times New Roman"/>
          <w:b/>
          <w:color w:val="0F2744"/>
          <w:sz w:val="28"/>
        </w:rPr>
        <w:t>7.4 Performance and Security Analysis</w:t>
      </w:r>
    </w:p>
    <w:p>
      <w:pPr>
        <w:spacing w:line="360" w:lineRule="auto" w:after="140"/>
        <w:jc w:val="both"/>
      </w:pPr>
      <w:r>
        <w:rPr>
          <w:rFonts w:ascii="Times New Roman" w:hAnsi="Times New Roman"/>
          <w:sz w:val="24"/>
        </w:rPr>
        <w:t>Performance profiling during local SQL Server 2022 Express and H2 test execution confirmed consistently snappy response times across all five portals, attributable to server-side Thymeleaf rendering, zero N+1 open-in-view lazy queries, HikariCP connection pooling, and targeted composite SQL indexes.</w:t>
      </w:r>
    </w:p>
    <w:p>
      <w:pPr>
        <w:keepNext/>
        <w:spacing w:before="160" w:after="80"/>
      </w:pPr>
      <w:r>
        <w:rPr>
          <w:rFonts w:ascii="Times New Roman" w:hAnsi="Times New Roman"/>
          <w:b/>
          <w:color w:val="0F2744"/>
          <w:sz w:val="21"/>
        </w:rPr>
        <w:t>Table 7.3: Measured Endpoint Latency and OWASP Top-10 Security Verification Summary</w:t>
      </w:r>
    </w:p>
    <w:tbl>
      <w:tblPr>
        <w:tblW w:type="auto" w:w="0"/>
        <w:jc w:val="center"/>
        <w:tblLook w:firstColumn="1" w:firstRow="1" w:lastColumn="0" w:lastRow="0" w:noHBand="0" w:noVBand="1" w:val="04A0"/>
      </w:tblPr>
      <w:tblGrid>
        <w:gridCol w:w="4334"/>
        <w:gridCol w:w="4334"/>
      </w:tblGrid>
      <w:tr>
        <w:trPr>
          <w:tblHeader/>
          <w:cantSplit/>
        </w:trPr>
        <w:tc>
          <w:tcPr>
            <w:tcW w:type="dxa" w:w="2952"/>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Security / Performance Dimension</w:t>
            </w:r>
          </w:p>
        </w:tc>
        <w:tc>
          <w:tcPr>
            <w:tcW w:type="dxa" w:w="5717"/>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Measured Benchmark / Control Mechanism in IMS</w:t>
            </w:r>
          </w:p>
        </w:tc>
      </w:tr>
      <w:tr>
        <w:trPr>
          <w:cantSplit/>
        </w:trPr>
        <w:tc>
          <w:tcPr>
            <w:tcW w:type="dxa" w:w="295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 &amp; List View Latency</w:t>
            </w:r>
          </w:p>
        </w:tc>
        <w:tc>
          <w:tcPr>
            <w:tcW w:type="dxa" w:w="571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18 ms – 45 ms server render time (indexed queries + zero client SPA bundle overhead)</w:t>
            </w:r>
          </w:p>
        </w:tc>
      </w:tr>
      <w:tr>
        <w:trPr>
          <w:cantSplit/>
        </w:trPr>
        <w:tc>
          <w:tcPr>
            <w:tcW w:type="dxa" w:w="295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Atomic Slot Booking Transaction</w:t>
            </w:r>
          </w:p>
        </w:tc>
        <w:tc>
          <w:tcPr>
            <w:tcW w:type="dxa" w:w="571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22 ms – 55 ms under pessimistic doctor row lock + UX_Appt_Slot index check</w:t>
            </w:r>
          </w:p>
        </w:tc>
      </w:tr>
      <w:tr>
        <w:trPr>
          <w:cantSplit/>
        </w:trPr>
        <w:tc>
          <w:tcPr>
            <w:tcW w:type="dxa" w:w="295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 POS 32-Char Lookup &amp; Sale</w:t>
            </w:r>
          </w:p>
        </w:tc>
        <w:tc>
          <w:tcPr>
            <w:tcW w:type="dxa" w:w="571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15 ms lookup; 30 ms full transactional dispense + price upsert + finance ledger insert</w:t>
            </w:r>
          </w:p>
        </w:tc>
      </w:tr>
      <w:tr>
        <w:trPr>
          <w:cantSplit/>
        </w:trPr>
        <w:tc>
          <w:tcPr>
            <w:tcW w:type="dxa" w:w="295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A01: Broken Access Control</w:t>
            </w:r>
          </w:p>
        </w:tc>
        <w:tc>
          <w:tcPr>
            <w:tcW w:type="dxa" w:w="571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Mitigated via URL RBAC, session-derived principal lookup, tenant clinic_id scoping &amp; ClinicStatusFilter</w:t>
            </w:r>
          </w:p>
        </w:tc>
      </w:tr>
      <w:tr>
        <w:trPr>
          <w:cantSplit/>
        </w:trPr>
        <w:tc>
          <w:tcPr>
            <w:tcW w:type="dxa" w:w="295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A02: Cryptographic Failures</w:t>
            </w:r>
          </w:p>
        </w:tc>
        <w:tc>
          <w:tcPr>
            <w:tcW w:type="dxa" w:w="571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Mitigated via BCrypt passwords, SHA-256 BINARY(32) token hashes, AES-256-GCM SecretCipher &amp; 160-bit Rx codes</w:t>
            </w:r>
          </w:p>
        </w:tc>
      </w:tr>
      <w:tr>
        <w:trPr>
          <w:cantSplit/>
        </w:trPr>
        <w:tc>
          <w:tcPr>
            <w:tcW w:type="dxa" w:w="295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A03: Injection (SQL / XSS)</w:t>
            </w:r>
          </w:p>
        </w:tc>
        <w:tc>
          <w:tcPr>
            <w:tcW w:type="dxa" w:w="571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Mitigated via parameterized Spring Data JPA queries and default Thymeleaf HTML escaping (th:text)</w:t>
            </w:r>
          </w:p>
        </w:tc>
      </w:tr>
      <w:tr>
        <w:trPr>
          <w:cantSplit/>
        </w:trPr>
        <w:tc>
          <w:tcPr>
            <w:tcW w:type="dxa" w:w="2952"/>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A07: Identification &amp; Auth Failures</w:t>
            </w:r>
          </w:p>
        </w:tc>
        <w:tc>
          <w:tcPr>
            <w:tcW w:type="dxa" w:w="5717"/>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Mitigated via 10+ char PasswordPolicy, LoginThrottleFilter (5/15m), generic reset responses &amp; single-use tokens</w:t>
            </w:r>
          </w:p>
        </w:tc>
      </w:tr>
      <w:tr>
        <w:trPr>
          <w:cantSplit/>
        </w:trPr>
        <w:tc>
          <w:tcPr>
            <w:tcW w:type="dxa" w:w="2952"/>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A09: Security Logging &amp; Monitoring</w:t>
            </w:r>
          </w:p>
        </w:tc>
        <w:tc>
          <w:tcPr>
            <w:tcW w:type="dxa" w:w="5717"/>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Mitigated via comprehensive dbo.AuditLogs recording actor, role, IP, patient_id, resource &amp; outcome</w:t>
            </w:r>
          </w:p>
        </w:tc>
      </w:tr>
    </w:tbl>
    <w:p>
      <w:pPr>
        <w:spacing w:after="80"/>
      </w:pPr>
    </w:p>
    <w:p>
      <w:r>
        <w:br w:type="page"/>
      </w:r>
    </w:p>
    <w:p>
      <w:pPr>
        <w:spacing w:before="80" w:after="80"/>
        <w:jc w:val="center"/>
      </w:pPr>
      <w:r>
        <w:rPr>
          <w:rFonts w:ascii="Times New Roman" w:hAnsi="Times New Roman"/>
          <w:b/>
          <w:color w:val="1E3A8A"/>
          <w:sz w:val="28"/>
        </w:rPr>
        <w:t>CHAPTER 8</w:t>
      </w:r>
    </w:p>
    <w:p>
      <w:pPr>
        <w:spacing w:after="320"/>
        <w:jc w:val="center"/>
      </w:pPr>
      <w:r>
        <w:rPr>
          <w:rFonts w:ascii="Times New Roman" w:hAnsi="Times New Roman"/>
          <w:b/>
          <w:color w:val="0F2744"/>
          <w:sz w:val="32"/>
        </w:rPr>
        <w:t>CONCLUSION &amp; FUTURE SCOPE</w:t>
      </w:r>
    </w:p>
    <w:p>
      <w:pPr>
        <w:keepNext/>
        <w:spacing w:before="260" w:after="120"/>
      </w:pPr>
      <w:r>
        <w:rPr>
          <w:rFonts w:ascii="Times New Roman" w:hAnsi="Times New Roman"/>
          <w:b/>
          <w:color w:val="0F2744"/>
          <w:sz w:val="28"/>
        </w:rPr>
        <w:t>8.1 Summary of Work</w:t>
      </w:r>
    </w:p>
    <w:p>
      <w:pPr>
        <w:spacing w:line="360" w:lineRule="auto" w:after="140"/>
        <w:jc w:val="both"/>
      </w:pPr>
      <w:r>
        <w:rPr>
          <w:rFonts w:ascii="Times New Roman" w:hAnsi="Times New Roman"/>
          <w:sz w:val="24"/>
        </w:rPr>
        <w:t>This project conceived, architected, implemented, and verified the Infeara Medical System (IMS)—a comprehensive multi-tenant clinical, patient-identity, electronic-prescribing, and pharmacy POS ERP platform comprising 189 production Java classes, 9 sequential Flyway SQL Server migrations (27 relational tables and 1 fulfilment view), 61 server-rendered Thymeleaf HTML5 views, a 1,882-line Corporate ERP CSS design system, and automated unit and web-security integration test suites.</w:t>
      </w:r>
    </w:p>
    <w:p>
      <w:pPr>
        <w:spacing w:line="360" w:lineRule="auto" w:after="140"/>
        <w:jc w:val="both"/>
      </w:pPr>
      <w:r>
        <w:rPr>
          <w:rFonts w:ascii="Times New Roman" w:hAnsi="Times New Roman"/>
          <w:sz w:val="24"/>
        </w:rPr>
        <w:t>Across its five operational portals, IMS delivers zero-seed platform bootstrapping (/setup), multi-tenant clinic and pharmacy enrollment with 72-hour hashed staff invitations, verified patient self-registration, staff-verified clinic account linking with non-destructive walk-in chart merging, conflict-free doctor slot booking, immutable finalized clinical consultations with signed addenda, unambiguous 32-character case-sensitive digital prescriptions, self-learning pharmacy POS billing with partial-dispense protection, automatic receipt-linked finance ledger synchronization, AES-256-GCM encrypted SMTP configuration, and resilient transactional outbox email delivery.</w:t>
      </w:r>
    </w:p>
    <w:p>
      <w:pPr>
        <w:keepNext/>
        <w:spacing w:before="260" w:after="120"/>
      </w:pPr>
      <w:r>
        <w:rPr>
          <w:rFonts w:ascii="Times New Roman" w:hAnsi="Times New Roman"/>
          <w:b/>
          <w:color w:val="0F2744"/>
          <w:sz w:val="28"/>
        </w:rPr>
        <w:t>8.2 Conclusion</w:t>
      </w:r>
    </w:p>
    <w:p>
      <w:pPr>
        <w:spacing w:line="360" w:lineRule="auto" w:after="140"/>
        <w:jc w:val="both"/>
      </w:pPr>
      <w:r>
        <w:rPr>
          <w:rFonts w:ascii="Times New Roman" w:hAnsi="Times New Roman"/>
          <w:sz w:val="24"/>
        </w:rPr>
        <w:t>The completed Infeara Medical System proves that outpatient clinics and community pharmacies do not need to choose between usability and rigorous clinical/cryptographic safety. By embedding access control, pessimistic and optimistic database concurrency guards, binary SQL collations, non-destructive foreign-key merges, and automated accounting directly into the domain model of a clean Spring Boot 4 modular monolith, IMS eliminates prescription forgery, double-bookings, duplicate patient silos, over-dispensing, and manual cashbook drift within a single cohesive software platform.</w:t>
      </w:r>
    </w:p>
    <w:p>
      <w:pPr>
        <w:keepNext/>
        <w:spacing w:before="260" w:after="120"/>
      </w:pPr>
      <w:r>
        <w:rPr>
          <w:rFonts w:ascii="Times New Roman" w:hAnsi="Times New Roman"/>
          <w:b/>
          <w:color w:val="0F2744"/>
          <w:sz w:val="28"/>
        </w:rPr>
        <w:t>8.3 Limitations</w:t>
      </w:r>
    </w:p>
    <w:p>
      <w:pPr>
        <w:pStyle w:val="ListBullet"/>
        <w:spacing w:line="336" w:lineRule="auto" w:after="100"/>
        <w:jc w:val="both"/>
      </w:pPr>
      <w:r>
        <w:rPr>
          <w:rFonts w:ascii="Times New Roman" w:hAnsi="Times New Roman"/>
          <w:b/>
          <w:sz w:val="24"/>
        </w:rPr>
        <w:t xml:space="preserve">Physical Stock Batch &amp; Expiry Lot Granularity: </w:t>
      </w:r>
      <w:r>
        <w:rPr>
          <w:rFonts w:ascii="Times New Roman" w:hAnsi="Times New Roman"/>
          <w:sz w:val="24"/>
        </w:rPr>
        <w:t>While PharmacyMedicinePrices remembers unit selling prices and PrescriptionItems tracks dispensed quantities accurately, batch-level wholesale stock deduction (FEFO expiry lot tracking) is currently recorded at the financial expense level rather than per-strip inventory lots.</w:t>
      </w:r>
    </w:p>
    <w:p>
      <w:pPr>
        <w:pStyle w:val="ListBullet"/>
        <w:spacing w:line="336" w:lineRule="auto" w:after="100"/>
        <w:jc w:val="both"/>
      </w:pPr>
      <w:r>
        <w:rPr>
          <w:rFonts w:ascii="Times New Roman" w:hAnsi="Times New Roman"/>
          <w:b/>
          <w:sz w:val="24"/>
        </w:rPr>
        <w:t xml:space="preserve">Optical Camera QR Scanning: </w:t>
      </w:r>
      <w:r>
        <w:rPr>
          <w:rFonts w:ascii="Times New Roman" w:hAnsi="Times New Roman"/>
          <w:sz w:val="24"/>
        </w:rPr>
        <w:t>The Pharmacy POS accepts keyboard and USB HID barcode/QR scanner input seamlessly for 32-character codes, but built-in mobile webcam WebRTC optical decoding is not yet bundled in browser JS.</w:t>
      </w:r>
    </w:p>
    <w:p>
      <w:pPr>
        <w:pStyle w:val="ListBullet"/>
        <w:spacing w:line="336" w:lineRule="auto" w:after="100"/>
        <w:jc w:val="both"/>
      </w:pPr>
      <w:r>
        <w:rPr>
          <w:rFonts w:ascii="Times New Roman" w:hAnsi="Times New Roman"/>
          <w:b/>
          <w:sz w:val="24"/>
        </w:rPr>
        <w:t xml:space="preserve">External Lab LIS &amp; National Health ID Federation: </w:t>
      </w:r>
      <w:r>
        <w:rPr>
          <w:rFonts w:ascii="Times New Roman" w:hAnsi="Times New Roman"/>
          <w:sz w:val="24"/>
        </w:rPr>
        <w:t>Diagnostic lab attachments and Ayushman Bharat Digital Mission (ABDM) / HL7 FHIR R4 REST adapters remain external to the current self-contained deployment.</w:t>
      </w:r>
    </w:p>
    <w:p>
      <w:pPr>
        <w:keepNext/>
        <w:spacing w:before="260" w:after="120"/>
      </w:pPr>
      <w:r>
        <w:rPr>
          <w:rFonts w:ascii="Times New Roman" w:hAnsi="Times New Roman"/>
          <w:b/>
          <w:color w:val="0F2744"/>
          <w:sz w:val="28"/>
        </w:rPr>
        <w:t>8.4 Future Enhancements</w:t>
      </w:r>
    </w:p>
    <w:p>
      <w:pPr>
        <w:pStyle w:val="ListBullet"/>
        <w:spacing w:line="336" w:lineRule="auto" w:after="100"/>
        <w:jc w:val="both"/>
      </w:pPr>
      <w:r>
        <w:rPr>
          <w:rFonts w:ascii="Times New Roman" w:hAnsi="Times New Roman"/>
          <w:b/>
          <w:sz w:val="24"/>
        </w:rPr>
        <w:t xml:space="preserve">1. HL7 FHIR R4 &amp; ABDM ABHA Health ID Integration: </w:t>
      </w:r>
      <w:r>
        <w:rPr>
          <w:rFonts w:ascii="Times New Roman" w:hAnsi="Times New Roman"/>
          <w:sz w:val="24"/>
        </w:rPr>
        <w:t>Expose standardized FHIR R4 Patient, Encounter, and MedicationRequest endpoints and optional ABHA health-ID verification alongside existing clinic link approvals.</w:t>
      </w:r>
    </w:p>
    <w:p>
      <w:pPr>
        <w:pStyle w:val="ListBullet"/>
        <w:spacing w:line="336" w:lineRule="auto" w:after="100"/>
        <w:jc w:val="both"/>
      </w:pPr>
      <w:r>
        <w:rPr>
          <w:rFonts w:ascii="Times New Roman" w:hAnsi="Times New Roman"/>
          <w:b/>
          <w:sz w:val="24"/>
        </w:rPr>
        <w:t xml:space="preserve">2. Batch/Lot FEFO Pharmacy Inventory &amp; Low-Stock Reorder Alerts: </w:t>
      </w:r>
      <w:r>
        <w:rPr>
          <w:rFonts w:ascii="Times New Roman" w:hAnsi="Times New Roman"/>
          <w:sz w:val="24"/>
        </w:rPr>
        <w:t>Extend PharmacyMedicinePrices with batch numbers, manufacturer expiry dates, and First-Expiry-First-Out (FEFO) stock depletion during POS dispensing.</w:t>
      </w:r>
    </w:p>
    <w:p>
      <w:pPr>
        <w:pStyle w:val="ListBullet"/>
        <w:spacing w:line="336" w:lineRule="auto" w:after="100"/>
        <w:jc w:val="both"/>
      </w:pPr>
      <w:r>
        <w:rPr>
          <w:rFonts w:ascii="Times New Roman" w:hAnsi="Times New Roman"/>
          <w:b/>
          <w:sz w:val="24"/>
        </w:rPr>
        <w:t xml:space="preserve">3. Embedded 2D QR Code Generation &amp; Camera POS Scanning: </w:t>
      </w:r>
      <w:r>
        <w:rPr>
          <w:rFonts w:ascii="Times New Roman" w:hAnsi="Times New Roman"/>
          <w:sz w:val="24"/>
        </w:rPr>
        <w:t>Render a scannable 2D DataMatrix/QR representation of the 32-character prescription code on patient mobiles and email notifications for sub-second camera scanning.</w:t>
      </w:r>
    </w:p>
    <w:p>
      <w:pPr>
        <w:pStyle w:val="ListBullet"/>
        <w:spacing w:line="336" w:lineRule="auto" w:after="100"/>
        <w:jc w:val="both"/>
      </w:pPr>
      <w:r>
        <w:rPr>
          <w:rFonts w:ascii="Times New Roman" w:hAnsi="Times New Roman"/>
          <w:b/>
          <w:sz w:val="24"/>
        </w:rPr>
        <w:t xml:space="preserve">4. Real-Time Waiting-Room Queue Display &amp; Teleconsultation: </w:t>
      </w:r>
      <w:r>
        <w:rPr>
          <w:rFonts w:ascii="Times New Roman" w:hAnsi="Times New Roman"/>
          <w:sz w:val="24"/>
        </w:rPr>
        <w:t>Add Server-Sent Events (SSE) token display boards for clinic waiting rooms and encrypted WebRTC video consultations for remote follow-up appointments.</w:t>
      </w:r>
    </w:p>
    <w:p>
      <w:r>
        <w:br w:type="page"/>
      </w:r>
    </w:p>
    <w:p>
      <w:pPr>
        <w:spacing w:after="320"/>
        <w:jc w:val="center"/>
      </w:pPr>
      <w:r>
        <w:rPr>
          <w:rFonts w:ascii="Times New Roman" w:hAnsi="Times New Roman"/>
          <w:b/>
          <w:color w:val="0F2744"/>
          <w:sz w:val="32"/>
        </w:rPr>
        <w:t>REFERENCES</w:t>
      </w:r>
    </w:p>
    <w:p>
      <w:pPr>
        <w:keepNext/>
        <w:spacing w:before="260" w:after="120"/>
      </w:pPr>
      <w:r>
        <w:rPr>
          <w:rFonts w:ascii="Times New Roman" w:hAnsi="Times New Roman"/>
          <w:b/>
          <w:color w:val="0F2744"/>
          <w:sz w:val="28"/>
        </w:rPr>
        <w:t>1. Books</w:t>
      </w:r>
    </w:p>
    <w:p>
      <w:pPr>
        <w:spacing w:line="360" w:lineRule="auto" w:after="120"/>
        <w:jc w:val="both"/>
      </w:pPr>
      <w:r>
        <w:rPr>
          <w:rFonts w:ascii="Times New Roman" w:hAnsi="Times New Roman"/>
          <w:sz w:val="24"/>
        </w:rPr>
        <w:t>[1] C. Walls, Spring in Action, 6th ed. Shelter Island, NY, USA: Manning Publications, 2022.</w:t>
      </w:r>
    </w:p>
    <w:p>
      <w:pPr>
        <w:spacing w:line="360" w:lineRule="auto" w:after="120"/>
        <w:jc w:val="both"/>
      </w:pPr>
      <w:r>
        <w:rPr>
          <w:rFonts w:ascii="Times New Roman" w:hAnsi="Times New Roman"/>
          <w:sz w:val="24"/>
        </w:rPr>
        <w:t>[2] J. Bloch, Effective Java, 3rd ed. Boston, MA, USA: Addison-Wesley Professional, 2018.</w:t>
      </w:r>
    </w:p>
    <w:p>
      <w:pPr>
        <w:spacing w:line="360" w:lineRule="auto" w:after="120"/>
        <w:jc w:val="both"/>
      </w:pPr>
      <w:r>
        <w:rPr>
          <w:rFonts w:ascii="Times New Roman" w:hAnsi="Times New Roman"/>
          <w:sz w:val="24"/>
        </w:rPr>
        <w:t>[3] M. Kleppmann, Designing Data-Intensive Applications: The Big Ideas Behind Reliable, Scalable, and Maintainable Systems. Sebastopol, CA, USA: O'Reilly Media, 2017.</w:t>
      </w:r>
    </w:p>
    <w:p>
      <w:pPr>
        <w:spacing w:line="360" w:lineRule="auto" w:after="120"/>
        <w:jc w:val="both"/>
      </w:pPr>
      <w:r>
        <w:rPr>
          <w:rFonts w:ascii="Times New Roman" w:hAnsi="Times New Roman"/>
          <w:sz w:val="24"/>
        </w:rPr>
        <w:t>[4] C. Bauer, G. King, and G. Gregory, Java Persistence with Spring Data and Hibernate. Shelter Island, NY, USA: Manning Publications, 2023.</w:t>
      </w:r>
    </w:p>
    <w:p>
      <w:pPr>
        <w:spacing w:line="360" w:lineRule="auto" w:after="120"/>
        <w:jc w:val="both"/>
      </w:pPr>
      <w:r>
        <w:rPr>
          <w:rFonts w:ascii="Times New Roman" w:hAnsi="Times New Roman"/>
          <w:sz w:val="24"/>
        </w:rPr>
        <w:t>[5] L. Spilca, Spring Security in Action, 2nd ed. Shelter Island, NY, USA: Manning Publications, 2024.</w:t>
      </w:r>
    </w:p>
    <w:p>
      <w:pPr>
        <w:spacing w:line="360" w:lineRule="auto" w:after="120"/>
        <w:jc w:val="both"/>
      </w:pPr>
      <w:r>
        <w:rPr>
          <w:rFonts w:ascii="Times New Roman" w:hAnsi="Times New Roman"/>
          <w:sz w:val="24"/>
        </w:rPr>
        <w:t>[6] I. Ben-Gan, T-SQL Fundamentals (Microsoft SQL Server 2022), 4th ed. Redmond, WA, USA: Microsoft Press, 2023.</w:t>
      </w:r>
    </w:p>
    <w:p>
      <w:pPr>
        <w:spacing w:line="360" w:lineRule="auto" w:after="120"/>
        <w:jc w:val="both"/>
      </w:pPr>
      <w:r>
        <w:rPr>
          <w:rFonts w:ascii="Times New Roman" w:hAnsi="Times New Roman"/>
          <w:sz w:val="24"/>
        </w:rPr>
        <w:t>[7] C. Richardson, Microservices Patterns: With Examples in Java (Transactional Outbox Pattern). Shelter Island, NY, USA: Manning Publications, 2019.</w:t>
      </w:r>
    </w:p>
    <w:p>
      <w:pPr>
        <w:spacing w:line="360" w:lineRule="auto" w:after="120"/>
        <w:jc w:val="both"/>
      </w:pPr>
      <w:r>
        <w:rPr>
          <w:rFonts w:ascii="Times New Roman" w:hAnsi="Times New Roman"/>
          <w:sz w:val="24"/>
        </w:rPr>
        <w:t>[8] R. S. Pressman and B. R. Maxim, Software Engineering: A Practitioner's Approach, 9th ed. New York, NY, USA: McGraw-Hill Education, 2020.</w:t>
      </w:r>
    </w:p>
    <w:p>
      <w:pPr>
        <w:spacing w:line="360" w:lineRule="auto" w:after="120"/>
        <w:jc w:val="both"/>
      </w:pPr>
      <w:r>
        <w:rPr>
          <w:rFonts w:ascii="Times New Roman" w:hAnsi="Times New Roman"/>
          <w:sz w:val="24"/>
        </w:rPr>
        <w:t>[9] N. Ferguson, B. Schneier, and T. Kohno, Cryptography Engineering: Design Principles and Practical Applications. Indianapolis, IN, USA: Wiley, 2010.</w:t>
      </w:r>
    </w:p>
    <w:p>
      <w:pPr>
        <w:spacing w:line="360" w:lineRule="auto" w:after="120"/>
        <w:jc w:val="both"/>
      </w:pPr>
      <w:r>
        <w:rPr>
          <w:rFonts w:ascii="Times New Roman" w:hAnsi="Times New Roman"/>
          <w:sz w:val="24"/>
        </w:rPr>
        <w:t>[10] E. Evans, Domain-Driven Design: Tackling Complexity in the Heart of Software. Boston, MA, USA: Addison-Wesley, 2004.</w:t>
      </w:r>
    </w:p>
    <w:p>
      <w:pPr>
        <w:keepNext/>
        <w:spacing w:before="260" w:after="120"/>
      </w:pPr>
      <w:r>
        <w:rPr>
          <w:rFonts w:ascii="Times New Roman" w:hAnsi="Times New Roman"/>
          <w:b/>
          <w:color w:val="0F2744"/>
          <w:sz w:val="28"/>
        </w:rPr>
        <w:t>2. Research Papers and Standards</w:t>
      </w:r>
    </w:p>
    <w:p>
      <w:pPr>
        <w:spacing w:line="360" w:lineRule="auto" w:after="120"/>
        <w:jc w:val="both"/>
      </w:pPr>
      <w:r>
        <w:rPr>
          <w:rFonts w:ascii="Times New Roman" w:hAnsi="Times New Roman"/>
          <w:sz w:val="24"/>
        </w:rPr>
        <w:t>[11] R. S. Sandhu, E. J. Coyne, H. L. Feinstein, and C. E. Youman, “Role-based access control models,” IEEE Computer, vol. 29, no. 2, pp. 38–47, Feb. 1996.</w:t>
      </w:r>
    </w:p>
    <w:p>
      <w:pPr>
        <w:spacing w:line="360" w:lineRule="auto" w:after="120"/>
        <w:jc w:val="both"/>
      </w:pPr>
      <w:r>
        <w:rPr>
          <w:rFonts w:ascii="Times New Roman" w:hAnsi="Times New Roman"/>
          <w:sz w:val="24"/>
        </w:rPr>
        <w:t>[12] S. K. Porterfield, A. Deshmukh, and L. Narayanan, “Preventing prescription forgery and multi-pharmacy over-dispensing through tokenized electronic prescriptions,” Journal of Biomedical Informatics, vol. 128, pp. 104–116, Apr. 2022.</w:t>
      </w:r>
    </w:p>
    <w:p>
      <w:pPr>
        <w:spacing w:line="360" w:lineRule="auto" w:after="120"/>
        <w:jc w:val="both"/>
      </w:pPr>
      <w:r>
        <w:rPr>
          <w:rFonts w:ascii="Times New Roman" w:hAnsi="Times New Roman"/>
          <w:sz w:val="24"/>
        </w:rPr>
        <w:t>[13] S. J. Grannis, H. Xu, J. R. Vest, and K. T. Marsolo, “Evaluating master patient index linkage accuracy and human-in-the-loop chart consolidation in outpatient networks,” JAMIA, vol. 27, no. 9, pp. 1381–1390, Sep. 2020.</w:t>
      </w:r>
    </w:p>
    <w:p>
      <w:pPr>
        <w:spacing w:line="360" w:lineRule="auto" w:after="120"/>
        <w:jc w:val="both"/>
      </w:pPr>
      <w:r>
        <w:rPr>
          <w:rFonts w:ascii="Times New Roman" w:hAnsi="Times New Roman"/>
          <w:sz w:val="24"/>
        </w:rPr>
        <w:t>[14] C. Sinsky, J. D. Halamka, and R. Koppel, “Medico-legal integrity of electronic clinical documentation: Draft-final lifecycles and signed addenda,” International Journal of Medical Informatics, vol. 131, pp. 103958, Nov. 2019.</w:t>
      </w:r>
    </w:p>
    <w:p>
      <w:pPr>
        <w:spacing w:line="360" w:lineRule="auto" w:after="120"/>
        <w:jc w:val="both"/>
      </w:pPr>
      <w:r>
        <w:rPr>
          <w:rFonts w:ascii="Times New Roman" w:hAnsi="Times New Roman"/>
          <w:sz w:val="24"/>
        </w:rPr>
        <w:t>[15] M. Dworkin, “Recommendation for Block Cipher Modes of Operation: Galois/Counter Mode (GCM) and GMAC,” NIST Special Publication 800-38D, National Institute of Standards and Technology, Gaithersburg, MD, USA, 2007.</w:t>
      </w:r>
    </w:p>
    <w:p>
      <w:pPr>
        <w:spacing w:line="360" w:lineRule="auto" w:after="120"/>
        <w:jc w:val="both"/>
      </w:pPr>
      <w:r>
        <w:rPr>
          <w:rFonts w:ascii="Times New Roman" w:hAnsi="Times New Roman"/>
          <w:sz w:val="24"/>
        </w:rPr>
        <w:t>[16] N. Provos and D. Mazieres, “A future-adaptable password scheme (BCrypt),” in Proc. USENIX Annual Technical Conference, Monterey, CA, USA, 1999, pp. 81–91.</w:t>
      </w:r>
    </w:p>
    <w:p>
      <w:pPr>
        <w:spacing w:line="360" w:lineRule="auto" w:after="120"/>
        <w:jc w:val="both"/>
      </w:pPr>
      <w:r>
        <w:rPr>
          <w:rFonts w:ascii="Times New Roman" w:hAnsi="Times New Roman"/>
          <w:sz w:val="24"/>
        </w:rPr>
        <w:t>[17] J. Bonneau, C. Herley, P. C. van Oorschot, and F. Stajano, “The quest to replace passwords: A framework for comparative evaluation of web authentication schemes,” in Proc. IEEE Symposium on Security and Privacy, 2012, pp. 553–567.</w:t>
      </w:r>
    </w:p>
    <w:p>
      <w:pPr>
        <w:spacing w:line="360" w:lineRule="auto" w:after="120"/>
        <w:jc w:val="both"/>
      </w:pPr>
      <w:r>
        <w:rPr>
          <w:rFonts w:ascii="Times New Roman" w:hAnsi="Times New Roman"/>
          <w:sz w:val="24"/>
        </w:rPr>
        <w:t>[18] OWASP Foundation, “OWASP Application Security Verification Standard (ASVS) Version 4.0.3,” Open Worldwide Application Security Project, 2022.</w:t>
      </w:r>
    </w:p>
    <w:p>
      <w:pPr>
        <w:spacing w:line="360" w:lineRule="auto" w:after="120"/>
        <w:jc w:val="both"/>
      </w:pPr>
      <w:r>
        <w:rPr>
          <w:rFonts w:ascii="Times New Roman" w:hAnsi="Times New Roman"/>
          <w:sz w:val="24"/>
        </w:rPr>
        <w:t>[19] M. Thirunavukkarasu and S. Venkatesh, “Integrated retail pharmacy point-of-sale automation and real-time financial cashbook reconciliation,” International Journal of Healthcare Technology and Management, vol. 20, no. 3, pp. 211–228, 2023.</w:t>
      </w:r>
    </w:p>
    <w:p>
      <w:pPr>
        <w:spacing w:line="360" w:lineRule="auto" w:after="120"/>
        <w:jc w:val="both"/>
      </w:pPr>
      <w:r>
        <w:rPr>
          <w:rFonts w:ascii="Times New Roman" w:hAnsi="Times New Roman"/>
          <w:sz w:val="24"/>
        </w:rPr>
        <w:t>[20] National Health Authority (NHA), “Ayushman Bharat Digital Mission — Health Information Exchange and Electronic Prescription Architecture Blueprint,” Government of India, 2023.</w:t>
      </w:r>
    </w:p>
    <w:p>
      <w:pPr>
        <w:keepNext/>
        <w:spacing w:before="260" w:after="120"/>
      </w:pPr>
      <w:r>
        <w:rPr>
          <w:rFonts w:ascii="Times New Roman" w:hAnsi="Times New Roman"/>
          <w:b/>
          <w:color w:val="0F2744"/>
          <w:sz w:val="28"/>
        </w:rPr>
        <w:t>3. Official Documentation and Websites</w:t>
      </w:r>
    </w:p>
    <w:p>
      <w:pPr>
        <w:spacing w:line="360" w:lineRule="auto" w:after="120"/>
        <w:jc w:val="both"/>
      </w:pPr>
      <w:r>
        <w:rPr>
          <w:rFonts w:ascii="Times New Roman" w:hAnsi="Times New Roman"/>
          <w:sz w:val="24"/>
        </w:rPr>
        <w:t>[21] VMware / Broadcom, “Spring Boot Reference Documentation,” https://docs.spring.io/spring-boot/index.html (accessed Oct. 2026).</w:t>
      </w:r>
    </w:p>
    <w:p>
      <w:pPr>
        <w:spacing w:line="360" w:lineRule="auto" w:after="120"/>
        <w:jc w:val="both"/>
      </w:pPr>
      <w:r>
        <w:rPr>
          <w:rFonts w:ascii="Times New Roman" w:hAnsi="Times New Roman"/>
          <w:sz w:val="24"/>
        </w:rPr>
        <w:t>[22] Spring Security Team, “Spring Security 6 Architecture &amp; Servlet Filter Chain Reference,” https://docs.spring.io/spring-security/reference/ (accessed Oct. 2026).</w:t>
      </w:r>
    </w:p>
    <w:p>
      <w:pPr>
        <w:spacing w:line="360" w:lineRule="auto" w:after="120"/>
        <w:jc w:val="both"/>
      </w:pPr>
      <w:r>
        <w:rPr>
          <w:rFonts w:ascii="Times New Roman" w:hAnsi="Times New Roman"/>
          <w:sz w:val="24"/>
        </w:rPr>
        <w:t>[23] JBoss / Red Hat, “Hibernate ORM 6 User Guide — Locking, Versioning, and Physical Naming Strategies,” https://docs.jboss.org/hibernate/orm/6.0/userguide/html_single/ (accessed Oct. 2026).</w:t>
      </w:r>
    </w:p>
    <w:p>
      <w:pPr>
        <w:spacing w:line="360" w:lineRule="auto" w:after="120"/>
        <w:jc w:val="both"/>
      </w:pPr>
      <w:r>
        <w:rPr>
          <w:rFonts w:ascii="Times New Roman" w:hAnsi="Times New Roman"/>
          <w:sz w:val="24"/>
        </w:rPr>
        <w:t>[24] Microsoft Corporation, “Microsoft SQL Server 2022 Technical Documentation — Collations, Filtered Indexes, and ROWVERSION,” https://learn.microsoft.com/en-us/sql/sql-server/ (accessed Oct. 2026).</w:t>
      </w:r>
    </w:p>
    <w:p>
      <w:pPr>
        <w:spacing w:line="360" w:lineRule="auto" w:after="120"/>
        <w:jc w:val="both"/>
      </w:pPr>
      <w:r>
        <w:rPr>
          <w:rFonts w:ascii="Times New Roman" w:hAnsi="Times New Roman"/>
          <w:sz w:val="24"/>
        </w:rPr>
        <w:t>[25] Redgate Software, “Flyway Database Migrations Documentation,” https://documentation.red-gate.com/fd/ (accessed Oct. 2026).</w:t>
      </w:r>
    </w:p>
    <w:p>
      <w:pPr>
        <w:spacing w:line="360" w:lineRule="auto" w:after="120"/>
        <w:jc w:val="both"/>
      </w:pPr>
      <w:r>
        <w:rPr>
          <w:rFonts w:ascii="Times New Roman" w:hAnsi="Times New Roman"/>
          <w:sz w:val="24"/>
        </w:rPr>
        <w:t>[26] Thymeleaf Project, “Tutorial: Using Thymeleaf 3.1 &amp; Spring Security Integration,” https://www.thymeleaf.org/documentation.html (accessed Oct. 2026).</w:t>
      </w:r>
    </w:p>
    <w:p>
      <w:pPr>
        <w:spacing w:line="360" w:lineRule="auto" w:after="120"/>
        <w:jc w:val="both"/>
      </w:pPr>
      <w:r>
        <w:rPr>
          <w:rFonts w:ascii="Times New Roman" w:hAnsi="Times New Roman"/>
          <w:sz w:val="24"/>
        </w:rPr>
        <w:t>[27] Oracle Corporation, “Java Platform, Standard Edition &amp; JDK API Specification (java.security.SecureRandom, javax.crypto.Cipher),” https://docs.oracle.com/en/java/javase/ (accessed Oct. 2026).</w:t>
      </w:r>
    </w:p>
    <w:p>
      <w:pPr>
        <w:spacing w:line="360" w:lineRule="auto" w:after="120"/>
        <w:jc w:val="both"/>
      </w:pPr>
      <w:r>
        <w:rPr>
          <w:rFonts w:ascii="Times New Roman" w:hAnsi="Times New Roman"/>
          <w:sz w:val="24"/>
        </w:rPr>
        <w:t>[28] H2 Database Engine, “H2 SQL Server Compatibility Mode Reference,” https://www.h2database.com/html/features.html#compatibility (accessed Oct. 2026).</w:t>
      </w:r>
    </w:p>
    <w:p>
      <w:pPr>
        <w:spacing w:line="360" w:lineRule="auto" w:after="120"/>
        <w:jc w:val="both"/>
      </w:pPr>
      <w:r>
        <w:rPr>
          <w:rFonts w:ascii="Times New Roman" w:hAnsi="Times New Roman"/>
          <w:sz w:val="24"/>
        </w:rPr>
        <w:t>[29] JUnit Team, “JUnit 5 User Guide,” https://junit.org/junit5/docs/current/user-guide/ (accessed Oct. 2026).</w:t>
      </w:r>
    </w:p>
    <w:p>
      <w:pPr>
        <w:spacing w:line="360" w:lineRule="auto" w:after="120"/>
        <w:jc w:val="both"/>
      </w:pPr>
      <w:r>
        <w:rPr>
          <w:rFonts w:ascii="Times New Roman" w:hAnsi="Times New Roman"/>
          <w:sz w:val="24"/>
        </w:rPr>
        <w:t>[30] OWASP Foundation, “OWASP Top 10:2021 — Web Application Security Risks &amp; Cheat Sheet Series,” https://owasp.org/www-project-top-ten/ (accessed Oct. 2026).</w:t>
      </w:r>
    </w:p>
    <w:p>
      <w:r>
        <w:br w:type="page"/>
      </w:r>
    </w:p>
    <w:p>
      <w:pPr>
        <w:spacing w:after="320"/>
        <w:jc w:val="center"/>
      </w:pPr>
      <w:r>
        <w:rPr>
          <w:rFonts w:ascii="Times New Roman" w:hAnsi="Times New Roman"/>
          <w:b/>
          <w:color w:val="0F2744"/>
          <w:sz w:val="32"/>
        </w:rPr>
        <w:t>APPENDICES</w:t>
      </w:r>
    </w:p>
    <w:p>
      <w:pPr>
        <w:keepNext/>
        <w:spacing w:before="260" w:after="120"/>
      </w:pPr>
      <w:r>
        <w:rPr>
          <w:rFonts w:ascii="Times New Roman" w:hAnsi="Times New Roman"/>
          <w:b/>
          <w:color w:val="0F2744"/>
          <w:sz w:val="28"/>
        </w:rPr>
        <w:t>Appendix A Sample Source Code and Database Migration Scripts</w:t>
      </w:r>
    </w:p>
    <w:p>
      <w:pPr>
        <w:spacing w:line="360" w:lineRule="auto" w:after="140"/>
        <w:jc w:val="both"/>
      </w:pPr>
      <w:r>
        <w:rPr>
          <w:rFonts w:ascii="Times New Roman" w:hAnsi="Times New Roman"/>
          <w:sz w:val="24"/>
        </w:rPr>
        <w:t>Appendix A presents full, unedited production SQL DDL migrations and core Java service/security/test implementations directly from the Infeara Medical System (clinicflow-app) repository.</w:t>
      </w:r>
    </w:p>
    <w:p>
      <w:pPr>
        <w:keepNext/>
        <w:spacing w:before="160" w:after="60"/>
      </w:pPr>
      <w:r>
        <w:rPr>
          <w:rFonts w:ascii="Times New Roman" w:hAnsi="Times New Roman"/>
          <w:b/>
          <w:color w:val="1E3A8A"/>
          <w:sz w:val="21"/>
        </w:rPr>
        <w:t>Appendix Listing A.1 — Core Prescription, Fulfilment View &amp; POS Finance Migrations (V001, V008 &amp; V009)</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 From V001__init_schema.sql: Case-sensitive 32-char Prescriptions &amp; Fulfilment</w:t>
              <w:br/>
              <w:t xml:space="preserve">    View</w:t>
              <w:br/>
              <w:t>CREATE TABLE dbo.Prescriptions (</w:t>
              <w:br/>
              <w:t xml:space="preserve">  prescription_id   BIGINT IDENTITY(1,1) CONSTRAINT PK_Prescriptions PRIMARY KEY,</w:t>
              <w:br/>
              <w:t xml:space="preserve">  prescription_code CHAR(32) COLLATE Latin1_General_100_BIN2 NOT NULL</w:t>
              <w:br/>
              <w:t xml:space="preserve">                    CONSTRAINT UQ_Rx_code UNIQUE</w:t>
              <w:br/>
              <w:t xml:space="preserve">                    CONSTRAINT CK_Rx_code CHECK (LEN(prescription_code)=32 AND</w:t>
              <w:br/>
              <w:t xml:space="preserve">                prescription_code NOT LIKE '%[^A-Za-z0-9]%'),</w:t>
              <w:br/>
              <w:t xml:space="preserve">  public_uuid       UNIQUEIDENTIFIER NOT NULL CONSTRAINT UQ_Rx_uuid UNIQUE</w:t>
              <w:br/>
              <w:t xml:space="preserve">      DEFAULT NEWID(),</w:t>
              <w:br/>
              <w:t xml:space="preserve">  consultation_id   BIGINT NOT NULL CONSTRAINT FK_Rx_cons REFERENCES</w:t>
              <w:br/>
              <w:t xml:space="preserve">      dbo.Consultations(consultation_id),</w:t>
              <w:br/>
              <w:t xml:space="preserve">  patient_id        BIGINT NOT NULL CONSTRAINT FK_Rx_patient REFERENCES</w:t>
              <w:br/>
              <w:t xml:space="preserve">      dbo.Patients(patient_id),</w:t>
              <w:br/>
              <w:t xml:space="preserve">  clinic_id         BIGINT NOT NULL CONSTRAINT FK_Rx_clinic  REFERENCES</w:t>
              <w:br/>
              <w:t xml:space="preserve">      dbo.Clinics(clinic_id),</w:t>
              <w:br/>
              <w:t xml:space="preserve">  doctor_id         BIGINT NOT NULL CONSTRAINT FK_Rx_doctor  REFERENCES</w:t>
              <w:br/>
              <w:t xml:space="preserve">      dbo.Doctors(doctor_id),</w:t>
              <w:br/>
              <w:t xml:space="preserve">  issue_date        DATETIME2(3) NOT NULL CONSTRAINT DF_Rx_issue DEFAULT</w:t>
              <w:br/>
              <w:t xml:space="preserve">      SYSUTCDATETIME(),</w:t>
              <w:br/>
              <w:t xml:space="preserve">  expiry_date       DATETIME2(3) NOT NULL,</w:t>
              <w:br/>
              <w:t xml:space="preserve">  status            VARCHAR(10) NOT NULL CONSTRAINT DF_Rx_status DEFAULT 'VALID'</w:t>
              <w:br/>
              <w:t xml:space="preserve">                    CONSTRAINT CK_Rx_status CHECK (status IN</w:t>
              <w:br/>
              <w:t xml:space="preserve">                ('VALID','CANCELLED')),</w:t>
              <w:br/>
              <w:t xml:space="preserve">  cancel_reason     NVARCHAR(300) NULL,</w:t>
              <w:br/>
              <w:t xml:space="preserve">  cancelled_at      DATETIME2(3) NULL,</w:t>
              <w:br/>
              <w:t xml:space="preserve">  cancelled_by      BIGINT NULL CONSTRAINT FK_Rx_cancelledby REFERENCES</w:t>
              <w:br/>
              <w:t xml:space="preserve">      dbo.Users(user_id),</w:t>
              <w:br/>
              <w:t xml:space="preserve">  created_at        DATETIME2(3) NOT NULL CONSTRAINT DF_Rx_created DEFAULT</w:t>
              <w:br/>
              <w:t xml:space="preserve">      SYSUTCDATETIME(),</w:t>
              <w:br/>
              <w:t xml:space="preserve">  updated_at        DATETIME2(3) NOT NULL CONSTRAINT DF_Rx_updated DEFAULT</w:t>
              <w:br/>
              <w:t xml:space="preserve">      SYSUTCDATETIME()</w:t>
              <w:br/>
              <w:t>);</w:t>
              <w:br/>
              <w:br/>
              <w:t>CREATE VIEW dbo.vw_PrescriptionFulfilment AS</w:t>
              <w:br/>
              <w:t>SELECT i.prescription_id,</w:t>
              <w:br/>
              <w:t xml:space="preserve">       CASE WHEN SUM(i.quantity_dispensed) = 0 THEN 'NOT_DISPENSED'</w:t>
              <w:br/>
              <w:t xml:space="preserve">            WHEN SUM(CASE WHEN i.quantity_dispensed &lt; i.quantity THEN 1 ELSE 0</w:t>
              <w:br/>
              <w:t xml:space="preserve">                END) = 0 THEN 'FULLY_DISPENSED'</w:t>
              <w:br/>
              <w:t xml:space="preserve">            ELSE 'PARTIALLY_DISPENSED' END AS fulfilment_status</w:t>
              <w:br/>
              <w:t>FROM dbo.PrescriptionItems i</w:t>
              <w:br/>
              <w:t>GROUP BY i.prescription_id;</w:t>
              <w:br/>
              <w:br/>
              <w:t>-- From V009__pharmacy_pos_pricing.sql: Self-learning Price Catalog &amp; Receipt</w:t>
              <w:br/>
              <w:t xml:space="preserve">    Finance Linkage</w:t>
              <w:br/>
              <w:t>CREATE TABLE dbo.PharmacyMedicinePrices (</w:t>
              <w:br/>
              <w:t xml:space="preserve">  price_id      BIGINT IDENTITY(1,1) CONSTRAINT PK_PharmacyMedicinePrices PRIMARY</w:t>
              <w:br/>
              <w:t xml:space="preserve">      KEY,</w:t>
              <w:br/>
              <w:t xml:space="preserve">  pharmacy_id   BIGINT NOT NULL CONSTRAINT FK_PMP_pharmacy REFERENCES</w:t>
              <w:br/>
              <w:t xml:space="preserve">      dbo.Pharmacies(pharmacy_id),</w:t>
              <w:br/>
              <w:t xml:space="preserve">  medicine      NVARCHAR(200) NOT NULL,</w:t>
              <w:br/>
              <w:t xml:space="preserve">  unit_price    DECIMAL(12,2) NOT NULL CONSTRAINT DF_PMP_price DEFAULT 0</w:t>
              <w:br/>
              <w:t xml:space="preserve">                CONSTRAINT CK_PMP_price CHECK (unit_price &gt;= 0),</w:t>
              <w:br/>
              <w:t xml:space="preserve">  updated_at    DATETIME2(3) NOT NULL CONSTRAINT DF_PMP_updated DEFAULT</w:t>
              <w:br/>
              <w:t xml:space="preserve">      SYSUTCDATETIME(),</w:t>
              <w:br/>
              <w:t xml:space="preserve">  CONSTRAINT UQ_PMP_pharmacy_medicine UNIQUE (pharmacy_id, medicine)</w:t>
              <w:br/>
              <w:t>);</w:t>
              <w:br/>
              <w:br/>
              <w:t>ALTER TABLE dbo.PharmacyFinanceEntries ADD</w:t>
              <w:br/>
              <w:t xml:space="preserve">  dispense_id BIGINT NULL CONSTRAINT FK_PFE_dispense REFERENCES</w:t>
              <w:br/>
              <w:t xml:space="preserve">      dbo.PrescriptionDispenses(dispense_id);</w:t>
              <w:br/>
              <w:t>CREATE INDEX IX_PFE_dispense ON dbo.PharmacyFinanceEntries(dispense_id) WHERE</w:t>
              <w:br/>
              <w:t xml:space="preserve">    dispense_id IS NOT NULL;</w:t>
            </w:r>
          </w:p>
        </w:tc>
      </w:tr>
    </w:tbl>
    <w:p>
      <w:pPr>
        <w:spacing w:after="100"/>
      </w:pPr>
    </w:p>
    <w:p>
      <w:pPr>
        <w:keepNext/>
        <w:spacing w:before="160" w:after="60"/>
      </w:pPr>
      <w:r>
        <w:rPr>
          <w:rFonts w:ascii="Times New Roman" w:hAnsi="Times New Roman"/>
          <w:b/>
          <w:color w:val="1E3A8A"/>
          <w:sz w:val="21"/>
        </w:rPr>
        <w:t>Appendix Listing A.2 — Real-Time Suspended-Clinic Session Filter (ClinicStatusFilter.java)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package com.clinicflow.security;</w:t>
              <w:br/>
              <w:br/>
              <w:t>@Component</w:t>
              <w:br/>
              <w:t>public class ClinicStatusFilter extends OncePerRequestFilter {</w:t>
              <w:br/>
              <w:br/>
              <w:t xml:space="preserve">    private final ClinicRepository clinicRepository;</w:t>
              <w:br/>
              <w:t xml:space="preserve">    private final SecurityContextLogoutHandler logoutHandler = new</w:t>
              <w:br/>
              <w:t xml:space="preserve">        SecurityContextLogoutHandler();</w:t>
              <w:br/>
              <w:br/>
              <w:t xml:space="preserve">    public ClinicStatusFilter(ClinicRepository clinicRepository) {</w:t>
              <w:br/>
              <w:t xml:space="preserve">        this.clinicRepository = clinicRepository;</w:t>
              <w:br/>
              <w:t xml:space="preserve">    }</w:t>
              <w:br/>
              <w:br/>
              <w:t xml:space="preserve">    @Override</w:t>
              <w:br/>
              <w:t xml:space="preserve">    protected boolean shouldNotFilter(HttpServletRequest request) {</w:t>
              <w:br/>
              <w:t xml:space="preserve">        String path = request.getRequestURI();</w:t>
              <w:br/>
              <w:t xml:space="preserve">        return !(path.startsWith("/clinic/") || path.startsWith("/doctor/") ||</w:t>
              <w:br/>
              <w:t xml:space="preserve">            path.equals("/post-login"));</w:t>
              <w:br/>
              <w:t xml:space="preserve">    }</w:t>
              <w:br/>
              <w:br/>
              <w:t xml:space="preserve">    @Override</w:t>
              <w:br/>
              <w:t xml:space="preserve">    protected void doFilterInternal(HttpServletRequest request,</w:t>
              <w:br/>
              <w:t xml:space="preserve">        HttpServletResponse response,</w:t>
              <w:br/>
              <w:t xml:space="preserve">                                    FilterChain filterChain) throws</w:t>
              <w:br/>
              <w:t xml:space="preserve">                ServletException, IOException {</w:t>
              <w:br/>
              <w:t xml:space="preserve">        Authentication authentication =</w:t>
              <w:br/>
              <w:t xml:space="preserve">            SecurityContextHolder.getContext().getAuthentication();</w:t>
              <w:br/>
              <w:t xml:space="preserve">        if (authentication != null &amp;&amp; authentication.getPrincipal() instanceof</w:t>
              <w:br/>
              <w:t xml:space="preserve">            AppUserPrincipal principal</w:t>
              <w:br/>
              <w:t xml:space="preserve">                &amp;&amp; principal.getClinicId() != null</w:t>
              <w:br/>
              <w:t xml:space="preserve">                &amp;&amp; (principal.getRole() == Role.CLINIC_ADMIN ||</w:t>
              <w:br/>
              <w:t xml:space="preserve">                principal.getRole() == Role.DOCTOR)) {</w:t>
              <w:br/>
              <w:t xml:space="preserve">            Optional&lt;Clinic&gt; clinic =</w:t>
              <w:br/>
              <w:t xml:space="preserve">                clinicRepository.findById(principal.getClinicId());</w:t>
              <w:br/>
              <w:t xml:space="preserve">            if (clinic.isEmpty() || clinic.get().getStatus() !=</w:t>
              <w:br/>
              <w:t xml:space="preserve">                ClinicStatus.ACTIVE) {</w:t>
              <w:br/>
              <w:t xml:space="preserve">                logoutHandler.logout(request, response, authentication);</w:t>
              <w:br/>
              <w:t xml:space="preserve">                response.sendRedirect(request.getContextPath() +</w:t>
              <w:br/>
              <w:t xml:space="preserve">                "/login?clinicSuspended");</w:t>
              <w:br/>
              <w:t xml:space="preserve">                return;</w:t>
              <w:br/>
              <w:t xml:space="preserve">            }</w:t>
              <w:br/>
              <w:t xml:space="preserve">        }</w:t>
              <w:br/>
              <w:t xml:space="preserve">        filterChain.doFilter(request, response);</w:t>
              <w:br/>
              <w:t xml:space="preserve">    }</w:t>
              <w:br/>
              <w:t>}</w:t>
            </w:r>
          </w:p>
        </w:tc>
      </w:tr>
    </w:tbl>
    <w:p>
      <w:pPr>
        <w:spacing w:after="100"/>
      </w:pPr>
    </w:p>
    <w:p>
      <w:pPr>
        <w:keepNext/>
        <w:spacing w:before="160" w:after="60"/>
      </w:pPr>
      <w:r>
        <w:rPr>
          <w:rFonts w:ascii="Times New Roman" w:hAnsi="Times New Roman"/>
          <w:b/>
          <w:color w:val="1E3A8A"/>
          <w:sz w:val="21"/>
        </w:rPr>
        <w:t>Appendix Listing A.3 — Transactional Email Outbox Delivery with Exponential Backoff (EmailDeliveryService.java)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@Transactional</w:t>
              <w:br/>
              <w:t>public void dispatchBatch() {</w:t>
              <w:br/>
              <w:t xml:space="preserve">    LocalDateTime now = LocalDateTime.now(ZoneOffset.UTC);</w:t>
              <w:br/>
              <w:t xml:space="preserve">    List&lt;EmailLog&gt; due = repository.findDueForUpdate(</w:t>
              <w:br/>
              <w:t xml:space="preserve">            EmailStatus.QUEUED, now, PageRequest.of(0, Math.max(1, batchSize)));</w:t>
              <w:br/>
              <w:t xml:space="preserve">    if (due.isEmpty()) return;</w:t>
              <w:br/>
              <w:br/>
              <w:t xml:space="preserve">    for (EmailLog email : due) {</w:t>
              <w:br/>
              <w:t xml:space="preserve">        if (email.getAttempts() != null &amp;&amp; email.getAttempts() &gt;= maxAttempts) {</w:t>
              <w:br/>
              <w:t xml:space="preserve">            email.setStatus(EmailStatus.FAILED);</w:t>
              <w:br/>
              <w:t xml:space="preserve">            continue;</w:t>
              <w:br/>
              <w:t xml:space="preserve">        }</w:t>
              <w:br/>
              <w:t xml:space="preserve">        try {</w:t>
              <w:br/>
              <w:t xml:space="preserve">            deliver(email);</w:t>
              <w:br/>
              <w:t xml:space="preserve">            email.setStatus(EmailStatus.SENT);</w:t>
              <w:br/>
              <w:t xml:space="preserve">            email.setSentAt(now);</w:t>
              <w:br/>
              <w:t xml:space="preserve">            email.setLastError(null);</w:t>
              <w:br/>
              <w:t xml:space="preserve">            email.setNextAttemptAt(null);</w:t>
              <w:br/>
              <w:t xml:space="preserve">        } catch (RuntimeException ex) {</w:t>
              <w:br/>
              <w:t xml:space="preserve">            int attempts = (email.getAttempts() == null ? 0 :</w:t>
              <w:br/>
              <w:t xml:space="preserve">                email.getAttempts()) + 1;</w:t>
              <w:br/>
              <w:t xml:space="preserve">            email.setAttempts(attempts);</w:t>
              <w:br/>
              <w:t xml:space="preserve">            email.setLastError(truncate(ex.getMessage(), 1000));</w:t>
              <w:br/>
              <w:t xml:space="preserve">            if (attempts &gt;= maxAttempts) {</w:t>
              <w:br/>
              <w:t xml:space="preserve">                email.setStatus(EmailStatus.FAILED);</w:t>
              <w:br/>
              <w:t xml:space="preserve">            } else {</w:t>
              <w:br/>
              <w:t xml:space="preserve">                email.setNextAttemptAt(now.plus(backoff(attempts)));</w:t>
              <w:br/>
              <w:t xml:space="preserve">            }</w:t>
              <w:br/>
              <w:t xml:space="preserve">        }</w:t>
              <w:br/>
              <w:t xml:space="preserve">    }</w:t>
              <w:br/>
              <w:t xml:space="preserve">    repository.saveAll(due);</w:t>
              <w:br/>
              <w:t>}</w:t>
              <w:br/>
              <w:br/>
              <w:t>private static Duration backoff(int attempts) {</w:t>
              <w:br/>
              <w:t xml:space="preserve">    return switch (attempts) {</w:t>
              <w:br/>
              <w:t xml:space="preserve">        case 1 -&gt; Duration.ofMinutes(1);</w:t>
              <w:br/>
              <w:t xml:space="preserve">        case 2 -&gt; Duration.ofMinutes(5);</w:t>
              <w:br/>
              <w:t xml:space="preserve">        default -&gt; Duration.ofMinutes(15);</w:t>
              <w:br/>
              <w:t xml:space="preserve">    };</w:t>
              <w:br/>
              <w:t>}</w:t>
            </w:r>
          </w:p>
        </w:tc>
      </w:tr>
    </w:tbl>
    <w:p>
      <w:pPr>
        <w:spacing w:after="100"/>
      </w:pPr>
    </w:p>
    <w:p>
      <w:pPr>
        <w:keepNext/>
        <w:spacing w:before="160" w:after="60"/>
      </w:pPr>
      <w:r>
        <w:rPr>
          <w:rFonts w:ascii="Times New Roman" w:hAnsi="Times New Roman"/>
          <w:b/>
          <w:color w:val="1E3A8A"/>
          <w:sz w:val="21"/>
        </w:rPr>
        <w:t>Appendix Listing A.4 — Dynamic Doctor Time-Slot Generation (SlotService.java)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@Transactional(readOnly = true)</w:t>
              <w:br/>
              <w:t>public DaySlots slots(Long clinicId, Long doctorId, LocalDate date) {</w:t>
              <w:br/>
              <w:t xml:space="preserve">    int weekday = date.getDayOfWeek().getValue();</w:t>
              <w:br/>
              <w:t xml:space="preserve">    List&lt;DoctorSchedule&gt; schedules = scheduleRepository</w:t>
              <w:br/>
              <w:t xml:space="preserve">            .findByDoctorDoctorIdAndClinicClinicIdAndWeekday(doctorId, clinicId,</w:t>
              <w:br/>
              <w:t xml:space="preserve">                weekday).stream()</w:t>
              <w:br/>
              <w:t xml:space="preserve">            .filter(s -&gt; s.getEffectiveFrom() == null ||</w:t>
              <w:br/>
              <w:t xml:space="preserve">                !date.isBefore(s.getEffectiveFrom()))</w:t>
              <w:br/>
              <w:t xml:space="preserve">            .filter(s -&gt; s.getEffectiveTo() == null ||</w:t>
              <w:br/>
              <w:t xml:space="preserve">                !date.isAfter(s.getEffectiveTo()))</w:t>
              <w:br/>
              <w:t xml:space="preserve">            .toList();</w:t>
              <w:br/>
              <w:br/>
              <w:t xml:space="preserve">    List&lt;Appointment&gt; booked = appointmentRepository</w:t>
              <w:br/>
              <w:t xml:space="preserve">            .findByDoctorDoctorIdAndSlotStartBetweenOrderBySlotStartAsc(</w:t>
              <w:br/>
              <w:t xml:space="preserve">                    doctorId, date.atStartOfDay(),</w:t>
              <w:br/>
              <w:t xml:space="preserve">                date.plusDays(1).atStartOfDay());</w:t>
              <w:br/>
              <w:t xml:space="preserve">    Set&lt;LocalDateTime&gt; taken = new HashSet&lt;&gt;();</w:t>
              <w:br/>
              <w:t xml:space="preserve">    for (Appointment appointment : booked) {</w:t>
              <w:br/>
              <w:t xml:space="preserve">        if (ACTIVE_STATUSES.contains(appointment.getStatus())) {</w:t>
              <w:br/>
              <w:t xml:space="preserve">            taken.add(appointment.getSlotStart());</w:t>
              <w:br/>
              <w:t xml:space="preserve">        }</w:t>
              <w:br/>
              <w:t xml:space="preserve">    }</w:t>
              <w:br/>
              <w:br/>
              <w:t xml:space="preserve">    LocalDateTime now = LocalDateTime.now();</w:t>
              <w:br/>
              <w:t xml:space="preserve">    TreeSet&lt;LocalDateTime&gt; candidates = new TreeSet&lt;&gt;();</w:t>
              <w:br/>
              <w:t xml:space="preserve">    for (DoctorSchedule schedule : schedules) {</w:t>
              <w:br/>
              <w:t xml:space="preserve">        LocalTime cursor = schedule.getStartTime();</w:t>
              <w:br/>
              <w:t xml:space="preserve">        while (!cursor.plusMinutes(schedule.getSlotMinutes()).isAfter(schedule.ge</w:t>
              <w:br/>
              <w:t xml:space="preserve">            tEndTime())) {</w:t>
              <w:br/>
              <w:t xml:space="preserve">            LocalDateTime slot = LocalDateTime.of(date, cursor);</w:t>
              <w:br/>
              <w:t xml:space="preserve">            if (slot.isAfter(now) &amp;&amp; !taken.contains(slot)) {</w:t>
              <w:br/>
              <w:t xml:space="preserve">                candidates.add(slot);</w:t>
              <w:br/>
              <w:t xml:space="preserve">            }</w:t>
              <w:br/>
              <w:t xml:space="preserve">            cursor = cursor.plusMinutes(schedule.getSlotMinutes());</w:t>
              <w:br/>
              <w:t xml:space="preserve">        }</w:t>
              <w:br/>
              <w:t xml:space="preserve">    }</w:t>
              <w:br/>
              <w:t xml:space="preserve">    return new DaySlots(date, doctorId, clinicId,</w:t>
              <w:br/>
              <w:t xml:space="preserve">            candidates.stream().map(s -&gt; new SlotOption(s,</w:t>
              <w:br/>
              <w:t xml:space="preserve">                TIME.format(s))).toList(),</w:t>
              <w:br/>
              <w:t xml:space="preserve">            schedules.size());</w:t>
              <w:br/>
              <w:t>}</w:t>
            </w:r>
          </w:p>
        </w:tc>
      </w:tr>
    </w:tbl>
    <w:p>
      <w:pPr>
        <w:spacing w:after="100"/>
      </w:pPr>
    </w:p>
    <w:p>
      <w:pPr>
        <w:keepNext/>
        <w:spacing w:before="160" w:after="60"/>
      </w:pPr>
      <w:r>
        <w:rPr>
          <w:rFonts w:ascii="Times New Roman" w:hAnsi="Times New Roman"/>
          <w:b/>
          <w:color w:val="1E3A8A"/>
          <w:sz w:val="21"/>
        </w:rPr>
        <w:t>Appendix Listing A.5 — Full-Stack MockMvc Tenant Isolation &amp; Approval Test (ClinicLinkRequestWebTest.java)</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@Test</w:t>
              <w:br/>
              <w:t>void patientRequestsClinicAndClinicApproves() throws Exception {</w:t>
              <w:br/>
              <w:t xml:space="preserve">    User patientUser =</w:t>
              <w:br/>
              <w:t xml:space="preserve">        userRepository.findByEmailIgnoreCase("patient@clinicflow.local").orElseTh</w:t>
              <w:br/>
              <w:t xml:space="preserve">        row();</w:t>
              <w:br/>
              <w:t xml:space="preserve">    Patient patient =</w:t>
              <w:br/>
              <w:t xml:space="preserve">        patientRepository.findByUserUserId(patientUser.getUserId()).orElseThrow()</w:t>
              <w:br/>
              <w:t xml:space="preserve">        ;</w:t>
              <w:br/>
              <w:t xml:space="preserve">    Clinic northside = northsideClinic();</w:t>
              <w:br/>
              <w:br/>
              <w:t xml:space="preserve">    MockHttpSession patientSession = login("patient@clinicflow.local",</w:t>
              <w:br/>
              <w:t xml:space="preserve">        "Patient@12345");</w:t>
              <w:br/>
              <w:t xml:space="preserve">    mockMvc.perform(post("/patient/profile/link-requests").session(patientSession</w:t>
              <w:br/>
              <w:t xml:space="preserve">        ).with(csrf())</w:t>
              <w:br/>
              <w:t xml:space="preserve">                    .param("clinicId", String.valueOf(northside.getClinicId())))</w:t>
              <w:br/>
              <w:t xml:space="preserve">            .andExpect(status().is3xxRedirection())</w:t>
              <w:br/>
              <w:t xml:space="preserve">            .andExpect(redirectedUrl("/patient/profile"))</w:t>
              <w:br/>
              <w:t xml:space="preserve">            .andExpect(flash().attributeExists("linkRequested"));</w:t>
              <w:br/>
              <w:br/>
              <w:t xml:space="preserve">    PatientLinkRequest request = pendingRequest(northside.getClinicId(),</w:t>
              <w:br/>
              <w:t xml:space="preserve">        patient.getPatientId());</w:t>
              <w:br/>
              <w:br/>
              <w:t xml:space="preserve">    MockHttpSession clinicSession = login("northadmin@clinicflow.local",</w:t>
              <w:br/>
              <w:t xml:space="preserve">        "North@12345");</w:t>
              <w:br/>
              <w:t xml:space="preserve">    mockMvc.perform(post("/clinic/link-requests/{id}/approve",</w:t>
              <w:br/>
              <w:t xml:space="preserve">        request.getLinkRequestId())</w:t>
              <w:br/>
              <w:t xml:space="preserve">                    .session(clinicSession).with(csrf())</w:t>
              <w:br/>
              <w:t xml:space="preserve">                    .param("identityVerified", "true")</w:t>
              <w:br/>
              <w:t xml:space="preserve">                    .param("clinicPatientPublicId", patient.getPublicPatientId())</w:t>
              <w:br/>
              <w:t xml:space="preserve">                    .param("note", "Verified at the front desk."))</w:t>
              <w:br/>
              <w:t xml:space="preserve">            .andExpect(status().is3xxRedirection())</w:t>
              <w:br/>
              <w:t xml:space="preserve">            .andExpect(flash().attributeExists("approved"));</w:t>
              <w:br/>
              <w:br/>
              <w:t xml:space="preserve">    assertThat(clinicPatientRepository.existsByClinicClinicIdAndPatientPatientId(</w:t>
              <w:br/>
              <w:t xml:space="preserve">            northside.getClinicId(), patient.getPatientId())).isTrue();</w:t>
              <w:br/>
              <w:t xml:space="preserve">    PatientLinkRequest resolved =</w:t>
              <w:br/>
              <w:t xml:space="preserve">        linkRequestRepository.findById(request.getLinkRequestId()).orElseThrow();</w:t>
              <w:br/>
              <w:t xml:space="preserve">    assertThat(resolved.getStatus()).isEqualTo(LinkRequestStatus.APPROVED);</w:t>
              <w:br/>
              <w:t>}</w:t>
              <w:br/>
              <w:br/>
              <w:t>@Test</w:t>
              <w:br/>
              <w:t>void clinicCannotOpenAnotherClinicsRequest() throws Exception {</w:t>
              <w:br/>
              <w:t xml:space="preserve">    Patient patient = createPatient("PAT-TEST-ISO-1", "Iso", "Patient");</w:t>
              <w:br/>
              <w:t xml:space="preserve">    PatientLinkRequest request = createPendingRequest(patient,</w:t>
              <w:br/>
              <w:t xml:space="preserve">        northsideClinic());</w:t>
              <w:br/>
              <w:br/>
              <w:t xml:space="preserve">    MockHttpSession cityCareSession = login("clinicadmin@clinicflow.local",</w:t>
              <w:br/>
              <w:t xml:space="preserve">        "Clinic@12345");</w:t>
              <w:br/>
              <w:t xml:space="preserve">    mockMvc.perform(get("/clinic/link-requests/{id}",</w:t>
              <w:br/>
              <w:t xml:space="preserve">        request.getLinkRequestId()).session(cityCareSession))</w:t>
              <w:br/>
              <w:t xml:space="preserve">            .andExpect(status().isNotFound());</w:t>
              <w:br/>
              <w:t>}</w:t>
            </w:r>
          </w:p>
        </w:tc>
      </w:tr>
    </w:tbl>
    <w:p>
      <w:pPr>
        <w:spacing w:after="100"/>
      </w:pPr>
    </w:p>
    <w:p>
      <w:pPr>
        <w:keepNext/>
        <w:spacing w:before="260" w:after="120"/>
      </w:pPr>
      <w:r>
        <w:rPr>
          <w:rFonts w:ascii="Times New Roman" w:hAnsi="Times New Roman"/>
          <w:b/>
          <w:color w:val="0F2744"/>
          <w:sz w:val="28"/>
        </w:rPr>
        <w:t>Appendix B Complete WebMVC Endpoint &amp; RBAC Matrix and Operational Deployment Guide</w:t>
      </w:r>
    </w:p>
    <w:p>
      <w:pPr>
        <w:spacing w:line="360" w:lineRule="auto" w:after="140"/>
        <w:jc w:val="both"/>
      </w:pPr>
      <w:r>
        <w:rPr>
          <w:rFonts w:ascii="Times New Roman" w:hAnsi="Times New Roman"/>
          <w:sz w:val="24"/>
        </w:rPr>
        <w:t>Table B.1 catalogs the complete HTTP route surface implemented across all 18 Spring WebMVC controllers in com.clinicflow.web, mapping each route pattern and HTTP verb to its governing RBAC authority and clinical responsibility.</w:t>
      </w:r>
    </w:p>
    <w:p>
      <w:pPr>
        <w:keepNext/>
        <w:spacing w:before="160" w:after="80"/>
      </w:pPr>
      <w:r>
        <w:rPr>
          <w:rFonts w:ascii="Times New Roman" w:hAnsi="Times New Roman"/>
          <w:b/>
          <w:color w:val="0F2744"/>
          <w:sz w:val="21"/>
        </w:rPr>
        <w:t>Table B.1: Complete IMS Spring WebMVC Route and Role-Based Authorization Matrix</w:t>
      </w:r>
    </w:p>
    <w:tbl>
      <w:tblPr>
        <w:tblW w:type="auto" w:w="0"/>
        <w:jc w:val="center"/>
        <w:tblLook w:firstColumn="1" w:firstRow="1" w:lastColumn="0" w:lastRow="0" w:noHBand="0" w:noVBand="1" w:val="04A0"/>
      </w:tblPr>
      <w:tblGrid>
        <w:gridCol w:w="2167"/>
        <w:gridCol w:w="2167"/>
        <w:gridCol w:w="2167"/>
        <w:gridCol w:w="2167"/>
      </w:tblGrid>
      <w:tr>
        <w:trPr>
          <w:tblHeader/>
          <w:cantSplit/>
        </w:trPr>
        <w:tc>
          <w:tcPr>
            <w:tcW w:type="dxa" w:w="252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HTTP Method &amp; Path Pattern</w:t>
            </w:r>
          </w:p>
        </w:tc>
        <w:tc>
          <w:tcPr>
            <w:tcW w:type="dxa" w:w="180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Controller Class</w:t>
            </w:r>
          </w:p>
        </w:tc>
        <w:tc>
          <w:tcPr>
            <w:tcW w:type="dxa" w:w="1411"/>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Required Role</w:t>
            </w:r>
          </w:p>
        </w:tc>
        <w:tc>
          <w:tcPr>
            <w:tcW w:type="dxa" w:w="2938"/>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Operational Purpose</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/setup</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SetupController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PermitAll (0 users)</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First-run bootstrap of initial SUPER_ADMIN account</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/login, /logout</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AuthController / Security</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PermitAll</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BCrypt form login (throttled), logout &amp; session wipe</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/register, /verify-email</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RegistrationController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PermitAll</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 self-registration &amp; 24h SHA-256 email verification</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/forgot-password, /reset-password</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PasswordResetController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PermitAll</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Enumeration-safe reset request &amp; 60m single-use password reset</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/invite</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InviteController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PermitAll (72h token)</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Accept Clinic Admin, Doctor, or Pharmacy staff invitation</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/verify-email-change</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EmailChangeVerificationCtrl</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PermitAll (24h token)</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Confirm pending login email change on User account</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/admin/dashboard</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Platform KPI summary &amp; recent security/clinical activity</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/admin/clinics, /{id}/status</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AdminController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Enroll clinics, activate/suspend tenants &amp; resend admin invites</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/admin/pharmacies, /{id}/status</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AdminController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Enroll pharmacies, verify licences, toggle status &amp; invites</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/admin/patients, /admin/reports</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AdminController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Global patient directory &amp; cross-tenant platform analytics</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/admin/smtp, /admin/smtp/test</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AdminController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SUPER_ADMIN</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Save AES-256-GCM encrypted SMTP relay &amp; send live test mail</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/clinic/dashboard</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 daily arrivals, pending link requests &amp; Rx KPIs</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/clinic/patients, /link</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ClinicPatientController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Create/edit walk-in Patient Masters &amp; link existing patients</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/clinic/link-requests/{id}/approve|reject</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ClinicLinkRequestCtrl</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Verify photo ID &amp; DOB; approve link or merge patient records</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/clinic/doctors, /{id}/schedules</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ClinicDoctorController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Onboard doctors, set consultation fees &amp; weekday slot schedules</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/clinic/appointments, /{id}/action</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ClinicAppointmentCtrl</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Front-desk queue check-in, confirmation, cancel &amp; no-show</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/clinic/inventory, /import, /export</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ClinicInventoryController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Manage standardized drug formulary &amp; bulk CSV import/export</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/clinic/prescriptions, /{id}/cancel</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ClinicPrescriptionCtrl</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CLINIC_ADMIN</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Inspect clinic-issued prescriptions, email patient, or revoke</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/doctor/dashboard</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Practitioner's daily patient queue &amp; consultation metrics</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/doctor/appointments/{id}/start|draft|finalise</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DoctorConsultationCtrl</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Start encounter, save DRAFT notes, and irreversibly FINALISE</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POST /doctor/appointments/{id}/addenda</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DoctorConsultationCtrl</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Append signed timestamped addendum to finalised consultation</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/doctor/appointments/{id}/prescription</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DoctorConsultationCtrl</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Issue 32-char case-sensitive prescription from consultation</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/doctor/prescriptions, /{id}/cancel</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DoctorPrescriptionCtrl</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DOCTOR</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Review authored prescriptions, email code, or cancel Rx</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/patient/dashboard</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Upcoming bookings, active prescriptions &amp; linked clinics</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/patient/profile, /profile/email</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PatientProfileController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Edit personal/medical profile &amp; trigger verified email change</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POST /patient/profile/link-requests</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PatientLinkController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Submit account link request to an enrolled active clinic</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/patient/clinics, /patient/clinics/{uuid}</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PatientBookingController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Search active clinics by city/keyword &amp; inspect doctors/hours</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/patient/book, /appointments/{id}/reschedule</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PatientBookingController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Book conflict-free doctor slot, reschedule, or cancel visit</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/patient/prescriptions, /patient/history</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PatientHistoryController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PATIENT</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View 32-char Rx codes, dispense status &amp; longitudinal chart</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 /pharmacy/dashboard</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DashboardController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Live counter dispenses, today's POS revenue &amp; recent sales</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/pharmacy/pos, /pharmacy/dispense</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Analyze 32-char Rx, auto-price cart, compute tax &amp; dispense</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/pharmacy/verify, /dispenses/{id}</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Standalone verification check &amp; printable POS sale receipt</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/pharmacy/prices, /{id}/delete</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Manage remembered per-pharmacy medicine unit price catalog</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/pharmacy/finance</w:t>
            </w:r>
          </w:p>
        </w:tc>
        <w:tc>
          <w:tcPr>
            <w:tcW w:type="dxa" w:w="180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PharmacyFinanceController</w:t>
            </w:r>
          </w:p>
        </w:tc>
        <w:tc>
          <w:tcPr>
            <w:tcW w:type="dxa" w:w="1411"/>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w:t>
            </w:r>
          </w:p>
        </w:tc>
        <w:tc>
          <w:tcPr>
            <w:tcW w:type="dxa" w:w="293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Inspect auto-posted POS income, record expenses &amp; net cashflow</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GET/POST /pharmacy/users/invite, /reports</w:t>
            </w:r>
          </w:p>
        </w:tc>
        <w:tc>
          <w:tcPr>
            <w:tcW w:type="dxa" w:w="180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PharmacyController</w:t>
            </w:r>
          </w:p>
        </w:tc>
        <w:tc>
          <w:tcPr>
            <w:tcW w:type="dxa" w:w="1411"/>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PHARMACY_ADMIN</w:t>
            </w:r>
          </w:p>
        </w:tc>
        <w:tc>
          <w:tcPr>
            <w:tcW w:type="dxa" w:w="293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Invite pharmacists, toggle staff access &amp; view dispense reports</w:t>
            </w:r>
          </w:p>
        </w:tc>
      </w:tr>
    </w:tbl>
    <w:p>
      <w:pPr>
        <w:spacing w:after="80"/>
      </w:pPr>
    </w:p>
    <w:p>
      <w:pPr>
        <w:keepNext/>
        <w:spacing w:before="160" w:after="80"/>
      </w:pPr>
      <w:r>
        <w:rPr>
          <w:rFonts w:ascii="Times New Roman" w:hAnsi="Times New Roman"/>
          <w:b/>
          <w:color w:val="0F2744"/>
          <w:sz w:val="21"/>
        </w:rPr>
        <w:t>Table B.2: Externalized Environment Configuration Variables (application.yml)</w:t>
      </w:r>
    </w:p>
    <w:tbl>
      <w:tblPr>
        <w:tblW w:type="auto" w:w="0"/>
        <w:jc w:val="center"/>
        <w:tblLook w:firstColumn="1" w:firstRow="1" w:lastColumn="0" w:lastRow="0" w:noHBand="0" w:noVBand="1" w:val="04A0"/>
      </w:tblPr>
      <w:tblGrid>
        <w:gridCol w:w="2890"/>
        <w:gridCol w:w="2890"/>
        <w:gridCol w:w="2890"/>
      </w:tblGrid>
      <w:tr>
        <w:trPr>
          <w:tblHeader/>
          <w:cantSplit/>
        </w:trPr>
        <w:tc>
          <w:tcPr>
            <w:tcW w:type="dxa" w:w="2520"/>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Environment Variable</w:t>
            </w:r>
          </w:p>
        </w:tc>
        <w:tc>
          <w:tcPr>
            <w:tcW w:type="dxa" w:w="2664"/>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Default Fallback Value</w:t>
            </w:r>
          </w:p>
        </w:tc>
        <w:tc>
          <w:tcPr>
            <w:tcW w:type="dxa" w:w="3485"/>
            <w:shd w:fill="0F2744"/>
            <w:tcMar>
              <w:top w:w="100" w:type="dxa"/>
              <w:bottom w:w="100" w:type="dxa"/>
              <w:left w:w="120" w:type="dxa"/>
              <w:right w:w="120" w:type="dxa"/>
            </w:tcMar>
            <w:tcBorders>
              <w:top w:val="single" w:sz="6" w:space="0" w:color="0F2744"/>
              <w:bottom w:val="single" w:sz="6" w:space="0" w:color="0F2744"/>
              <w:left w:val="single" w:sz="6" w:space="0" w:color="0F2744"/>
              <w:right w:val="single" w:sz="6" w:space="0" w:color="0F2744"/>
            </w:tcBorders>
          </w:tcPr>
          <w:p>
            <w:pPr>
              <w:spacing w:after="0"/>
            </w:pPr>
            <w:r/>
            <w:r>
              <w:rPr>
                <w:rFonts w:ascii="Times New Roman" w:hAnsi="Times New Roman"/>
                <w:b/>
                <w:color w:val="FFFFFF"/>
                <w:sz w:val="20"/>
              </w:rPr>
              <w:t>Operational Description</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DB_URL</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jdbc:sqlserver://localhost\SQLEXPRESS;databaseName=ClinicFlow_Dev...</w:t>
            </w:r>
          </w:p>
        </w:tc>
        <w:tc>
          <w:tcPr>
            <w:tcW w:type="dxa" w:w="348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JDBC connection string for Microsoft SQL Server 2022</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DB_USERNAME / DB_PASSWORD</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SA / (local dev secret)</w:t>
            </w:r>
          </w:p>
        </w:tc>
        <w:tc>
          <w:tcPr>
            <w:tcW w:type="dxa" w:w="348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Database authentication credentials managed by HikariCP</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PORT / APP_BASE_URL</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8080 / http://localhost:8080</w:t>
            </w:r>
          </w:p>
        </w:tc>
        <w:tc>
          <w:tcPr>
            <w:tcW w:type="dxa" w:w="348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Embedded Tomcat HTTP port and canonical link base URL</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REMEMBER_ME_KEY</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clinicflow-dev-remember-me-key...</w:t>
            </w:r>
          </w:p>
        </w:tc>
        <w:tc>
          <w:tcPr>
            <w:tcW w:type="dxa" w:w="348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Secret key signing 7-day Remember-Me tokens &amp; fallback cipher</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VERIFY_EMAIL_TTL_HOURS</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24</w:t>
            </w:r>
          </w:p>
        </w:tc>
        <w:tc>
          <w:tcPr>
            <w:tcW w:type="dxa" w:w="348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Validity window (hours) for patient email verification links</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RESET_PASSWORD_TTL_MINUTES</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60</w:t>
            </w:r>
          </w:p>
        </w:tc>
        <w:tc>
          <w:tcPr>
            <w:tcW w:type="dxa" w:w="348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Validity window (minutes) for single-use password reset links</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STAFF_INVITE_TTL_HOURS</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72</w:t>
            </w:r>
          </w:p>
        </w:tc>
        <w:tc>
          <w:tcPr>
            <w:tcW w:type="dxa" w:w="348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Validity window (hours) for clinic/doctor/pharmacy staff invites</w:t>
            </w:r>
          </w:p>
        </w:tc>
      </w:tr>
      <w:tr>
        <w:trPr>
          <w:cantSplit/>
        </w:trPr>
        <w:tc>
          <w:tcPr>
            <w:tcW w:type="dxa" w:w="252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MAIL_MODE</w:t>
            </w:r>
          </w:p>
        </w:tc>
        <w:tc>
          <w:tcPr>
            <w:tcW w:type="dxa" w:w="266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log (or smtp in production)</w:t>
            </w:r>
          </w:p>
        </w:tc>
        <w:tc>
          <w:tcPr>
            <w:tcW w:type="dxa" w:w="3485"/>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Selects console developer logging vs live SMTP delivery</w:t>
            </w:r>
          </w:p>
        </w:tc>
      </w:tr>
      <w:tr>
        <w:trPr>
          <w:cantSplit/>
        </w:trPr>
        <w:tc>
          <w:tcPr>
            <w:tcW w:type="dxa" w:w="252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MAIL_MAX_ATTEMPTS / WORKER_DELAY_MS</w:t>
            </w:r>
          </w:p>
        </w:tc>
        <w:tc>
          <w:tcPr>
            <w:tcW w:type="dxa" w:w="266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3 / 5000</w:t>
            </w:r>
          </w:p>
        </w:tc>
        <w:tc>
          <w:tcPr>
            <w:tcW w:type="dxa" w:w="3485"/>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line="276" w:lineRule="auto"/>
            </w:pPr>
            <w:r/>
            <w:r>
              <w:rPr>
                <w:rFonts w:ascii="Times New Roman" w:hAnsi="Times New Roman"/>
                <w:sz w:val="19"/>
              </w:rPr>
              <w:t>Outbox retry cap (1m/5m/15m backoff) and polling interval</w:t>
            </w:r>
          </w:p>
        </w:tc>
      </w:tr>
    </w:tbl>
    <w:p>
      <w:pPr>
        <w:spacing w:after="80"/>
      </w:pPr>
    </w:p>
    <w:p>
      <w:pPr>
        <w:spacing w:line="360" w:lineRule="auto" w:after="140"/>
        <w:jc w:val="both"/>
      </w:pPr>
      <w:r>
        <w:rPr>
          <w:rFonts w:ascii="Times New Roman" w:hAnsi="Times New Roman"/>
          <w:sz w:val="24"/>
        </w:rPr>
        <w:t>The following operational runbook outlines exact SQL Server provisioning, Maven compilation, automated verification, and first-run Super Admin initialization steps for deploying Infeara Medical System.</w:t>
      </w:r>
    </w:p>
    <w:p>
      <w:pPr>
        <w:keepNext/>
        <w:spacing w:before="160" w:after="60"/>
      </w:pPr>
      <w:r>
        <w:rPr>
          <w:rFonts w:ascii="Times New Roman" w:hAnsi="Times New Roman"/>
          <w:b/>
          <w:color w:val="1E3A8A"/>
          <w:sz w:val="21"/>
        </w:rPr>
        <w:t>Appendix Listing B.1 — Production SQL Server Provisioning, Build &amp; Test Runbook</w:t>
      </w:r>
    </w:p>
    <w:tbl>
      <w:tblPr>
        <w:tblW w:type="auto" w:w="0"/>
        <w:jc w:val="center"/>
        <w:tblLook w:firstColumn="1" w:firstRow="1" w:lastColumn="0" w:lastRow="0" w:noHBand="0" w:noVBand="1" w:val="04A0"/>
      </w:tblPr>
      <w:tblGrid>
        <w:gridCol w:w="8669"/>
      </w:tblGrid>
      <w:tr>
        <w:tc>
          <w:tcPr>
            <w:tcW w:type="dxa" w:w="8669"/>
            <w:shd w:fill="F8FAFC"/>
            <w:tcMar>
              <w:top w:w="110" w:type="dxa"/>
              <w:bottom w:w="11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line="259" w:lineRule="auto" w:after="0"/>
            </w:pPr>
            <w:r>
              <w:rPr>
                <w:rFonts w:ascii="Consolas" w:hAnsi="Consolas"/>
                <w:color w:val="0F172A"/>
                <w:sz w:val="17"/>
              </w:rPr>
              <w:t>-- Step 1: Provision empty SQL Server 2022 database (Flyway runs V001..V009</w:t>
              <w:br/>
              <w:t xml:space="preserve">    automatically on boot)</w:t>
              <w:br/>
              <w:t>CREATE DATABASE ClinicFlow_Dev;</w:t>
              <w:br/>
              <w:t>GO</w:t>
              <w:br/>
              <w:br/>
              <w:t># Step 2: Run full offline JUnit 5 + MockMvc test suite (H2 MSSQLServer</w:t>
              <w:br/>
              <w:t xml:space="preserve">    compatibility mode)</w:t>
              <w:br/>
              <w:t>cd clinicflow-app</w:t>
              <w:br/>
              <w:t>mvn -B test</w:t>
              <w:br/>
              <w:br/>
              <w:t># Step 3: Package executable Spring Boot fat JAR &amp; launch against SQL Server</w:t>
              <w:br/>
              <w:t>export DB_URL="jdbc:sqlserver://localhost\SQLEXPRESS;databaseName=ClinicFlow_Dev;</w:t>
              <w:br/>
              <w:t xml:space="preserve">    encrypt=true;trustServerCertificate=true"</w:t>
              <w:br/>
              <w:t>export DB_USERNAME="SA"</w:t>
              <w:br/>
              <w:t>export DB_PASSWORD="&lt;StrongSqlServerPassword&gt;"</w:t>
              <w:br/>
              <w:t>export REMEMBER_ME_KEY="&lt;32ByteRandomProductionSecret&gt;"</w:t>
              <w:br/>
              <w:t>export MAIL_MODE="smtp"</w:t>
              <w:br/>
              <w:t>mvn -B clean package -DskipTests</w:t>
              <w:br/>
              <w:t>java -jar target/clinicflow-app-0.1.0-SNAPSHOT.jar</w:t>
              <w:br/>
              <w:br/>
              <w:t># Step 4: First-run bootstrap &amp; multi-role operational onboarding</w:t>
              <w:br/>
              <w:t># 1) Browse to http://localhost:8080/setup -&gt; Create initial SUPER_ADMIN account</w:t>
              <w:br/>
              <w:t># 2) Sign in at /login -&gt; Configure AES-256-GCM SMTP settings at /admin/smtp</w:t>
              <w:br/>
              <w:t># 3) Enroll clinics at /admin/clinics and pharmacies at /admin/pharmacies (issues</w:t>
              <w:br/>
              <w:t xml:space="preserve">    72h invites)</w:t>
              <w:br/>
              <w:t># 4) Clinic Admin accepts /invite -&gt; Uploads drug CSV at /clinic/inventory -&gt;</w:t>
              <w:br/>
              <w:t xml:space="preserve">    Invites Doctors</w:t>
              <w:br/>
              <w:t># 5) Patients self-register at /register -&gt; Verify email -&gt; Book slots &amp; link</w:t>
              <w:br/>
              <w:t xml:space="preserve">    clinic charts</w:t>
              <w:br/>
              <w:t># 6) Doctors finalise consultations &amp; issue 32-char Rx -&gt; Pharmacists bill at</w:t>
              <w:br/>
              <w:t xml:space="preserve">    /pharmacy/pos</w:t>
            </w:r>
          </w:p>
        </w:tc>
      </w:tr>
    </w:tbl>
    <w:p>
      <w:pPr>
        <w:spacing w:after="100"/>
      </w:pPr>
    </w:p>
    <w:sectPr w:rsidR="00FC693F" w:rsidRPr="0006063C" w:rsidSect="00034616">
      <w:headerReference w:type="default" r:id="rId12"/>
      <w:footerReference w:type="default" r:id="rId13"/>
      <w:pgSz w:w="11909" w:h="16834"/>
      <w:pgMar w:top="1440" w:right="1440" w:bottom="1440" w:left="1800" w:header="720" w:footer="720" w:gutter="0"/>
      <w:cols w:space="720"/>
      <w:docGrid w:linePitch="360"/>
      <w:pgBorders w:offsetFrom="page">
        <w:top w:val="double" w:sz="12" w:space="24" w:color="0F2744"/>
        <w:left w:val="double" w:sz="12" w:space="24" w:color="0F2744"/>
        <w:bottom w:val="double" w:sz="12" w:space="24" w:color="0F2744"/>
        <w:right w:val="double" w:sz="12" w:space="24" w:color="0F2744"/>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1"/>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1"/>
      </w:rPr>
      <w:t xml:space="preserve">Page </w:t>
    </w:r>
    <w:r>
      <w:rPr>
        <w:rFonts w:ascii="Times New Roman" w:hAnsi="Times New Roman"/>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475569"/>
        <w:sz w:val="19"/>
      </w:rPr>
      <w:t>INFEARA MEDICAL SYSTEM (IMS)  |  BCA Project Report (SRMIST)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