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i w:val="0"/>
          <w:iCs w:val="0"/>
          <w:color w:val="1a456a"/>
          <w:sz w:val="56"/>
          <w:szCs w:val="56"/>
          <w:rtl w:val="0"/>
        </w:rPr>
        <w:t xml:space="preserve">ZOIKOVERTEX</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i w:val="0"/>
          <w:iCs w:val="0"/>
          <w:color w:val="2c2c2c"/>
          <w:sz w:val="34"/>
          <w:szCs w:val="34"/>
          <w:rtl w:val="0"/>
        </w:rPr>
        <w:t xml:space="preserve">Backend Architecture Document Framework</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0"/>
          <w:bCs w:val="0"/>
          <w:i w:val="1"/>
          <w:iCs w:val="1"/>
          <w:color w:val="5a5a5a"/>
          <w:sz w:val="23"/>
          <w:szCs w:val="23"/>
          <w:rtl w:val="0"/>
        </w:rPr>
        <w:t xml:space="preserve">CTO / Global Product Development View</w:t>
      </w: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shd w:fill="eef4f9" w:val="clear"/>
            <w:tcMar>
              <w:top w:w="110.0" w:type="dxa"/>
              <w:bottom w:w="110.0" w:type="dxa"/>
            </w:tcMar>
          </w:tcPr>
          <w:p w:rsidR="00000000" w:rsidDel="00000000" w:rsidP="00000000" w:rsidRDefault="00000000" w:rsidRPr="00000000" w14:paraId="00000004">
            <w:pPr>
              <w:rPr/>
            </w:pPr>
            <w:r w:rsidDel="00000000" w:rsidR="00000000" w:rsidRPr="00000000">
              <w:rPr>
                <w:b w:val="1"/>
                <w:bCs w:val="1"/>
                <w:color w:val="1a456a"/>
                <w:sz w:val="21"/>
                <w:szCs w:val="21"/>
                <w:rtl w:val="0"/>
              </w:rPr>
              <w:t xml:space="preserve">Document purpose:  </w:t>
            </w:r>
            <w:r w:rsidDel="00000000" w:rsidR="00000000" w:rsidRPr="00000000">
              <w:rPr>
                <w:color w:val="2c2c2c"/>
                <w:sz w:val="20"/>
                <w:szCs w:val="20"/>
                <w:rtl w:val="0"/>
              </w:rPr>
              <w:t xml:space="preserve">This document reconciles the current ZoikoVertex technical architecture, detailed product positioning, and the engineering sequencing required to turn the platform into a governed autonomous digital marketing operating system. It defines the backend documentation set required to build the product properly, identifies what already exists, and lists the outstanding documents in the order they should be prepared.</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8f3" w:val="clear"/>
            <w:tcMar>
              <w:top w:w="90.0" w:type="dxa"/>
              <w:bottom w:w="90.0" w:type="dxa"/>
            </w:tcMar>
            <w:vAlign w:val="center"/>
          </w:tcPr>
          <w:p w:rsidR="00000000" w:rsidDel="00000000" w:rsidP="00000000" w:rsidRDefault="00000000" w:rsidRPr="00000000" w14:paraId="00000006">
            <w:pPr>
              <w:rPr/>
            </w:pPr>
            <w:r w:rsidDel="00000000" w:rsidR="00000000" w:rsidRPr="00000000">
              <w:rPr>
                <w:b w:val="1"/>
                <w:bCs w:val="1"/>
                <w:color w:val="1a456a"/>
                <w:sz w:val="20"/>
                <w:szCs w:val="20"/>
                <w:rtl w:val="0"/>
              </w:rPr>
              <w:t xml:space="preserve">Item</w:t>
            </w:r>
            <w:r w:rsidDel="00000000" w:rsidR="00000000" w:rsidRPr="00000000">
              <w:rPr>
                <w:rtl w:val="0"/>
              </w:rPr>
            </w:r>
          </w:p>
        </w:tc>
        <w:tc>
          <w:tcPr>
            <w:shd w:fill="dce8f3" w:val="clear"/>
            <w:tcMar>
              <w:top w:w="90.0" w:type="dxa"/>
              <w:bottom w:w="90.0" w:type="dxa"/>
            </w:tcMar>
            <w:vAlign w:val="center"/>
          </w:tcPr>
          <w:p w:rsidR="00000000" w:rsidDel="00000000" w:rsidP="00000000" w:rsidRDefault="00000000" w:rsidRPr="00000000" w14:paraId="00000007">
            <w:pPr>
              <w:rPr/>
            </w:pPr>
            <w:r w:rsidDel="00000000" w:rsidR="00000000" w:rsidRPr="00000000">
              <w:rPr>
                <w:b w:val="1"/>
                <w:bCs w:val="1"/>
                <w:color w:val="1a456a"/>
                <w:sz w:val="20"/>
                <w:szCs w:val="20"/>
                <w:rtl w:val="0"/>
              </w:rPr>
              <w:t xml:space="preserve">Detail</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08">
            <w:pPr>
              <w:rPr/>
            </w:pPr>
            <w:r w:rsidDel="00000000" w:rsidR="00000000" w:rsidRPr="00000000">
              <w:rPr>
                <w:color w:val="2c2c2c"/>
                <w:sz w:val="20"/>
                <w:szCs w:val="20"/>
                <w:rtl w:val="0"/>
              </w:rPr>
              <w:t xml:space="preserve">Existing source documents</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09">
            <w:pPr>
              <w:rPr/>
            </w:pPr>
            <w:r w:rsidDel="00000000" w:rsidR="00000000" w:rsidRPr="00000000">
              <w:rPr>
                <w:color w:val="2c2c2c"/>
                <w:sz w:val="20"/>
                <w:szCs w:val="20"/>
                <w:rtl w:val="0"/>
              </w:rPr>
              <w:t xml:space="preserve">1) Technical Architecture Master Blueprint  2) Detailed Product Page</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0A">
            <w:pPr>
              <w:rPr/>
            </w:pPr>
            <w:r w:rsidDel="00000000" w:rsidR="00000000" w:rsidRPr="00000000">
              <w:rPr>
                <w:color w:val="2c2c2c"/>
                <w:sz w:val="20"/>
                <w:szCs w:val="20"/>
                <w:rtl w:val="0"/>
              </w:rPr>
              <w:t xml:space="preserve">Audience</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0B">
            <w:pPr>
              <w:rPr/>
            </w:pPr>
            <w:r w:rsidDel="00000000" w:rsidR="00000000" w:rsidRPr="00000000">
              <w:rPr>
                <w:color w:val="2c2c2c"/>
                <w:sz w:val="20"/>
                <w:szCs w:val="20"/>
                <w:rtl w:val="0"/>
              </w:rPr>
              <w:t xml:space="preserve">Founder, CTO, engineering leadership, platform architects, product leadership</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0C">
            <w:pPr>
              <w:rPr/>
            </w:pPr>
            <w:r w:rsidDel="00000000" w:rsidR="00000000" w:rsidRPr="00000000">
              <w:rPr>
                <w:color w:val="2c2c2c"/>
                <w:sz w:val="20"/>
                <w:szCs w:val="20"/>
                <w:rtl w:val="0"/>
              </w:rPr>
              <w:t xml:space="preserve">Scope</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0D">
            <w:pPr>
              <w:rPr/>
            </w:pPr>
            <w:r w:rsidDel="00000000" w:rsidR="00000000" w:rsidRPr="00000000">
              <w:rPr>
                <w:color w:val="2c2c2c"/>
                <w:sz w:val="20"/>
                <w:szCs w:val="20"/>
                <w:rtl w:val="0"/>
              </w:rPr>
              <w:t xml:space="preserve">Backend architecture documentation only</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0E">
            <w:pPr>
              <w:rPr/>
            </w:pPr>
            <w:r w:rsidDel="00000000" w:rsidR="00000000" w:rsidRPr="00000000">
              <w:rPr>
                <w:color w:val="2c2c2c"/>
                <w:sz w:val="20"/>
                <w:szCs w:val="20"/>
                <w:rtl w:val="0"/>
              </w:rPr>
              <w:t xml:space="preserve">Output</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0F">
            <w:pPr>
              <w:rPr/>
            </w:pPr>
            <w:r w:rsidDel="00000000" w:rsidR="00000000" w:rsidRPr="00000000">
              <w:rPr>
                <w:color w:val="2c2c2c"/>
                <w:sz w:val="20"/>
                <w:szCs w:val="20"/>
                <w:rtl w:val="0"/>
              </w:rPr>
              <w:t xml:space="preserve">Phased documentation roadmap and required architecture artifacts</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00" w:before="200" w:lineRule="auto"/>
        <w:rPr/>
      </w:pPr>
      <w:r w:rsidDel="00000000" w:rsidR="00000000" w:rsidRPr="00000000">
        <w:rPr>
          <w:b w:val="1"/>
          <w:bCs w:val="1"/>
          <w:color w:val="1a456a"/>
          <w:sz w:val="33"/>
          <w:szCs w:val="33"/>
          <w:rtl w:val="0"/>
        </w:rPr>
        <w:t xml:space="preserve">1. Executive CTO Position</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b w:val="0"/>
          <w:bCs w:val="0"/>
          <w:i w:val="0"/>
          <w:iCs w:val="0"/>
          <w:color w:val="2c2c2c"/>
          <w:sz w:val="21"/>
          <w:szCs w:val="21"/>
          <w:rtl w:val="0"/>
        </w:rPr>
        <w:t xml:space="preserve">ZoikoVertex should be treated as a governed, decision-driven execution system in which marketing becomes a controlled financial function. The product is not merely a scheduler, not merely a CRM intelligence layer, and not merely an AI wrapper around campaign tools. It is a platform that must coordinate execution, decisioning, governance, revenue attribution, and enterprise control in one coherent backend architecture.</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b w:val="0"/>
          <w:bCs w:val="0"/>
          <w:i w:val="0"/>
          <w:iCs w:val="0"/>
          <w:color w:val="2c2c2c"/>
          <w:sz w:val="21"/>
          <w:szCs w:val="21"/>
          <w:rtl w:val="0"/>
        </w:rPr>
        <w:t xml:space="preserve">The two existing documents give you a strong foundation, but they do not yet provide the full backend engineering pack required for implementation without interpretation risk.</w:t>
      </w: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shd w:fill="eef4f9" w:val="clear"/>
            <w:tcMar>
              <w:top w:w="110.0" w:type="dxa"/>
              <w:bottom w:w="110.0" w:type="dxa"/>
            </w:tcMar>
          </w:tcPr>
          <w:p w:rsidR="00000000" w:rsidDel="00000000" w:rsidP="00000000" w:rsidRDefault="00000000" w:rsidRPr="00000000" w14:paraId="00000014">
            <w:pPr>
              <w:rPr/>
            </w:pPr>
            <w:r w:rsidDel="00000000" w:rsidR="00000000" w:rsidRPr="00000000">
              <w:rPr>
                <w:b w:val="1"/>
                <w:bCs w:val="1"/>
                <w:color w:val="1a456a"/>
                <w:sz w:val="21"/>
                <w:szCs w:val="21"/>
                <w:rtl w:val="0"/>
              </w:rPr>
              <w:t xml:space="preserve">CTO conclusion:  </w:t>
            </w:r>
            <w:r w:rsidDel="00000000" w:rsidR="00000000" w:rsidRPr="00000000">
              <w:rPr>
                <w:color w:val="2c2c2c"/>
                <w:sz w:val="20"/>
                <w:szCs w:val="20"/>
                <w:rtl w:val="0"/>
              </w:rPr>
              <w:t xml:space="preserve">You are not under-documented strategically. You are under-documented for engineering execution.</w:t>
            </w:r>
            <w:r w:rsidDel="00000000" w:rsidR="00000000" w:rsidRPr="00000000">
              <w:rPr>
                <w:rtl w:val="0"/>
              </w:rPr>
            </w:r>
          </w:p>
        </w:tc>
      </w:tr>
    </w:tbl>
    <w:p w:rsidR="00000000" w:rsidDel="00000000" w:rsidP="00000000" w:rsidRDefault="00000000" w:rsidRPr="00000000" w14:paraId="00000015">
      <w:pPr>
        <w:spacing w:after="100" w:before="200" w:lineRule="auto"/>
        <w:rPr/>
      </w:pPr>
      <w:r w:rsidDel="00000000" w:rsidR="00000000" w:rsidRPr="00000000">
        <w:rPr>
          <w:b w:val="1"/>
          <w:bCs w:val="1"/>
          <w:color w:val="1a456a"/>
          <w:sz w:val="33"/>
          <w:szCs w:val="33"/>
          <w:rtl w:val="0"/>
        </w:rPr>
        <w:t xml:space="preserve">2. What the Existing Documents Already Give You</w:t>
      </w:r>
      <w:r w:rsidDel="00000000" w:rsidR="00000000" w:rsidRPr="00000000">
        <w:rPr>
          <w:rtl w:val="0"/>
        </w:rPr>
      </w:r>
    </w:p>
    <w:p w:rsidR="00000000" w:rsidDel="00000000" w:rsidP="00000000" w:rsidRDefault="00000000" w:rsidRPr="00000000" w14:paraId="00000016">
      <w:pPr>
        <w:spacing w:after="80" w:before="120" w:lineRule="auto"/>
        <w:rPr/>
      </w:pPr>
      <w:r w:rsidDel="00000000" w:rsidR="00000000" w:rsidRPr="00000000">
        <w:rPr>
          <w:b w:val="1"/>
          <w:bCs w:val="1"/>
          <w:color w:val="1a456a"/>
          <w:sz w:val="25"/>
          <w:szCs w:val="25"/>
          <w:rtl w:val="0"/>
        </w:rPr>
        <w:t xml:space="preserve">2.1 Technical Architecture Master Blueprint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Three-plane architecture model: control plane, data plane, intelligence plane.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Foundational principles and runtime strategy.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Bounded context list and high-level dependency rules.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Canonical entities, event philosophy, queue categories, and governance hierarchy.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Agent model, decision classes, financial attribution direction, simulation direction, integration tiers, security posture, observability, and phased implementation.</w:t>
      </w:r>
      <w:r w:rsidDel="00000000" w:rsidR="00000000" w:rsidRPr="00000000">
        <w:rPr>
          <w:rtl w:val="0"/>
        </w:rPr>
      </w:r>
    </w:p>
    <w:p w:rsidR="00000000" w:rsidDel="00000000" w:rsidP="00000000" w:rsidRDefault="00000000" w:rsidRPr="00000000" w14:paraId="0000001C">
      <w:pPr>
        <w:spacing w:after="80" w:before="120" w:lineRule="auto"/>
        <w:rPr/>
      </w:pPr>
      <w:r w:rsidDel="00000000" w:rsidR="00000000" w:rsidRPr="00000000">
        <w:rPr>
          <w:b w:val="1"/>
          <w:bCs w:val="1"/>
          <w:color w:val="1a456a"/>
          <w:sz w:val="25"/>
          <w:szCs w:val="25"/>
          <w:rtl w:val="0"/>
        </w:rPr>
        <w:t xml:space="preserve">2.2 Detailed Product Page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Defines the commercial promise, buyer expectations, and operating claims of the platform.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Clarifies the role of governed autonomy, ROI accountability, executive dashboards, platform intelligence, business context integration, compliance, and safe deployment.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Provides strong product truth for what the backend must actually support.</w:t>
      </w: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shd w:fill="eef4f9" w:val="clear"/>
            <w:tcMar>
              <w:top w:w="110.0" w:type="dxa"/>
              <w:bottom w:w="110.0" w:type="dxa"/>
            </w:tcMar>
          </w:tcPr>
          <w:p w:rsidR="00000000" w:rsidDel="00000000" w:rsidP="00000000" w:rsidRDefault="00000000" w:rsidRPr="00000000" w14:paraId="00000020">
            <w:pPr>
              <w:rPr/>
            </w:pPr>
            <w:r w:rsidDel="00000000" w:rsidR="00000000" w:rsidRPr="00000000">
              <w:rPr>
                <w:b w:val="1"/>
                <w:bCs w:val="1"/>
                <w:color w:val="1a456a"/>
                <w:sz w:val="21"/>
                <w:szCs w:val="21"/>
                <w:rtl w:val="0"/>
              </w:rPr>
              <w:t xml:space="preserve">Assessment:  </w:t>
            </w:r>
            <w:r w:rsidDel="00000000" w:rsidR="00000000" w:rsidRPr="00000000">
              <w:rPr>
                <w:color w:val="2c2c2c"/>
                <w:sz w:val="20"/>
                <w:szCs w:val="20"/>
                <w:rtl w:val="0"/>
              </w:rPr>
              <w:t xml:space="preserve">The Master Blueprint is the source-of-truth architecture narrative. The Product Page is the source-of-truth operating promise. Neither is a substitute for the detailed backend engineering documentation set.</w:t>
            </w:r>
            <w:r w:rsidDel="00000000" w:rsidR="00000000" w:rsidRPr="00000000">
              <w:rPr>
                <w:rtl w:val="0"/>
              </w:rPr>
            </w:r>
          </w:p>
        </w:tc>
      </w:tr>
    </w:tbl>
    <w:p w:rsidR="00000000" w:rsidDel="00000000" w:rsidP="00000000" w:rsidRDefault="00000000" w:rsidRPr="00000000" w14:paraId="00000021">
      <w:pPr>
        <w:spacing w:after="100" w:before="200" w:lineRule="auto"/>
        <w:rPr/>
      </w:pPr>
      <w:r w:rsidDel="00000000" w:rsidR="00000000" w:rsidRPr="00000000">
        <w:rPr>
          <w:b w:val="1"/>
          <w:bCs w:val="1"/>
          <w:color w:val="1a456a"/>
          <w:sz w:val="33"/>
          <w:szCs w:val="33"/>
          <w:rtl w:val="0"/>
        </w:rPr>
        <w:t xml:space="preserve">3. What Is Still Missing</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b w:val="0"/>
          <w:bCs w:val="0"/>
          <w:i w:val="0"/>
          <w:iCs w:val="0"/>
          <w:color w:val="2c2c2c"/>
          <w:sz w:val="21"/>
          <w:szCs w:val="21"/>
          <w:rtl w:val="0"/>
        </w:rPr>
        <w:t xml:space="preserve">To build ZoikoVertex properly, the backend team still needs a structured set of implementation documents that translate the existing architecture and product promise into real engineering artifacts.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Precise domain ownership and decomposition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Implementation-grade data and database architecture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Formal event contracts and queue topology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API boundaries and endpoint groups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Agent contracts and orchestration rules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Decisioning and governance logic</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Execution service definitions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Integration details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Financial attribution design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Security, reliability, deployment, and commercial architecture</w:t>
      </w:r>
      <w:r w:rsidDel="00000000" w:rsidR="00000000" w:rsidRPr="00000000">
        <w:rPr>
          <w:rtl w:val="0"/>
        </w:rPr>
      </w:r>
    </w:p>
    <w:p w:rsidR="00000000" w:rsidDel="00000000" w:rsidP="00000000" w:rsidRDefault="00000000" w:rsidRPr="00000000" w14:paraId="0000002D">
      <w:pPr>
        <w:spacing w:after="100" w:before="200" w:lineRule="auto"/>
        <w:rPr/>
      </w:pPr>
      <w:r w:rsidDel="00000000" w:rsidR="00000000" w:rsidRPr="00000000">
        <w:rPr>
          <w:b w:val="1"/>
          <w:bCs w:val="1"/>
          <w:color w:val="1a456a"/>
          <w:sz w:val="33"/>
          <w:szCs w:val="33"/>
          <w:rtl w:val="0"/>
        </w:rPr>
        <w:t xml:space="preserve">4. Reconciled Architecture Sequencing</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b w:val="0"/>
          <w:bCs w:val="0"/>
          <w:i w:val="0"/>
          <w:iCs w:val="0"/>
          <w:color w:val="2c2c2c"/>
          <w:sz w:val="21"/>
          <w:szCs w:val="21"/>
          <w:rtl w:val="0"/>
        </w:rPr>
        <w:t xml:space="preserve">The correct sequence must reflect three truths at once: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ZoikoVertex is functionally similar to a super Hootsuite / HubSpot at the execution layer.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Its moat is the non-bypassable governance and decision architecture.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Its product promise depends on agentic intelligence, asynchronous execution, and financial accountability.</w:t>
      </w:r>
      <w:r w:rsidDel="00000000" w:rsidR="00000000" w:rsidRPr="00000000">
        <w:rPr>
          <w:rtl w:val="0"/>
        </w:rPr>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shd w:fill="eef4f9" w:val="clear"/>
            <w:tcMar>
              <w:top w:w="110.0" w:type="dxa"/>
              <w:bottom w:w="110.0" w:type="dxa"/>
            </w:tcMar>
          </w:tcPr>
          <w:p w:rsidR="00000000" w:rsidDel="00000000" w:rsidP="00000000" w:rsidRDefault="00000000" w:rsidRPr="00000000" w14:paraId="00000032">
            <w:pPr>
              <w:rPr/>
            </w:pPr>
            <w:r w:rsidDel="00000000" w:rsidR="00000000" w:rsidRPr="00000000">
              <w:rPr>
                <w:b w:val="1"/>
                <w:bCs w:val="1"/>
                <w:color w:val="1a456a"/>
                <w:sz w:val="21"/>
                <w:szCs w:val="21"/>
                <w:rtl w:val="0"/>
              </w:rPr>
              <w:t xml:space="preserve">Reconciled view:  </w:t>
            </w:r>
            <w:r w:rsidDel="00000000" w:rsidR="00000000" w:rsidRPr="00000000">
              <w:rPr>
                <w:color w:val="2c2c2c"/>
                <w:sz w:val="20"/>
                <w:szCs w:val="20"/>
                <w:rtl w:val="0"/>
              </w:rPr>
              <w:t xml:space="preserve">Execution matters, but decisioning and governance must be designed before execution is allowed to operate autonomously. Agent architecture cannot be deferred too long, but detailed UI-to-backend contracts also do not need to block the first backend work.</w:t>
            </w:r>
            <w:r w:rsidDel="00000000" w:rsidR="00000000" w:rsidRPr="00000000">
              <w:rPr>
                <w:rtl w:val="0"/>
              </w:rPr>
            </w:r>
          </w:p>
        </w:tc>
      </w:tr>
    </w:tbl>
    <w:p w:rsidR="00000000" w:rsidDel="00000000" w:rsidP="00000000" w:rsidRDefault="00000000" w:rsidRPr="00000000" w14:paraId="00000033">
      <w:pPr>
        <w:spacing w:after="100" w:before="200" w:lineRule="auto"/>
        <w:rPr/>
      </w:pPr>
      <w:r w:rsidDel="00000000" w:rsidR="00000000" w:rsidRPr="00000000">
        <w:rPr>
          <w:b w:val="1"/>
          <w:bCs w:val="1"/>
          <w:color w:val="1a456a"/>
          <w:sz w:val="33"/>
          <w:szCs w:val="33"/>
          <w:rtl w:val="0"/>
        </w:rPr>
        <w:t xml:space="preserve">5. Required Backend Documentation — Final Phased Structure</w:t>
      </w:r>
      <w:r w:rsidDel="00000000" w:rsidR="00000000" w:rsidRPr="00000000">
        <w:rPr>
          <w:rtl w:val="0"/>
        </w:rPr>
      </w:r>
    </w:p>
    <w:p w:rsidR="00000000" w:rsidDel="00000000" w:rsidP="00000000" w:rsidRDefault="00000000" w:rsidRPr="00000000" w14:paraId="00000034">
      <w:pPr>
        <w:spacing w:after="80" w:before="120" w:lineRule="auto"/>
        <w:rPr/>
      </w:pPr>
      <w:r w:rsidDel="00000000" w:rsidR="00000000" w:rsidRPr="00000000">
        <w:rPr>
          <w:b w:val="1"/>
          <w:bCs w:val="1"/>
          <w:color w:val="1a456a"/>
          <w:sz w:val="25"/>
          <w:szCs w:val="25"/>
          <w:rtl w:val="0"/>
        </w:rPr>
        <w:t xml:space="preserve">Phase 1 — Core System Definition (Engineering Unblock)</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b w:val="0"/>
          <w:bCs w:val="0"/>
          <w:i w:val="0"/>
          <w:iCs w:val="0"/>
          <w:color w:val="2c2c2c"/>
          <w:sz w:val="21"/>
          <w:szCs w:val="21"/>
          <w:rtl w:val="0"/>
        </w:rPr>
        <w:t xml:space="preserve">These documents remove ambiguity and allow backend engineering to start safely.</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8f3" w:val="clear"/>
            <w:tcMar>
              <w:top w:w="90.0" w:type="dxa"/>
              <w:bottom w:w="90.0" w:type="dxa"/>
            </w:tcMar>
            <w:vAlign w:val="center"/>
          </w:tcPr>
          <w:p w:rsidR="00000000" w:rsidDel="00000000" w:rsidP="00000000" w:rsidRDefault="00000000" w:rsidRPr="00000000" w14:paraId="00000036">
            <w:pPr>
              <w:rPr/>
            </w:pPr>
            <w:r w:rsidDel="00000000" w:rsidR="00000000" w:rsidRPr="00000000">
              <w:rPr>
                <w:b w:val="1"/>
                <w:bCs w:val="1"/>
                <w:color w:val="1a456a"/>
                <w:sz w:val="20"/>
                <w:szCs w:val="20"/>
                <w:rtl w:val="0"/>
              </w:rPr>
              <w:t xml:space="preserve">Document</w:t>
            </w:r>
            <w:r w:rsidDel="00000000" w:rsidR="00000000" w:rsidRPr="00000000">
              <w:rPr>
                <w:rtl w:val="0"/>
              </w:rPr>
            </w:r>
          </w:p>
        </w:tc>
        <w:tc>
          <w:tcPr>
            <w:shd w:fill="dce8f3" w:val="clear"/>
            <w:tcMar>
              <w:top w:w="90.0" w:type="dxa"/>
              <w:bottom w:w="90.0" w:type="dxa"/>
            </w:tcMar>
            <w:vAlign w:val="center"/>
          </w:tcPr>
          <w:p w:rsidR="00000000" w:rsidDel="00000000" w:rsidP="00000000" w:rsidRDefault="00000000" w:rsidRPr="00000000" w14:paraId="00000037">
            <w:pPr>
              <w:rPr/>
            </w:pPr>
            <w:r w:rsidDel="00000000" w:rsidR="00000000" w:rsidRPr="00000000">
              <w:rPr>
                <w:b w:val="1"/>
                <w:bCs w:val="1"/>
                <w:color w:val="1a456a"/>
                <w:sz w:val="20"/>
                <w:szCs w:val="20"/>
                <w:rtl w:val="0"/>
              </w:rPr>
              <w:t xml:space="preserve">Purpose</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38">
            <w:pPr>
              <w:rPr/>
            </w:pPr>
            <w:r w:rsidDel="00000000" w:rsidR="00000000" w:rsidRPr="00000000">
              <w:rPr>
                <w:color w:val="2c2c2c"/>
                <w:sz w:val="20"/>
                <w:szCs w:val="20"/>
                <w:rtl w:val="0"/>
              </w:rPr>
              <w:t xml:space="preserve">1. Canonical Domain &amp; Bounded Context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39">
            <w:pPr>
              <w:rPr/>
            </w:pPr>
            <w:r w:rsidDel="00000000" w:rsidR="00000000" w:rsidRPr="00000000">
              <w:rPr>
                <w:color w:val="2c2c2c"/>
                <w:sz w:val="20"/>
                <w:szCs w:val="20"/>
                <w:rtl w:val="0"/>
              </w:rPr>
              <w:t xml:space="preserve">Defines the system decomposition, domain ownership, anti-coupling rules, upstream/downstream relationships, and integration contracts across the core backend.</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3A">
            <w:pPr>
              <w:rPr/>
            </w:pPr>
            <w:r w:rsidDel="00000000" w:rsidR="00000000" w:rsidRPr="00000000">
              <w:rPr>
                <w:color w:val="2c2c2c"/>
                <w:sz w:val="20"/>
                <w:szCs w:val="20"/>
                <w:rtl w:val="0"/>
              </w:rPr>
              <w:t xml:space="preserve">2. Policy &amp; Governance Engine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3B">
            <w:pPr>
              <w:rPr/>
            </w:pPr>
            <w:r w:rsidDel="00000000" w:rsidR="00000000" w:rsidRPr="00000000">
              <w:rPr>
                <w:color w:val="2c2c2c"/>
                <w:sz w:val="20"/>
                <w:szCs w:val="20"/>
                <w:rtl w:val="0"/>
              </w:rPr>
              <w:t xml:space="preserve">Defines the policy hierarchy, enforcement points, non-bypassable governance model, audit evidence, autonomy controls, and kill-switch rules.</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3C">
            <w:pPr>
              <w:rPr/>
            </w:pPr>
            <w:r w:rsidDel="00000000" w:rsidR="00000000" w:rsidRPr="00000000">
              <w:rPr>
                <w:color w:val="2c2c2c"/>
                <w:sz w:val="20"/>
                <w:szCs w:val="20"/>
                <w:rtl w:val="0"/>
              </w:rPr>
              <w:t xml:space="preserve">3. Decision Engine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3D">
            <w:pPr>
              <w:rPr/>
            </w:pPr>
            <w:r w:rsidDel="00000000" w:rsidR="00000000" w:rsidRPr="00000000">
              <w:rPr>
                <w:color w:val="2c2c2c"/>
                <w:sz w:val="20"/>
                <w:szCs w:val="20"/>
                <w:rtl w:val="0"/>
              </w:rPr>
              <w:t xml:space="preserve">Defines decision classes, scoring, confidence thresholds, admissibility rules, risk constraints, and action classification.</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3E">
            <w:pPr>
              <w:rPr/>
            </w:pPr>
            <w:r w:rsidDel="00000000" w:rsidR="00000000" w:rsidRPr="00000000">
              <w:rPr>
                <w:color w:val="2c2c2c"/>
                <w:sz w:val="20"/>
                <w:szCs w:val="20"/>
                <w:rtl w:val="0"/>
              </w:rPr>
              <w:t xml:space="preserve">4. Canonical Data Model &amp; Database Architecture</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3F">
            <w:pPr>
              <w:rPr/>
            </w:pPr>
            <w:r w:rsidDel="00000000" w:rsidR="00000000" w:rsidRPr="00000000">
              <w:rPr>
                <w:color w:val="2c2c2c"/>
                <w:sz w:val="20"/>
                <w:szCs w:val="20"/>
                <w:rtl w:val="0"/>
              </w:rPr>
              <w:t xml:space="preserve">Defines entities, relationships, transactional schemas, analytical structures, storage tiers, retention, archival, and audit data strategy.</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40">
            <w:pPr>
              <w:rPr/>
            </w:pPr>
            <w:r w:rsidDel="00000000" w:rsidR="00000000" w:rsidRPr="00000000">
              <w:rPr>
                <w:color w:val="2c2c2c"/>
                <w:sz w:val="20"/>
                <w:szCs w:val="20"/>
                <w:rtl w:val="0"/>
              </w:rPr>
              <w:t xml:space="preserve">5. Event Taxonomy &amp; Event Contract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41">
            <w:pPr>
              <w:rPr/>
            </w:pPr>
            <w:r w:rsidDel="00000000" w:rsidR="00000000" w:rsidRPr="00000000">
              <w:rPr>
                <w:color w:val="2c2c2c"/>
                <w:sz w:val="20"/>
                <w:szCs w:val="20"/>
                <w:rtl w:val="0"/>
              </w:rPr>
              <w:t xml:space="preserve">Defines canonical event names, envelope schema, domain ownership, versioning, replay rules, and immutable event correction model.</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42">
            <w:pPr>
              <w:rPr/>
            </w:pPr>
            <w:r w:rsidDel="00000000" w:rsidR="00000000" w:rsidRPr="00000000">
              <w:rPr>
                <w:color w:val="2c2c2c"/>
                <w:sz w:val="20"/>
                <w:szCs w:val="20"/>
                <w:rtl w:val="0"/>
              </w:rPr>
              <w:t xml:space="preserve">6. Queue Topology &amp; Workflow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43">
            <w:pPr>
              <w:rPr/>
            </w:pPr>
            <w:r w:rsidDel="00000000" w:rsidR="00000000" w:rsidRPr="00000000">
              <w:rPr>
                <w:color w:val="2c2c2c"/>
                <w:sz w:val="20"/>
                <w:szCs w:val="20"/>
                <w:rtl w:val="0"/>
              </w:rPr>
              <w:t xml:space="preserve">Defines queue families, consumers, retries, dead-letter behaviour, idempotency, and workflow sequencing for asynchronous execution.</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44">
            <w:pPr>
              <w:rPr/>
            </w:pPr>
            <w:r w:rsidDel="00000000" w:rsidR="00000000" w:rsidRPr="00000000">
              <w:rPr>
                <w:color w:val="2c2c2c"/>
                <w:sz w:val="20"/>
                <w:szCs w:val="20"/>
                <w:rtl w:val="0"/>
              </w:rPr>
              <w:t xml:space="preserve">7. API Architecture &amp; Endpoint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45">
            <w:pPr>
              <w:rPr/>
            </w:pPr>
            <w:r w:rsidDel="00000000" w:rsidR="00000000" w:rsidRPr="00000000">
              <w:rPr>
                <w:color w:val="2c2c2c"/>
                <w:sz w:val="20"/>
                <w:szCs w:val="20"/>
                <w:rtl w:val="0"/>
              </w:rPr>
              <w:t xml:space="preserve">Defines external and internal endpoint groups, auth scopes, webhook patterns, request/response standards, and versioning strategy.</w:t>
            </w:r>
            <w:r w:rsidDel="00000000" w:rsidR="00000000" w:rsidRPr="00000000">
              <w:rPr>
                <w:rtl w:val="0"/>
              </w:rPr>
            </w:r>
          </w:p>
        </w:tc>
      </w:tr>
    </w:tbl>
    <w:p w:rsidR="00000000" w:rsidDel="00000000" w:rsidP="00000000" w:rsidRDefault="00000000" w:rsidRPr="00000000" w14:paraId="00000046">
      <w:pPr>
        <w:spacing w:after="80" w:before="120" w:lineRule="auto"/>
        <w:rPr/>
      </w:pPr>
      <w:r w:rsidDel="00000000" w:rsidR="00000000" w:rsidRPr="00000000">
        <w:rPr>
          <w:b w:val="1"/>
          <w:bCs w:val="1"/>
          <w:color w:val="1a456a"/>
          <w:sz w:val="25"/>
          <w:szCs w:val="25"/>
          <w:rtl w:val="0"/>
        </w:rPr>
        <w:t xml:space="preserve">Phase 2 — Intelligence &amp; Execution Layer</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b w:val="0"/>
          <w:bCs w:val="0"/>
          <w:i w:val="0"/>
          <w:iCs w:val="0"/>
          <w:color w:val="2c2c2c"/>
          <w:sz w:val="21"/>
          <w:szCs w:val="21"/>
          <w:rtl w:val="0"/>
        </w:rPr>
        <w:t xml:space="preserve">These documents turn the platform from architecture into governed operational behaviour.</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8f3" w:val="clear"/>
            <w:tcMar>
              <w:top w:w="90.0" w:type="dxa"/>
              <w:bottom w:w="90.0" w:type="dxa"/>
            </w:tcMar>
            <w:vAlign w:val="center"/>
          </w:tcPr>
          <w:p w:rsidR="00000000" w:rsidDel="00000000" w:rsidP="00000000" w:rsidRDefault="00000000" w:rsidRPr="00000000" w14:paraId="00000048">
            <w:pPr>
              <w:rPr/>
            </w:pPr>
            <w:r w:rsidDel="00000000" w:rsidR="00000000" w:rsidRPr="00000000">
              <w:rPr>
                <w:b w:val="1"/>
                <w:bCs w:val="1"/>
                <w:color w:val="1a456a"/>
                <w:sz w:val="20"/>
                <w:szCs w:val="20"/>
                <w:rtl w:val="0"/>
              </w:rPr>
              <w:t xml:space="preserve">Document</w:t>
            </w:r>
            <w:r w:rsidDel="00000000" w:rsidR="00000000" w:rsidRPr="00000000">
              <w:rPr>
                <w:rtl w:val="0"/>
              </w:rPr>
            </w:r>
          </w:p>
        </w:tc>
        <w:tc>
          <w:tcPr>
            <w:shd w:fill="dce8f3" w:val="clear"/>
            <w:tcMar>
              <w:top w:w="90.0" w:type="dxa"/>
              <w:bottom w:w="90.0" w:type="dxa"/>
            </w:tcMar>
            <w:vAlign w:val="center"/>
          </w:tcPr>
          <w:p w:rsidR="00000000" w:rsidDel="00000000" w:rsidP="00000000" w:rsidRDefault="00000000" w:rsidRPr="00000000" w14:paraId="00000049">
            <w:pPr>
              <w:rPr/>
            </w:pPr>
            <w:r w:rsidDel="00000000" w:rsidR="00000000" w:rsidRPr="00000000">
              <w:rPr>
                <w:b w:val="1"/>
                <w:bCs w:val="1"/>
                <w:color w:val="1a456a"/>
                <w:sz w:val="20"/>
                <w:szCs w:val="20"/>
                <w:rtl w:val="0"/>
              </w:rPr>
              <w:t xml:space="preserve">Purpose</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4A">
            <w:pPr>
              <w:rPr/>
            </w:pPr>
            <w:r w:rsidDel="00000000" w:rsidR="00000000" w:rsidRPr="00000000">
              <w:rPr>
                <w:color w:val="2c2c2c"/>
                <w:sz w:val="20"/>
                <w:szCs w:val="20"/>
                <w:rtl w:val="0"/>
              </w:rPr>
              <w:t xml:space="preserve">8. Agent Operating Contract Pack</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4B">
            <w:pPr>
              <w:rPr/>
            </w:pPr>
            <w:r w:rsidDel="00000000" w:rsidR="00000000" w:rsidRPr="00000000">
              <w:rPr>
                <w:color w:val="2c2c2c"/>
                <w:sz w:val="20"/>
                <w:szCs w:val="20"/>
                <w:rtl w:val="0"/>
              </w:rPr>
              <w:t xml:space="preserve">One formal contract per agent: purpose, inputs, outputs, authority, prohibited actions, cost/time budgets, confidence rules, fallback, and logging.</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4C">
            <w:pPr>
              <w:rPr/>
            </w:pPr>
            <w:r w:rsidDel="00000000" w:rsidR="00000000" w:rsidRPr="00000000">
              <w:rPr>
                <w:color w:val="2c2c2c"/>
                <w:sz w:val="20"/>
                <w:szCs w:val="20"/>
                <w:rtl w:val="0"/>
              </w:rPr>
              <w:t xml:space="preserve">9. Agent Orchestration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4D">
            <w:pPr>
              <w:rPr/>
            </w:pPr>
            <w:r w:rsidDel="00000000" w:rsidR="00000000" w:rsidRPr="00000000">
              <w:rPr>
                <w:color w:val="2c2c2c"/>
                <w:sz w:val="20"/>
                <w:szCs w:val="20"/>
                <w:rtl w:val="0"/>
              </w:rPr>
              <w:t xml:space="preserve">Defines how agents coordinate, how workflows are sequenced, how context is passed, and how cross-agent conflicts are resolved.</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4E">
            <w:pPr>
              <w:rPr/>
            </w:pPr>
            <w:r w:rsidDel="00000000" w:rsidR="00000000" w:rsidRPr="00000000">
              <w:rPr>
                <w:color w:val="2c2c2c"/>
                <w:sz w:val="20"/>
                <w:szCs w:val="20"/>
                <w:rtl w:val="0"/>
              </w:rPr>
              <w:t xml:space="preserve">10. Human-in-Command Workflow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4F">
            <w:pPr>
              <w:rPr/>
            </w:pPr>
            <w:r w:rsidDel="00000000" w:rsidR="00000000" w:rsidRPr="00000000">
              <w:rPr>
                <w:color w:val="2c2c2c"/>
                <w:sz w:val="20"/>
                <w:szCs w:val="20"/>
                <w:rtl w:val="0"/>
              </w:rPr>
              <w:t xml:space="preserve">Defines approval routing, escalation, override, dual-control, emergency revoke, and replayable human governance flows.</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50">
            <w:pPr>
              <w:rPr/>
            </w:pPr>
            <w:r w:rsidDel="00000000" w:rsidR="00000000" w:rsidRPr="00000000">
              <w:rPr>
                <w:color w:val="2c2c2c"/>
                <w:sz w:val="20"/>
                <w:szCs w:val="20"/>
                <w:rtl w:val="0"/>
              </w:rPr>
              <w:t xml:space="preserve">11. Execution Services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51">
            <w:pPr>
              <w:rPr/>
            </w:pPr>
            <w:r w:rsidDel="00000000" w:rsidR="00000000" w:rsidRPr="00000000">
              <w:rPr>
                <w:color w:val="2c2c2c"/>
                <w:sz w:val="20"/>
                <w:szCs w:val="20"/>
                <w:rtl w:val="0"/>
              </w:rPr>
              <w:t xml:space="preserve">Defines publishing, scheduling, campaign launch/pause/update, spend movement, rollback behaviour, and execution receipts.</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52">
            <w:pPr>
              <w:rPr/>
            </w:pPr>
            <w:r w:rsidDel="00000000" w:rsidR="00000000" w:rsidRPr="00000000">
              <w:rPr>
                <w:color w:val="2c2c2c"/>
                <w:sz w:val="20"/>
                <w:szCs w:val="20"/>
                <w:rtl w:val="0"/>
              </w:rPr>
              <w:t xml:space="preserve">12. Integration Architecture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53">
            <w:pPr>
              <w:rPr/>
            </w:pPr>
            <w:r w:rsidDel="00000000" w:rsidR="00000000" w:rsidRPr="00000000">
              <w:rPr>
                <w:color w:val="2c2c2c"/>
                <w:sz w:val="20"/>
                <w:szCs w:val="20"/>
                <w:rtl w:val="0"/>
              </w:rPr>
              <w:t xml:space="preserve">Defines connector framework, sync modes, OAuth/scopes, freshness logic, rate-limit handling, and platform-specific operational constraints.</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54">
            <w:pPr>
              <w:rPr/>
            </w:pPr>
            <w:r w:rsidDel="00000000" w:rsidR="00000000" w:rsidRPr="00000000">
              <w:rPr>
                <w:color w:val="2c2c2c"/>
                <w:sz w:val="20"/>
                <w:szCs w:val="20"/>
                <w:rtl w:val="0"/>
              </w:rPr>
              <w:t xml:space="preserve">13. UI-to-Backend Contract Map</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55">
            <w:pPr>
              <w:rPr/>
            </w:pPr>
            <w:r w:rsidDel="00000000" w:rsidR="00000000" w:rsidRPr="00000000">
              <w:rPr>
                <w:color w:val="2c2c2c"/>
                <w:sz w:val="20"/>
                <w:szCs w:val="20"/>
                <w:rtl w:val="0"/>
              </w:rPr>
              <w:t xml:space="preserve">Maps major product screens to backend read models, actions, permissions, and latency expectations.</w:t>
            </w:r>
            <w:r w:rsidDel="00000000" w:rsidR="00000000" w:rsidRPr="00000000">
              <w:rPr>
                <w:rtl w:val="0"/>
              </w:rPr>
            </w:r>
          </w:p>
        </w:tc>
      </w:tr>
    </w:tbl>
    <w:p w:rsidR="00000000" w:rsidDel="00000000" w:rsidP="00000000" w:rsidRDefault="00000000" w:rsidRPr="00000000" w14:paraId="00000056">
      <w:pPr>
        <w:spacing w:after="80" w:before="120" w:lineRule="auto"/>
        <w:rPr/>
      </w:pPr>
      <w:r w:rsidDel="00000000" w:rsidR="00000000" w:rsidRPr="00000000">
        <w:rPr>
          <w:b w:val="1"/>
          <w:bCs w:val="1"/>
          <w:color w:val="1a456a"/>
          <w:sz w:val="25"/>
          <w:szCs w:val="25"/>
          <w:rtl w:val="0"/>
        </w:rPr>
        <w:t xml:space="preserve">Phase 3 — Financial, Enterprise, and Production Readiness</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b w:val="0"/>
          <w:bCs w:val="0"/>
          <w:i w:val="0"/>
          <w:iCs w:val="0"/>
          <w:color w:val="2c2c2c"/>
          <w:sz w:val="21"/>
          <w:szCs w:val="21"/>
          <w:rtl w:val="0"/>
        </w:rPr>
        <w:t xml:space="preserve">These documents complete the system for enterprise deployment, trust, and scale.</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8f3" w:val="clear"/>
            <w:tcMar>
              <w:top w:w="90.0" w:type="dxa"/>
              <w:bottom w:w="90.0" w:type="dxa"/>
            </w:tcMar>
            <w:vAlign w:val="center"/>
          </w:tcPr>
          <w:p w:rsidR="00000000" w:rsidDel="00000000" w:rsidP="00000000" w:rsidRDefault="00000000" w:rsidRPr="00000000" w14:paraId="00000058">
            <w:pPr>
              <w:rPr/>
            </w:pPr>
            <w:r w:rsidDel="00000000" w:rsidR="00000000" w:rsidRPr="00000000">
              <w:rPr>
                <w:b w:val="1"/>
                <w:bCs w:val="1"/>
                <w:color w:val="1a456a"/>
                <w:sz w:val="20"/>
                <w:szCs w:val="20"/>
                <w:rtl w:val="0"/>
              </w:rPr>
              <w:t xml:space="preserve">Document</w:t>
            </w:r>
            <w:r w:rsidDel="00000000" w:rsidR="00000000" w:rsidRPr="00000000">
              <w:rPr>
                <w:rtl w:val="0"/>
              </w:rPr>
            </w:r>
          </w:p>
        </w:tc>
        <w:tc>
          <w:tcPr>
            <w:shd w:fill="dce8f3" w:val="clear"/>
            <w:tcMar>
              <w:top w:w="90.0" w:type="dxa"/>
              <w:bottom w:w="90.0" w:type="dxa"/>
            </w:tcMar>
            <w:vAlign w:val="center"/>
          </w:tcPr>
          <w:p w:rsidR="00000000" w:rsidDel="00000000" w:rsidP="00000000" w:rsidRDefault="00000000" w:rsidRPr="00000000" w14:paraId="00000059">
            <w:pPr>
              <w:rPr/>
            </w:pPr>
            <w:r w:rsidDel="00000000" w:rsidR="00000000" w:rsidRPr="00000000">
              <w:rPr>
                <w:b w:val="1"/>
                <w:bCs w:val="1"/>
                <w:color w:val="1a456a"/>
                <w:sz w:val="20"/>
                <w:szCs w:val="20"/>
                <w:rtl w:val="0"/>
              </w:rPr>
              <w:t xml:space="preserve">Purpose</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5A">
            <w:pPr>
              <w:rPr/>
            </w:pPr>
            <w:r w:rsidDel="00000000" w:rsidR="00000000" w:rsidRPr="00000000">
              <w:rPr>
                <w:color w:val="2c2c2c"/>
                <w:sz w:val="20"/>
                <w:szCs w:val="20"/>
                <w:rtl w:val="0"/>
              </w:rPr>
              <w:t xml:space="preserve">14. Financial Attribution &amp; ROI Engine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5B">
            <w:pPr>
              <w:rPr/>
            </w:pPr>
            <w:r w:rsidDel="00000000" w:rsidR="00000000" w:rsidRPr="00000000">
              <w:rPr>
                <w:color w:val="2c2c2c"/>
                <w:sz w:val="20"/>
                <w:szCs w:val="20"/>
                <w:rtl w:val="0"/>
              </w:rPr>
              <w:t xml:space="preserve">Defines attribution models, reconciliation logic, confidence bands, margin logic, finance exports, and methodology versioning.</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5C">
            <w:pPr>
              <w:rPr/>
            </w:pPr>
            <w:r w:rsidDel="00000000" w:rsidR="00000000" w:rsidRPr="00000000">
              <w:rPr>
                <w:color w:val="2c2c2c"/>
                <w:sz w:val="20"/>
                <w:szCs w:val="20"/>
                <w:rtl w:val="0"/>
              </w:rPr>
              <w:t xml:space="preserve">15. Model Governance &amp; AI Operations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5D">
            <w:pPr>
              <w:rPr/>
            </w:pPr>
            <w:r w:rsidDel="00000000" w:rsidR="00000000" w:rsidRPr="00000000">
              <w:rPr>
                <w:color w:val="2c2c2c"/>
                <w:sz w:val="20"/>
                <w:szCs w:val="20"/>
                <w:rtl w:val="0"/>
              </w:rPr>
              <w:t xml:space="preserve">Defines model registry, prompt registry, evaluations, drift detection, rollback, safety testing, and model routing.</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5E">
            <w:pPr>
              <w:rPr/>
            </w:pPr>
            <w:r w:rsidDel="00000000" w:rsidR="00000000" w:rsidRPr="00000000">
              <w:rPr>
                <w:color w:val="2c2c2c"/>
                <w:sz w:val="20"/>
                <w:szCs w:val="20"/>
                <w:rtl w:val="0"/>
              </w:rPr>
              <w:t xml:space="preserve">16. Security &amp; Data Governance Architecture</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5F">
            <w:pPr>
              <w:rPr/>
            </w:pPr>
            <w:r w:rsidDel="00000000" w:rsidR="00000000" w:rsidRPr="00000000">
              <w:rPr>
                <w:color w:val="2c2c2c"/>
                <w:sz w:val="20"/>
                <w:szCs w:val="20"/>
                <w:rtl w:val="0"/>
              </w:rPr>
              <w:t xml:space="preserve">Defines tenant isolation, PII handling, masking, retention, secret management, privileged access controls, and residency policy.</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60">
            <w:pPr>
              <w:rPr/>
            </w:pPr>
            <w:r w:rsidDel="00000000" w:rsidR="00000000" w:rsidRPr="00000000">
              <w:rPr>
                <w:color w:val="2c2c2c"/>
                <w:sz w:val="20"/>
                <w:szCs w:val="20"/>
                <w:rtl w:val="0"/>
              </w:rPr>
              <w:t xml:space="preserve">17. Reliability &amp; SRE Architecture</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61">
            <w:pPr>
              <w:rPr/>
            </w:pPr>
            <w:r w:rsidDel="00000000" w:rsidR="00000000" w:rsidRPr="00000000">
              <w:rPr>
                <w:color w:val="2c2c2c"/>
                <w:sz w:val="20"/>
                <w:szCs w:val="20"/>
                <w:rtl w:val="0"/>
              </w:rPr>
              <w:t xml:space="preserve">Defines service priorities, SLOs, error budgets, incident classes, failover logic, degradation rules, and runbook expectations.</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62">
            <w:pPr>
              <w:rPr/>
            </w:pPr>
            <w:r w:rsidDel="00000000" w:rsidR="00000000" w:rsidRPr="00000000">
              <w:rPr>
                <w:color w:val="2c2c2c"/>
                <w:sz w:val="20"/>
                <w:szCs w:val="20"/>
                <w:rtl w:val="0"/>
              </w:rPr>
              <w:t xml:space="preserve">18. Infrastructure &amp; Deployment Architecture</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63">
            <w:pPr>
              <w:rPr/>
            </w:pPr>
            <w:r w:rsidDel="00000000" w:rsidR="00000000" w:rsidRPr="00000000">
              <w:rPr>
                <w:color w:val="2c2c2c"/>
                <w:sz w:val="20"/>
                <w:szCs w:val="20"/>
                <w:rtl w:val="0"/>
              </w:rPr>
              <w:t xml:space="preserve">Defines environments, networking, CI/CD, scaling, worker deployment, observability stack, and regional strategy.</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64">
            <w:pPr>
              <w:rPr/>
            </w:pPr>
            <w:r w:rsidDel="00000000" w:rsidR="00000000" w:rsidRPr="00000000">
              <w:rPr>
                <w:color w:val="2c2c2c"/>
                <w:sz w:val="20"/>
                <w:szCs w:val="20"/>
                <w:rtl w:val="0"/>
              </w:rPr>
              <w:t xml:space="preserve">19. Commercial &amp; Billing Architecture</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65">
            <w:pPr>
              <w:rPr/>
            </w:pPr>
            <w:r w:rsidDel="00000000" w:rsidR="00000000" w:rsidRPr="00000000">
              <w:rPr>
                <w:color w:val="2c2c2c"/>
                <w:sz w:val="20"/>
                <w:szCs w:val="20"/>
                <w:rtl w:val="0"/>
              </w:rPr>
              <w:t xml:space="preserve">Defines entitlement logic, SaaS billing, performance-based metering, spend-under-management calculations, and billing audit trails.</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66">
            <w:pPr>
              <w:rPr/>
            </w:pPr>
            <w:r w:rsidDel="00000000" w:rsidR="00000000" w:rsidRPr="00000000">
              <w:rPr>
                <w:color w:val="2c2c2c"/>
                <w:sz w:val="20"/>
                <w:szCs w:val="20"/>
                <w:rtl w:val="0"/>
              </w:rPr>
              <w:t xml:space="preserve">20. Simulation &amp; Forecasting Engine Specification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67">
            <w:pPr>
              <w:rPr/>
            </w:pPr>
            <w:r w:rsidDel="00000000" w:rsidR="00000000" w:rsidRPr="00000000">
              <w:rPr>
                <w:color w:val="2c2c2c"/>
                <w:sz w:val="20"/>
                <w:szCs w:val="20"/>
                <w:rtl w:val="0"/>
              </w:rPr>
              <w:t xml:space="preserve">Defines synthetic audience modelling, scenario testing, forecast ranges, confidence outputs, and advisory boundaries.</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68">
            <w:pPr>
              <w:rPr/>
            </w:pPr>
            <w:r w:rsidDel="00000000" w:rsidR="00000000" w:rsidRPr="00000000">
              <w:rPr>
                <w:color w:val="2c2c2c"/>
                <w:sz w:val="20"/>
                <w:szCs w:val="20"/>
                <w:rtl w:val="0"/>
              </w:rPr>
              <w:t xml:space="preserve">21. Engineering Build Pack &amp; Delivery Plan</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69">
            <w:pPr>
              <w:rPr/>
            </w:pPr>
            <w:r w:rsidDel="00000000" w:rsidR="00000000" w:rsidRPr="00000000">
              <w:rPr>
                <w:color w:val="2c2c2c"/>
                <w:sz w:val="20"/>
                <w:szCs w:val="20"/>
                <w:rtl w:val="0"/>
              </w:rPr>
              <w:t xml:space="preserve">Defines build waves, dependencies, team sequencing, milestones, and module-by-module implementation order.</w:t>
            </w:r>
            <w:r w:rsidDel="00000000" w:rsidR="00000000" w:rsidRPr="00000000">
              <w:rPr>
                <w:rtl w:val="0"/>
              </w:rPr>
            </w:r>
          </w:p>
        </w:tc>
      </w:tr>
    </w:tbl>
    <w:p w:rsidR="00000000" w:rsidDel="00000000" w:rsidP="00000000" w:rsidRDefault="00000000" w:rsidRPr="00000000" w14:paraId="0000006A">
      <w:pPr>
        <w:spacing w:after="100" w:before="200" w:lineRule="auto"/>
        <w:rPr/>
      </w:pPr>
      <w:r w:rsidDel="00000000" w:rsidR="00000000" w:rsidRPr="00000000">
        <w:rPr>
          <w:b w:val="1"/>
          <w:bCs w:val="1"/>
          <w:color w:val="1a456a"/>
          <w:sz w:val="33"/>
          <w:szCs w:val="33"/>
          <w:rtl w:val="0"/>
        </w:rPr>
        <w:t xml:space="preserve">6. Why This Sequence Is Correct</w:t>
      </w:r>
      <w:r w:rsidDel="00000000" w:rsidR="00000000" w:rsidRPr="00000000">
        <w:rPr>
          <w:rtl w:val="0"/>
        </w:rPr>
      </w:r>
    </w:p>
    <w:p w:rsidR="00000000" w:rsidDel="00000000" w:rsidP="00000000" w:rsidRDefault="00000000" w:rsidRPr="00000000" w14:paraId="0000006B">
      <w:pPr>
        <w:spacing w:after="80" w:before="120" w:lineRule="auto"/>
        <w:rPr/>
      </w:pPr>
      <w:r w:rsidDel="00000000" w:rsidR="00000000" w:rsidRPr="00000000">
        <w:rPr>
          <w:b w:val="1"/>
          <w:bCs w:val="1"/>
          <w:color w:val="1a456a"/>
          <w:sz w:val="25"/>
          <w:szCs w:val="25"/>
          <w:rtl w:val="0"/>
        </w:rPr>
        <w:t xml:space="preserve">6.1 Why Governance Is Early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If governance is not architecturally non-bypassable from the beginning, ZoikoVertex becomes an expensive execution tool rather than a defensible operating system.</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The governance layer cannot be meaningfully specified without the decision model it governs.</w:t>
      </w:r>
      <w:r w:rsidDel="00000000" w:rsidR="00000000" w:rsidRPr="00000000">
        <w:rPr>
          <w:rtl w:val="0"/>
        </w:rPr>
      </w:r>
    </w:p>
    <w:p w:rsidR="00000000" w:rsidDel="00000000" w:rsidP="00000000" w:rsidRDefault="00000000" w:rsidRPr="00000000" w14:paraId="0000006E">
      <w:pPr>
        <w:spacing w:after="80" w:before="120" w:lineRule="auto"/>
        <w:rPr/>
      </w:pPr>
      <w:r w:rsidDel="00000000" w:rsidR="00000000" w:rsidRPr="00000000">
        <w:rPr>
          <w:b w:val="1"/>
          <w:bCs w:val="1"/>
          <w:color w:val="1a456a"/>
          <w:sz w:val="25"/>
          <w:szCs w:val="25"/>
          <w:rtl w:val="0"/>
        </w:rPr>
        <w:t xml:space="preserve">6.2 Why Decisioning Is Early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The Decision Engine is the system’s brain. Without it, approvals become superficial workflow rather than real control architecture.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Execution, spend movement, and optimization all depend on a formal decision object model.</w:t>
      </w:r>
      <w:r w:rsidDel="00000000" w:rsidR="00000000" w:rsidRPr="00000000">
        <w:rPr>
          <w:rtl w:val="0"/>
        </w:rPr>
      </w:r>
    </w:p>
    <w:p w:rsidR="00000000" w:rsidDel="00000000" w:rsidP="00000000" w:rsidRDefault="00000000" w:rsidRPr="00000000" w14:paraId="00000071">
      <w:pPr>
        <w:spacing w:after="80" w:before="120" w:lineRule="auto"/>
        <w:rPr/>
      </w:pPr>
      <w:r w:rsidDel="00000000" w:rsidR="00000000" w:rsidRPr="00000000">
        <w:rPr>
          <w:b w:val="1"/>
          <w:bCs w:val="1"/>
          <w:color w:val="1a456a"/>
          <w:sz w:val="25"/>
          <w:szCs w:val="25"/>
          <w:rtl w:val="0"/>
        </w:rPr>
        <w:t xml:space="preserve">6.3 Why Events and Queues Stay Early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ZoikoVertex is asynchronous by design.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Connector ingestion, agent runs, approval routing, execution, and financial computation all depend on event and queue discipline.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Delaying event or queue specifications creates integration chaos and fragile workflow behaviour.</w:t>
      </w:r>
      <w:r w:rsidDel="00000000" w:rsidR="00000000" w:rsidRPr="00000000">
        <w:rPr>
          <w:rtl w:val="0"/>
        </w:rPr>
      </w:r>
    </w:p>
    <w:p w:rsidR="00000000" w:rsidDel="00000000" w:rsidP="00000000" w:rsidRDefault="00000000" w:rsidRPr="00000000" w14:paraId="00000075">
      <w:pPr>
        <w:spacing w:after="80" w:before="120" w:lineRule="auto"/>
        <w:rPr/>
      </w:pPr>
      <w:r w:rsidDel="00000000" w:rsidR="00000000" w:rsidRPr="00000000">
        <w:rPr>
          <w:b w:val="1"/>
          <w:bCs w:val="1"/>
          <w:color w:val="1a456a"/>
          <w:sz w:val="25"/>
          <w:szCs w:val="25"/>
          <w:rtl w:val="0"/>
        </w:rPr>
        <w:t xml:space="preserve">6.4 Why Agent Contracts Are Not Phase 1</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You do not need full agent implementation detail before defining domains, governance, decisions, data, events, queues, and APIs.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But you do need the agent contracts before intelligent execution begins.</w:t>
      </w:r>
      <w:r w:rsidDel="00000000" w:rsidR="00000000" w:rsidRPr="00000000">
        <w:rPr>
          <w:rtl w:val="0"/>
        </w:rPr>
      </w:r>
    </w:p>
    <w:p w:rsidR="00000000" w:rsidDel="00000000" w:rsidP="00000000" w:rsidRDefault="00000000" w:rsidRPr="00000000" w14:paraId="00000078">
      <w:pPr>
        <w:spacing w:after="100" w:before="200" w:lineRule="auto"/>
        <w:rPr/>
      </w:pPr>
      <w:r w:rsidDel="00000000" w:rsidR="00000000" w:rsidRPr="00000000">
        <w:rPr>
          <w:b w:val="1"/>
          <w:bCs w:val="1"/>
          <w:color w:val="1a456a"/>
          <w:sz w:val="33"/>
          <w:szCs w:val="33"/>
          <w:rtl w:val="0"/>
        </w:rPr>
        <w:t xml:space="preserve">7. Current State vs. Outstanding Documentation</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8f3" w:val="clear"/>
            <w:tcMar>
              <w:top w:w="90.0" w:type="dxa"/>
              <w:bottom w:w="90.0" w:type="dxa"/>
            </w:tcMar>
            <w:vAlign w:val="center"/>
          </w:tcPr>
          <w:p w:rsidR="00000000" w:rsidDel="00000000" w:rsidP="00000000" w:rsidRDefault="00000000" w:rsidRPr="00000000" w14:paraId="00000079">
            <w:pPr>
              <w:rPr/>
            </w:pPr>
            <w:r w:rsidDel="00000000" w:rsidR="00000000" w:rsidRPr="00000000">
              <w:rPr>
                <w:b w:val="1"/>
                <w:bCs w:val="1"/>
                <w:color w:val="1a456a"/>
                <w:sz w:val="20"/>
                <w:szCs w:val="20"/>
                <w:rtl w:val="0"/>
              </w:rPr>
              <w:t xml:space="preserve">Artifact</w:t>
            </w:r>
            <w:r w:rsidDel="00000000" w:rsidR="00000000" w:rsidRPr="00000000">
              <w:rPr>
                <w:rtl w:val="0"/>
              </w:rPr>
            </w:r>
          </w:p>
        </w:tc>
        <w:tc>
          <w:tcPr>
            <w:shd w:fill="dce8f3" w:val="clear"/>
            <w:tcMar>
              <w:top w:w="90.0" w:type="dxa"/>
              <w:bottom w:w="90.0" w:type="dxa"/>
            </w:tcMar>
            <w:vAlign w:val="center"/>
          </w:tcPr>
          <w:p w:rsidR="00000000" w:rsidDel="00000000" w:rsidP="00000000" w:rsidRDefault="00000000" w:rsidRPr="00000000" w14:paraId="0000007A">
            <w:pPr>
              <w:rPr/>
            </w:pPr>
            <w:r w:rsidDel="00000000" w:rsidR="00000000" w:rsidRPr="00000000">
              <w:rPr>
                <w:b w:val="1"/>
                <w:bCs w:val="1"/>
                <w:color w:val="1a456a"/>
                <w:sz w:val="20"/>
                <w:szCs w:val="20"/>
                <w:rtl w:val="0"/>
              </w:rPr>
              <w:t xml:space="preserve">Status</w:t>
            </w:r>
            <w:r w:rsidDel="00000000" w:rsidR="00000000" w:rsidRPr="00000000">
              <w:rPr>
                <w:rtl w:val="0"/>
              </w:rPr>
            </w:r>
          </w:p>
        </w:tc>
        <w:tc>
          <w:tcPr>
            <w:shd w:fill="dce8f3" w:val="clear"/>
            <w:tcMar>
              <w:top w:w="90.0" w:type="dxa"/>
              <w:bottom w:w="90.0" w:type="dxa"/>
            </w:tcMar>
            <w:vAlign w:val="center"/>
          </w:tcPr>
          <w:p w:rsidR="00000000" w:rsidDel="00000000" w:rsidP="00000000" w:rsidRDefault="00000000" w:rsidRPr="00000000" w14:paraId="0000007B">
            <w:pPr>
              <w:rPr/>
            </w:pPr>
            <w:r w:rsidDel="00000000" w:rsidR="00000000" w:rsidRPr="00000000">
              <w:rPr>
                <w:b w:val="1"/>
                <w:bCs w:val="1"/>
                <w:color w:val="1a456a"/>
                <w:sz w:val="20"/>
                <w:szCs w:val="20"/>
                <w:rtl w:val="0"/>
              </w:rPr>
              <w:t xml:space="preserve">Assessment</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7C">
            <w:pPr>
              <w:rPr/>
            </w:pPr>
            <w:r w:rsidDel="00000000" w:rsidR="00000000" w:rsidRPr="00000000">
              <w:rPr>
                <w:color w:val="2c2c2c"/>
                <w:sz w:val="20"/>
                <w:szCs w:val="20"/>
                <w:rtl w:val="0"/>
              </w:rPr>
              <w:t xml:space="preserve">Detailed Product Page</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7D">
            <w:pPr>
              <w:rPr/>
            </w:pPr>
            <w:r w:rsidDel="00000000" w:rsidR="00000000" w:rsidRPr="00000000">
              <w:rPr>
                <w:color w:val="2c2c2c"/>
                <w:sz w:val="20"/>
                <w:szCs w:val="20"/>
                <w:rtl w:val="0"/>
              </w:rPr>
              <w:t xml:space="preserve">Completed</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7E">
            <w:pPr>
              <w:rPr/>
            </w:pPr>
            <w:r w:rsidDel="00000000" w:rsidR="00000000" w:rsidRPr="00000000">
              <w:rPr>
                <w:color w:val="2c2c2c"/>
                <w:sz w:val="20"/>
                <w:szCs w:val="20"/>
                <w:rtl w:val="0"/>
              </w:rPr>
              <w:t xml:space="preserve">Commercial and product operating promise; not backend implementation documentation.</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7F">
            <w:pPr>
              <w:rPr/>
            </w:pPr>
            <w:r w:rsidDel="00000000" w:rsidR="00000000" w:rsidRPr="00000000">
              <w:rPr>
                <w:color w:val="2c2c2c"/>
                <w:sz w:val="20"/>
                <w:szCs w:val="20"/>
                <w:rtl w:val="0"/>
              </w:rPr>
              <w:t xml:space="preserve">Technical Architecture Master Blueprint</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80">
            <w:pPr>
              <w:rPr/>
            </w:pPr>
            <w:r w:rsidDel="00000000" w:rsidR="00000000" w:rsidRPr="00000000">
              <w:rPr>
                <w:color w:val="2c2c2c"/>
                <w:sz w:val="20"/>
                <w:szCs w:val="20"/>
                <w:rtl w:val="0"/>
              </w:rPr>
              <w:t xml:space="preserve">Completed</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81">
            <w:pPr>
              <w:rPr/>
            </w:pPr>
            <w:r w:rsidDel="00000000" w:rsidR="00000000" w:rsidRPr="00000000">
              <w:rPr>
                <w:color w:val="2c2c2c"/>
                <w:sz w:val="20"/>
                <w:szCs w:val="20"/>
                <w:rtl w:val="0"/>
              </w:rPr>
              <w:t xml:space="preserve">Source-of-truth high-level architecture; strong foundation but not execution-complete.</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82">
            <w:pPr>
              <w:rPr/>
            </w:pPr>
            <w:r w:rsidDel="00000000" w:rsidR="00000000" w:rsidRPr="00000000">
              <w:rPr>
                <w:color w:val="2c2c2c"/>
                <w:sz w:val="20"/>
                <w:szCs w:val="20"/>
                <w:rtl w:val="0"/>
              </w:rPr>
              <w:t xml:space="preserve">Phase 1 build-definition documents</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83">
            <w:pPr>
              <w:rPr/>
            </w:pPr>
            <w:r w:rsidDel="00000000" w:rsidR="00000000" w:rsidRPr="00000000">
              <w:rPr>
                <w:color w:val="2c2c2c"/>
                <w:sz w:val="20"/>
                <w:szCs w:val="20"/>
                <w:rtl w:val="0"/>
              </w:rPr>
              <w:t xml:space="preserve">Outstanding</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84">
            <w:pPr>
              <w:rPr/>
            </w:pPr>
            <w:r w:rsidDel="00000000" w:rsidR="00000000" w:rsidRPr="00000000">
              <w:rPr>
                <w:color w:val="2c2c2c"/>
                <w:sz w:val="20"/>
                <w:szCs w:val="20"/>
                <w:rtl w:val="0"/>
              </w:rPr>
              <w:t xml:space="preserve">Required before serious backend implementation.</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85">
            <w:pPr>
              <w:rPr/>
            </w:pPr>
            <w:r w:rsidDel="00000000" w:rsidR="00000000" w:rsidRPr="00000000">
              <w:rPr>
                <w:color w:val="2c2c2c"/>
                <w:sz w:val="20"/>
                <w:szCs w:val="20"/>
                <w:rtl w:val="0"/>
              </w:rPr>
              <w:t xml:space="preserve">Phase 2 intelligence and execution documents</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86">
            <w:pPr>
              <w:rPr/>
            </w:pPr>
            <w:r w:rsidDel="00000000" w:rsidR="00000000" w:rsidRPr="00000000">
              <w:rPr>
                <w:color w:val="2c2c2c"/>
                <w:sz w:val="20"/>
                <w:szCs w:val="20"/>
                <w:rtl w:val="0"/>
              </w:rPr>
              <w:t xml:space="preserve">Outstanding</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87">
            <w:pPr>
              <w:rPr/>
            </w:pPr>
            <w:r w:rsidDel="00000000" w:rsidR="00000000" w:rsidRPr="00000000">
              <w:rPr>
                <w:color w:val="2c2c2c"/>
                <w:sz w:val="20"/>
                <w:szCs w:val="20"/>
                <w:rtl w:val="0"/>
              </w:rPr>
              <w:t xml:space="preserve">Required before governed autonomous execution.</w:t>
            </w:r>
            <w:r w:rsidDel="00000000" w:rsidR="00000000" w:rsidRPr="00000000">
              <w:rPr>
                <w:rtl w:val="0"/>
              </w:rPr>
            </w:r>
          </w:p>
        </w:tc>
      </w:tr>
      <w:tr>
        <w:trPr>
          <w:cantSplit w:val="0"/>
          <w:tblHeader w:val="0"/>
        </w:trPr>
        <w:tc>
          <w:tcPr>
            <w:shd w:fill="fafcfe" w:val="clear"/>
            <w:tcMar>
              <w:top w:w="90.0" w:type="dxa"/>
              <w:bottom w:w="90.0" w:type="dxa"/>
            </w:tcMar>
            <w:vAlign w:val="center"/>
          </w:tcPr>
          <w:p w:rsidR="00000000" w:rsidDel="00000000" w:rsidP="00000000" w:rsidRDefault="00000000" w:rsidRPr="00000000" w14:paraId="00000088">
            <w:pPr>
              <w:rPr/>
            </w:pPr>
            <w:r w:rsidDel="00000000" w:rsidR="00000000" w:rsidRPr="00000000">
              <w:rPr>
                <w:color w:val="2c2c2c"/>
                <w:sz w:val="20"/>
                <w:szCs w:val="20"/>
                <w:rtl w:val="0"/>
              </w:rPr>
              <w:t xml:space="preserve">Phase 3 enterprise and scale documents</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89">
            <w:pPr>
              <w:rPr/>
            </w:pPr>
            <w:r w:rsidDel="00000000" w:rsidR="00000000" w:rsidRPr="00000000">
              <w:rPr>
                <w:color w:val="2c2c2c"/>
                <w:sz w:val="20"/>
                <w:szCs w:val="20"/>
                <w:rtl w:val="0"/>
              </w:rPr>
              <w:t xml:space="preserve">Outstanding</w:t>
            </w:r>
            <w:r w:rsidDel="00000000" w:rsidR="00000000" w:rsidRPr="00000000">
              <w:rPr>
                <w:rtl w:val="0"/>
              </w:rPr>
            </w:r>
          </w:p>
        </w:tc>
        <w:tc>
          <w:tcPr>
            <w:shd w:fill="fafcfe" w:val="clear"/>
            <w:tcMar>
              <w:top w:w="90.0" w:type="dxa"/>
              <w:bottom w:w="90.0" w:type="dxa"/>
            </w:tcMar>
            <w:vAlign w:val="center"/>
          </w:tcPr>
          <w:p w:rsidR="00000000" w:rsidDel="00000000" w:rsidP="00000000" w:rsidRDefault="00000000" w:rsidRPr="00000000" w14:paraId="0000008A">
            <w:pPr>
              <w:rPr/>
            </w:pPr>
            <w:r w:rsidDel="00000000" w:rsidR="00000000" w:rsidRPr="00000000">
              <w:rPr>
                <w:color w:val="2c2c2c"/>
                <w:sz w:val="20"/>
                <w:szCs w:val="20"/>
                <w:rtl w:val="0"/>
              </w:rPr>
              <w:t xml:space="preserve">Required before enterprise-grade production deployment.</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shd w:fill="eef4f9" w:val="clear"/>
            <w:tcMar>
              <w:top w:w="110.0" w:type="dxa"/>
              <w:bottom w:w="110.0" w:type="dxa"/>
            </w:tcMar>
          </w:tcPr>
          <w:p w:rsidR="00000000" w:rsidDel="00000000" w:rsidP="00000000" w:rsidRDefault="00000000" w:rsidRPr="00000000" w14:paraId="0000008C">
            <w:pPr>
              <w:rPr/>
            </w:pPr>
            <w:r w:rsidDel="00000000" w:rsidR="00000000" w:rsidRPr="00000000">
              <w:rPr>
                <w:b w:val="1"/>
                <w:bCs w:val="1"/>
                <w:color w:val="1a456a"/>
                <w:sz w:val="21"/>
                <w:szCs w:val="21"/>
                <w:rtl w:val="0"/>
              </w:rPr>
              <w:t xml:space="preserve">Honest assessment:  </w:t>
            </w:r>
            <w:r w:rsidDel="00000000" w:rsidR="00000000" w:rsidRPr="00000000">
              <w:rPr>
                <w:color w:val="2c2c2c"/>
                <w:sz w:val="20"/>
                <w:szCs w:val="20"/>
                <w:rtl w:val="0"/>
              </w:rPr>
              <w:t xml:space="preserve">At present, none of the Phase 1 backend documents exist in build-ready form. That is the gap.</w:t>
            </w:r>
            <w:r w:rsidDel="00000000" w:rsidR="00000000" w:rsidRPr="00000000">
              <w:rPr>
                <w:rtl w:val="0"/>
              </w:rPr>
            </w:r>
          </w:p>
        </w:tc>
      </w:tr>
    </w:tbl>
    <w:p w:rsidR="00000000" w:rsidDel="00000000" w:rsidP="00000000" w:rsidRDefault="00000000" w:rsidRPr="00000000" w14:paraId="0000008D">
      <w:pPr>
        <w:spacing w:after="100" w:before="200" w:lineRule="auto"/>
        <w:rPr/>
      </w:pPr>
      <w:r w:rsidDel="00000000" w:rsidR="00000000" w:rsidRPr="00000000">
        <w:rPr>
          <w:b w:val="1"/>
          <w:bCs w:val="1"/>
          <w:color w:val="1a456a"/>
          <w:sz w:val="33"/>
          <w:szCs w:val="33"/>
          <w:rtl w:val="0"/>
        </w:rPr>
        <w:t xml:space="preserve">8. Risks of Starting Without the Outstanding Documents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Fragmented services with overlapping ownership.</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Governance implemented as an afterthought rather than a structural control layer.</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Inconsistent decisioning and action classification across domains.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Connector and workflow behaviours diverging by team or engineer.</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Financial attribution implemented inconsistently or without finance-grade trust.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Expensive re-architecture once autonomous execution and enterprise governance need to be tightened.</w:t>
      </w:r>
      <w:r w:rsidDel="00000000" w:rsidR="00000000" w:rsidRPr="00000000">
        <w:rPr>
          <w:rtl w:val="0"/>
        </w:rPr>
      </w:r>
    </w:p>
    <w:p w:rsidR="00000000" w:rsidDel="00000000" w:rsidP="00000000" w:rsidRDefault="00000000" w:rsidRPr="00000000" w14:paraId="00000094">
      <w:pPr>
        <w:spacing w:after="100" w:before="200" w:lineRule="auto"/>
        <w:rPr/>
      </w:pPr>
      <w:r w:rsidDel="00000000" w:rsidR="00000000" w:rsidRPr="00000000">
        <w:rPr>
          <w:b w:val="1"/>
          <w:bCs w:val="1"/>
          <w:color w:val="1a456a"/>
          <w:sz w:val="33"/>
          <w:szCs w:val="33"/>
          <w:rtl w:val="0"/>
        </w:rPr>
        <w:t xml:space="preserve">9. Immediate Build Recommendation</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b w:val="0"/>
          <w:bCs w:val="0"/>
          <w:i w:val="0"/>
          <w:iCs w:val="0"/>
          <w:color w:val="2c2c2c"/>
          <w:sz w:val="21"/>
          <w:szCs w:val="21"/>
          <w:rtl w:val="0"/>
        </w:rPr>
        <w:t xml:space="preserve">The correct next document is:</w:t>
      </w:r>
      <w:r w:rsidDel="00000000" w:rsidR="00000000" w:rsidRPr="00000000">
        <w:rPr>
          <w:rtl w:val="0"/>
        </w:rPr>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shd w:fill="eef4f9" w:val="clear"/>
            <w:tcMar>
              <w:top w:w="110.0" w:type="dxa"/>
              <w:bottom w:w="110.0" w:type="dxa"/>
            </w:tcMar>
          </w:tcPr>
          <w:p w:rsidR="00000000" w:rsidDel="00000000" w:rsidP="00000000" w:rsidRDefault="00000000" w:rsidRPr="00000000" w14:paraId="00000096">
            <w:pPr>
              <w:rPr/>
            </w:pPr>
            <w:r w:rsidDel="00000000" w:rsidR="00000000" w:rsidRPr="00000000">
              <w:rPr>
                <w:b w:val="1"/>
                <w:bCs w:val="1"/>
                <w:color w:val="1a456a"/>
                <w:sz w:val="21"/>
                <w:szCs w:val="21"/>
                <w:rtl w:val="0"/>
              </w:rPr>
              <w:t xml:space="preserve">Document 1:  </w:t>
            </w:r>
            <w:r w:rsidDel="00000000" w:rsidR="00000000" w:rsidRPr="00000000">
              <w:rPr>
                <w:color w:val="2c2c2c"/>
                <w:sz w:val="20"/>
                <w:szCs w:val="20"/>
                <w:rtl w:val="0"/>
              </w:rPr>
              <w:t xml:space="preserve">Canonical Domain &amp; Bounded Context Specification</w:t>
            </w:r>
            <w:r w:rsidDel="00000000" w:rsidR="00000000" w:rsidRPr="00000000">
              <w:rPr>
                <w:rtl w:val="0"/>
              </w:rPr>
            </w:r>
          </w:p>
        </w:tc>
      </w:tr>
    </w:tbl>
    <w:p w:rsidR="00000000" w:rsidDel="00000000" w:rsidP="00000000" w:rsidRDefault="00000000" w:rsidRPr="00000000" w14:paraId="00000097">
      <w:pPr>
        <w:spacing w:after="80" w:lineRule="auto"/>
        <w:rPr/>
      </w:pPr>
      <w:r w:rsidDel="00000000" w:rsidR="00000000" w:rsidRPr="00000000">
        <w:rPr>
          <w:b w:val="0"/>
          <w:bCs w:val="0"/>
          <w:i w:val="0"/>
          <w:iCs w:val="0"/>
          <w:color w:val="2c2c2c"/>
          <w:sz w:val="21"/>
          <w:szCs w:val="21"/>
          <w:rtl w:val="0"/>
        </w:rPr>
        <w:t xml:space="preserve">Reason: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It establishes ownership boundaries across content execution, campaign management, channel orchestration, contact and audience management, governance, decisioning, attribution, and integrations.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Every other backend document depends on a stable domain map.</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It is the highest-leverage document for preventing architectural drift.</w:t>
      </w:r>
      <w:r w:rsidDel="00000000" w:rsidR="00000000" w:rsidRPr="00000000">
        <w:rPr>
          <w:rtl w:val="0"/>
        </w:rPr>
      </w:r>
    </w:p>
    <w:p w:rsidR="00000000" w:rsidDel="00000000" w:rsidP="00000000" w:rsidRDefault="00000000" w:rsidRPr="00000000" w14:paraId="0000009B">
      <w:pPr>
        <w:spacing w:after="100" w:before="200" w:lineRule="auto"/>
        <w:rPr/>
      </w:pPr>
      <w:r w:rsidDel="00000000" w:rsidR="00000000" w:rsidRPr="00000000">
        <w:rPr>
          <w:b w:val="1"/>
          <w:bCs w:val="1"/>
          <w:color w:val="1a456a"/>
          <w:sz w:val="33"/>
          <w:szCs w:val="33"/>
          <w:rtl w:val="0"/>
        </w:rPr>
        <w:t xml:space="preserve">10. Final CTO Conclusion</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b w:val="0"/>
          <w:bCs w:val="0"/>
          <w:i w:val="0"/>
          <w:iCs w:val="0"/>
          <w:color w:val="2c2c2c"/>
          <w:sz w:val="21"/>
          <w:szCs w:val="21"/>
          <w:rtl w:val="0"/>
        </w:rPr>
        <w:t xml:space="preserve">You currently have the right foundation documents for strategy and top-level architecture. You do not yet have the detailed backend engineering pack required to build ZoikoVertex without interpretation risk.</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b w:val="0"/>
          <w:bCs w:val="0"/>
          <w:i w:val="0"/>
          <w:iCs w:val="0"/>
          <w:color w:val="2c2c2c"/>
          <w:sz w:val="21"/>
          <w:szCs w:val="21"/>
          <w:rtl w:val="0"/>
        </w:rPr>
        <w:t xml:space="preserve">The architecture documentation should therefore be prepared in three phases: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Phase 1: core system definition and engineering unblock</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Phase 2: intelligence and governed execution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2c2c"/>
          <w:sz w:val="20"/>
          <w:szCs w:val="20"/>
          <w:u w:val="none"/>
          <w:shd w:fill="auto" w:val="clear"/>
          <w:vertAlign w:val="baseline"/>
          <w:rtl w:val="0"/>
        </w:rPr>
        <w:t xml:space="preserve">Phase 3: finance, trust, enterprise readiness, and scale</w:t>
      </w:r>
      <w:r w:rsidDel="00000000" w:rsidR="00000000" w:rsidRPr="00000000">
        <w:rPr>
          <w:rtl w:val="0"/>
        </w:rPr>
      </w:r>
    </w:p>
    <w:tbl>
      <w:tblPr>
        <w:tblStyle w:val="Table12"/>
        <w:tblW w:w="10080.0" w:type="dxa"/>
        <w:jc w:val="center"/>
        <w:tblLayout w:type="fixed"/>
        <w:tblLook w:val="0400"/>
      </w:tblPr>
      <w:tblGrid>
        <w:gridCol w:w="10080"/>
        <w:tblGridChange w:id="0">
          <w:tblGrid>
            <w:gridCol w:w="10080"/>
          </w:tblGrid>
        </w:tblGridChange>
      </w:tblGrid>
      <w:tr>
        <w:trPr>
          <w:cantSplit w:val="0"/>
          <w:tblHeader w:val="0"/>
        </w:trPr>
        <w:tc>
          <w:tcPr>
            <w:shd w:fill="eef4f9" w:val="clear"/>
            <w:tcMar>
              <w:top w:w="110.0" w:type="dxa"/>
              <w:bottom w:w="110.0" w:type="dxa"/>
            </w:tcMar>
          </w:tcPr>
          <w:p w:rsidR="00000000" w:rsidDel="00000000" w:rsidP="00000000" w:rsidRDefault="00000000" w:rsidRPr="00000000" w14:paraId="000000A1">
            <w:pPr>
              <w:rPr/>
            </w:pPr>
            <w:r w:rsidDel="00000000" w:rsidR="00000000" w:rsidRPr="00000000">
              <w:rPr>
                <w:b w:val="1"/>
                <w:bCs w:val="1"/>
                <w:color w:val="1a456a"/>
                <w:sz w:val="21"/>
                <w:szCs w:val="21"/>
                <w:rtl w:val="0"/>
              </w:rPr>
              <w:t xml:space="preserve">Bottom line:  </w:t>
            </w:r>
            <w:r w:rsidDel="00000000" w:rsidR="00000000" w:rsidRPr="00000000">
              <w:rPr>
                <w:color w:val="2c2c2c"/>
                <w:sz w:val="20"/>
                <w:szCs w:val="20"/>
                <w:rtl w:val="0"/>
              </w:rPr>
              <w:t xml:space="preserve">The next serious engineering step is not more product positioning. It is Document 1 — the Canonical Domain &amp; Bounded Context Specification — followed by the rest of Phase 1 in order.</w:t>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864" w:top="864"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