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ZoikoVertex — Phase 1 Architecture &amp;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Core System Architecture &amp; Execution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 LOCKED — No changes without formal architectural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Phase 1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Phase 1 represents the foundational architecture of ZoikoVertex. It defines how the system is structured, how decisions are made, how governance is enforced, and how execution occurs under strict control.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Document 1 — Domain &amp; Bounded Contexts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Defines system domains and ownership boundaries.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Prevents monolithic architecture and ensures scalability.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Acts as the structural skeleton of the platform.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Document 2 — Governance Engine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Defines non-bypassable policy enforcement layer.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Ensures compliance, approvals, and risk control.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Acts as the system’s control and trust layer.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Document 3 — Decision Engine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Transforms intent into executable decisions.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Applies governance and economic validation.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Acts as the intelligence core of the system.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Document 4 — Data Model &amp; Database Architecture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Defines all entities and relationships.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Supports auditability, multi-tenancy, and scalability.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Acts as the system’s memory layer.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Document 5 — Event Taxonomy &amp; Contracts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Defines system communication via events.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Ensures asynchronous reliability and traceability.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Acts as the system’s nervous system.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Document 6 — API Architecture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Defines all system interfaces and integrations.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Supports external platforms and internal services.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Acts as the system’s interface layer.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Document 7 — Agent Operating Contract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Defines how agents behave and operate safely.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Controls autonomy, execution rights, and limits.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Acts as the system’s control mechanism for AI agents.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System Interaction Flow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Agent → Intent API → Event Emission → Decision Engine → Governance Engine → Execution → Event Logging → Data Storage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Final CTO Position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Phase 1 is architecturally complete and locked. It establishes ZoikoVertex as a governed execution platform with enterprise-grade control, auditability, and intelligence. Any further development must build upon this foundation.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