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54.0" w:type="dxa"/>
        <w:jc w:val="center"/>
        <w:tblLayout w:type="fixed"/>
        <w:tblLook w:val="0400"/>
      </w:tblPr>
      <w:tblGrid>
        <w:gridCol w:w="10454"/>
        <w:tblGridChange w:id="0">
          <w:tblGrid>
            <w:gridCol w:w="1045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4101e" w:space="0" w:sz="4" w:val="single"/>
              <w:left w:color="14101e" w:space="0" w:sz="4" w:val="single"/>
              <w:bottom w:color="14101e" w:space="0" w:sz="4" w:val="single"/>
              <w:right w:color="14101e" w:space="0" w:sz="4" w:val="single"/>
            </w:tcBorders>
            <w:shd w:fill="14101e" w:val="clear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3e3b3"/>
                <w:sz w:val="52"/>
                <w:szCs w:val="52"/>
                <w:rtl w:val="0"/>
              </w:rPr>
              <w:t xml:space="preserve">Z  ZoikoVertex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color w:val="fff7e6"/>
                <w:sz w:val="21"/>
                <w:szCs w:val="21"/>
                <w:rtl w:val="0"/>
              </w:rPr>
              <w:t xml:space="preserve">Governed Autonomous Agentic-Intelligence Social Media Management Platform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b w:val="1"/>
          <w:bCs w:val="1"/>
          <w:color w:val="14101e"/>
          <w:sz w:val="44"/>
          <w:szCs w:val="44"/>
          <w:rtl w:val="0"/>
        </w:rPr>
        <w:t xml:space="preserve">Policy Center &amp; Governance Rules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b w:val="1"/>
          <w:bCs w:val="1"/>
          <w:color w:val="7b3ff2"/>
          <w:sz w:val="26"/>
          <w:szCs w:val="26"/>
          <w:rtl w:val="0"/>
        </w:rPr>
        <w:t xml:space="preserve">Wireframe Specification and Governance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7b3ff2" w:space="1" w:sz="18" w:val="single"/>
        </w:pBd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5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7b3ff2" w:val="clear"/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7b3ff2" w:val="clear"/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Prepared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ZoikoVertex Product, Engineering, Governance, Design, Commercial, and Executive Teams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Document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Locked Export Draft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Language 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American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Strategic 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Fortune 10 quality |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G</w:t>
            </w: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overnance and enterprise-grade build readiness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Platform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Governed autonomous agentic-intelligence social media management platform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454.0" w:type="dxa"/>
        <w:jc w:val="center"/>
        <w:tblLayout w:type="fixed"/>
        <w:tblLook w:val="0400"/>
      </w:tblPr>
      <w:tblGrid>
        <w:gridCol w:w="10454"/>
        <w:tblGridChange w:id="0">
          <w:tblGrid>
            <w:gridCol w:w="1045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a227" w:space="0" w:sz="12" w:val="single"/>
              <w:left w:color="c9a227" w:space="0" w:sz="18" w:val="single"/>
              <w:bottom w:color="c9a227" w:space="0" w:sz="12" w:val="single"/>
              <w:right w:color="c9a227" w:space="0" w:sz="12" w:val="single"/>
            </w:tcBorders>
            <w:shd w:fill="fff7e6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14101e"/>
                <w:sz w:val="20"/>
                <w:szCs w:val="20"/>
                <w:rtl w:val="0"/>
              </w:rPr>
              <w:t xml:space="preserve">Executive Thesis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color w:val="14101e"/>
                <w:sz w:val="18"/>
                <w:szCs w:val="18"/>
                <w:rtl w:val="0"/>
              </w:rPr>
              <w:t xml:space="preserve">The Policy Center &amp; Governance Rules Engine is the dynamic compliance layer of ZoikoVertex. It converts enterprise policies into enforceable, auditable, real-time operating rules for agents, humans, approval routes, publishing workflows, knowledge access, platform accounts, and evidence systems.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color w:val="6b7280"/>
          <w:sz w:val="16"/>
          <w:szCs w:val="16"/>
          <w:rtl w:val="0"/>
        </w:rPr>
        <w:t xml:space="preserve">Confidential - Internal Strategy, Product, and Engineering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Contents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19"/>
          <w:szCs w:val="19"/>
          <w:u w:val="none"/>
          <w:shd w:fill="auto" w:val="clear"/>
          <w:vertAlign w:val="baseline"/>
          <w:rtl w:val="0"/>
        </w:rPr>
        <w:t xml:space="preserve">1. Strategic Positioning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19"/>
          <w:szCs w:val="19"/>
          <w:u w:val="none"/>
          <w:shd w:fill="auto" w:val="clear"/>
          <w:vertAlign w:val="baseline"/>
          <w:rtl w:val="0"/>
        </w:rPr>
        <w:t xml:space="preserve">2. Product Naming Refinement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19"/>
          <w:szCs w:val="19"/>
          <w:u w:val="none"/>
          <w:shd w:fill="auto" w:val="clear"/>
          <w:vertAlign w:val="baseline"/>
          <w:rtl w:val="0"/>
        </w:rPr>
        <w:t xml:space="preserve">3. Parent-Child Policy Nesting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19"/>
          <w:szCs w:val="19"/>
          <w:u w:val="none"/>
          <w:shd w:fill="auto" w:val="clear"/>
          <w:vertAlign w:val="baseline"/>
          <w:rtl w:val="0"/>
        </w:rPr>
        <w:t xml:space="preserve">4. Temporal Guardrails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19"/>
          <w:szCs w:val="19"/>
          <w:u w:val="none"/>
          <w:shd w:fill="auto" w:val="clear"/>
          <w:vertAlign w:val="baseline"/>
          <w:rtl w:val="0"/>
        </w:rPr>
        <w:t xml:space="preserve">5. Simulation &amp; Red-Team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19"/>
          <w:szCs w:val="19"/>
          <w:u w:val="none"/>
          <w:shd w:fill="auto" w:val="clear"/>
          <w:vertAlign w:val="baseline"/>
          <w:rtl w:val="0"/>
        </w:rPr>
        <w:t xml:space="preserve">6. Deterministic Conflict 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19"/>
          <w:szCs w:val="19"/>
          <w:u w:val="none"/>
          <w:shd w:fill="auto" w:val="clear"/>
          <w:vertAlign w:val="baseline"/>
          <w:rtl w:val="0"/>
        </w:rPr>
        <w:t xml:space="preserve">7. Governance Artifacts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19"/>
          <w:szCs w:val="19"/>
          <w:u w:val="none"/>
          <w:shd w:fill="auto" w:val="clear"/>
          <w:vertAlign w:val="baseline"/>
          <w:rtl w:val="0"/>
        </w:rPr>
        <w:t xml:space="preserve">8. Resiliency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19"/>
          <w:szCs w:val="19"/>
          <w:u w:val="none"/>
          <w:shd w:fill="auto" w:val="clear"/>
          <w:vertAlign w:val="baseline"/>
          <w:rtl w:val="0"/>
        </w:rPr>
        <w:t xml:space="preserve">9. Policy Health &amp; Governance ROI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19"/>
          <w:szCs w:val="19"/>
          <w:u w:val="none"/>
          <w:shd w:fill="auto" w:val="clear"/>
          <w:vertAlign w:val="baseline"/>
          <w:rtl w:val="0"/>
        </w:rPr>
        <w:t xml:space="preserve">10. Policy-as-a-Service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19"/>
          <w:szCs w:val="19"/>
          <w:u w:val="none"/>
          <w:shd w:fill="auto" w:val="clear"/>
          <w:vertAlign w:val="baseline"/>
          <w:rtl w:val="0"/>
        </w:rPr>
        <w:t xml:space="preserve">11. Policy-as-Code Capability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19"/>
          <w:szCs w:val="19"/>
          <w:u w:val="none"/>
          <w:shd w:fill="auto" w:val="clear"/>
          <w:vertAlign w:val="baseline"/>
          <w:rtl w:val="0"/>
        </w:rPr>
        <w:t xml:space="preserve">12. Final Tier-0 Architecture Layers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19"/>
          <w:szCs w:val="19"/>
          <w:u w:val="none"/>
          <w:shd w:fill="auto" w:val="clear"/>
          <w:vertAlign w:val="baseline"/>
          <w:rtl w:val="0"/>
        </w:rPr>
        <w:t xml:space="preserve">13. Wireframe Navigation and Screen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19"/>
          <w:szCs w:val="19"/>
          <w:u w:val="none"/>
          <w:shd w:fill="auto" w:val="clear"/>
          <w:vertAlign w:val="baseline"/>
          <w:rtl w:val="0"/>
        </w:rPr>
        <w:t xml:space="preserve">14. Build Requirements for Product, Design, and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19"/>
          <w:szCs w:val="19"/>
          <w:u w:val="none"/>
          <w:shd w:fill="auto" w:val="clear"/>
          <w:vertAlign w:val="baseline"/>
          <w:rtl w:val="0"/>
        </w:rPr>
        <w:t xml:space="preserve">15. Final Verdict and Next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1. Strategic Positioning</w:t>
      </w:r>
    </w:p>
    <w:tbl>
      <w:tblPr>
        <w:tblStyle w:val="Table4"/>
        <w:tblW w:w="10454.0" w:type="dxa"/>
        <w:jc w:val="center"/>
        <w:tblLayout w:type="fixed"/>
        <w:tblLook w:val="0400"/>
      </w:tblPr>
      <w:tblGrid>
        <w:gridCol w:w="10454"/>
        <w:tblGridChange w:id="0">
          <w:tblGrid>
            <w:gridCol w:w="1045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3ff2" w:space="0" w:sz="12" w:val="single"/>
              <w:left w:color="7b3ff2" w:space="0" w:sz="18" w:val="single"/>
              <w:bottom w:color="7b3ff2" w:space="0" w:sz="12" w:val="single"/>
              <w:right w:color="7b3ff2" w:space="0" w:sz="12" w:val="single"/>
            </w:tcBorders>
            <w:shd w:fill="f7f3ff" w:val="clea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color w:val="14101e"/>
                <w:sz w:val="20"/>
                <w:szCs w:val="20"/>
                <w:rtl w:val="0"/>
              </w:rPr>
              <w:t xml:space="preserve">Final Positioning Line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color w:val="14101e"/>
                <w:sz w:val="18"/>
                <w:szCs w:val="18"/>
                <w:rtl w:val="0"/>
              </w:rPr>
              <w:t xml:space="preserve">The Policy Center is the governance control plane that converts enterprise policy into enforceable, auditable, real-time operating rules for agentic AI and social media management.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19"/>
          <w:szCs w:val="19"/>
          <w:u w:val="none"/>
          <w:shd w:fill="auto" w:val="clear"/>
          <w:vertAlign w:val="baseline"/>
          <w:rtl w:val="0"/>
        </w:rPr>
        <w:t xml:space="preserve">Defines what agents, users, workflows, approvals, platforms, audiences, and publishing routes are permitted to 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19"/>
          <w:szCs w:val="19"/>
          <w:u w:val="none"/>
          <w:shd w:fill="auto" w:val="clear"/>
          <w:vertAlign w:val="baseline"/>
          <w:rtl w:val="0"/>
        </w:rPr>
        <w:t xml:space="preserve">Controls how ZoikoVertex behaves when risk, legal sensitivity, market conditions, brand rules, or jurisdictional constraints change.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19"/>
          <w:szCs w:val="19"/>
          <w:u w:val="none"/>
          <w:shd w:fill="auto" w:val="clear"/>
          <w:vertAlign w:val="baseline"/>
          <w:rtl w:val="0"/>
        </w:rPr>
        <w:t xml:space="preserve">Transforms policy from static documentation into machine-readable operational governance.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19"/>
          <w:szCs w:val="19"/>
          <w:u w:val="none"/>
          <w:shd w:fill="auto" w:val="clear"/>
          <w:vertAlign w:val="baseline"/>
          <w:rtl w:val="0"/>
        </w:rPr>
        <w:t xml:space="preserve">Creates defensible evidence whenever a policy allows, blocks, escalates, or modifies a workflow or publishing 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19"/>
          <w:szCs w:val="19"/>
          <w:u w:val="none"/>
          <w:shd w:fill="auto" w:val="clear"/>
          <w:vertAlign w:val="baseline"/>
          <w:rtl w:val="0"/>
        </w:rPr>
        <w:t xml:space="preserve">Supports ZoikoVertex’s category-defining position as a governed autonomous agentic-intelligence social media management platform, not a commodity scheduling tool.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r w:rsidDel="00000000" w:rsidR="00000000" w:rsidRPr="00000000">
        <w:rPr>
          <w:rtl w:val="0"/>
        </w:rPr>
        <w:t xml:space="preserve">2. Product Naming Refinement</w:t>
      </w:r>
    </w:p>
    <w:tbl>
      <w:tblPr>
        <w:tblStyle w:val="Table5"/>
        <w:tblW w:w="104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85"/>
        <w:gridCol w:w="3485"/>
        <w:gridCol w:w="3485"/>
        <w:tblGridChange w:id="0">
          <w:tblGrid>
            <w:gridCol w:w="3485"/>
            <w:gridCol w:w="3485"/>
            <w:gridCol w:w="34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211a31" w:val="clear"/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Existing 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211a31" w:val="clear"/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Final Product 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211a31" w:val="clear"/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Policy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Policy 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Clear, enterprise-grade, and understandable for administrators.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Rule Builder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Policy Logic Builder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Buildable product language that still signals governance intelligence.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Enforcement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Enforcement &amp; Protocol Adherence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Preserves clarity while adding enterprise rigor.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Fail-Safe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Resiliency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Executive-grade language focused on continuity and controlled degradation.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Governance Artifact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Stronger for audit, legal, regulatory, and procurement use cases.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Policy Simulation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Simulation &amp; Red-Team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Adds adversarial validation without losing product clarity.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/>
      </w:pPr>
      <w:r w:rsidDel="00000000" w:rsidR="00000000" w:rsidRPr="00000000">
        <w:rPr>
          <w:rtl w:val="0"/>
        </w:rPr>
        <w:t xml:space="preserve">3. Parent-Child Policy Nesting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19"/>
          <w:szCs w:val="19"/>
          <w:u w:val="none"/>
          <w:shd w:fill="auto" w:val="clear"/>
          <w:vertAlign w:val="baseline"/>
          <w:rtl w:val="0"/>
        </w:rPr>
        <w:t xml:space="preserve">ZoikoVertex must support policy inheritance across enterprise, workspace, business unit, brand, market, platform, campaign, workflow, and agent levels.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19"/>
          <w:szCs w:val="19"/>
          <w:u w:val="none"/>
          <w:shd w:fill="auto" w:val="clear"/>
          <w:vertAlign w:val="baseline"/>
          <w:rtl w:val="0"/>
        </w:rPr>
        <w:t xml:space="preserve">Lower-level policies may add stricter controls but must not weaken higher-level controls without an authorized exception.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19"/>
          <w:szCs w:val="19"/>
          <w:u w:val="none"/>
          <w:shd w:fill="auto" w:val="clear"/>
          <w:vertAlign w:val="baseline"/>
          <w:rtl w:val="0"/>
        </w:rPr>
        <w:t xml:space="preserve">Every exception must capture approving authority, business reason, affected scope, expiry date, and Evidence Vault reference.</w:t>
      </w:r>
      <w:r w:rsidDel="00000000" w:rsidR="00000000" w:rsidRPr="00000000">
        <w:rPr>
          <w:rtl w:val="0"/>
        </w:rPr>
      </w:r>
    </w:p>
    <w:tbl>
      <w:tblPr>
        <w:tblStyle w:val="Table6"/>
        <w:tblW w:w="104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85"/>
        <w:gridCol w:w="3485"/>
        <w:gridCol w:w="3485"/>
        <w:tblGridChange w:id="0">
          <w:tblGrid>
            <w:gridCol w:w="3485"/>
            <w:gridCol w:w="3485"/>
            <w:gridCol w:w="34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211a31" w:val="clear"/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Hierarchy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211a31" w:val="clear"/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211a31" w:val="clear"/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Override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Global non-negotiable rules across the organization.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Cannot be weakened below without executive governance exception.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Workspace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Rules for the customer workspace or tenant.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Must inherit enterprise restrictions.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Business 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Regional, divisional, or operational controls.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Can add stricter local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Brand voice, visual, tone, and subject-matter restrictions.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Cannot conflict with legal or enterprise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Market / Jurisdiction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Country, state, region, or regulated-market constraints.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Overrides campaign convenience where law or risk requires.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Platform-specific publishing and content rules.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Must comply with API and platform policy requirements.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Campaign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Campaign-specific strategy, audience, and approval rules.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Cannot override higher-level risk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Operational approval, routing, escalation, and SLA requirements.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Must observe policy hierarchy.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Autonomy limits and agent-specific permissions.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Agent permissions must remain subordinate to all policy controls.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/>
      </w:pPr>
      <w:r w:rsidDel="00000000" w:rsidR="00000000" w:rsidRPr="00000000">
        <w:rPr>
          <w:rtl w:val="0"/>
        </w:rPr>
        <w:t xml:space="preserve">4. Temporal Guardrails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19"/>
          <w:szCs w:val="19"/>
          <w:u w:val="none"/>
          <w:shd w:fill="auto" w:val="clear"/>
          <w:vertAlign w:val="baseline"/>
          <w:rtl w:val="0"/>
        </w:rPr>
        <w:t xml:space="preserve">Policies must be time-aware and capable of automatically activating or expiring based on business, regulatory, campaign, or crisis windows.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19"/>
          <w:szCs w:val="19"/>
          <w:u w:val="none"/>
          <w:shd w:fill="auto" w:val="clear"/>
          <w:vertAlign w:val="baseline"/>
          <w:rtl w:val="0"/>
        </w:rPr>
        <w:t xml:space="preserve">During restricted periods, agents may be downgraded to L1 Assistive Mode, publishing may be blocked, and approval routes may be escalated.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19"/>
          <w:szCs w:val="19"/>
          <w:u w:val="none"/>
          <w:shd w:fill="auto" w:val="clear"/>
          <w:vertAlign w:val="baseline"/>
          <w:rtl w:val="0"/>
        </w:rPr>
        <w:t xml:space="preserve">Temporal Guardrails must be visible in the Policy Center, Approval Workflow Engine, Publishing Hub, Calendar, and Evidence Vault.</w:t>
      </w:r>
      <w:r w:rsidDel="00000000" w:rsidR="00000000" w:rsidRPr="00000000">
        <w:rPr>
          <w:rtl w:val="0"/>
        </w:rPr>
      </w:r>
    </w:p>
    <w:tbl>
      <w:tblPr>
        <w:tblStyle w:val="Table7"/>
        <w:tblW w:w="1045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211a31" w:val="clear"/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Temporal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211a31" w:val="clear"/>
            <w:vAlign w:val="center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Governance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Quiet periods and earnings windows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Restrict financial, forward-looking, executive, and investor-sensitive content.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Blackout windows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Block or escalate autonomous publishing for defined users, brands, or topics.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Crisis periods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Auto-pause sensitive campaigns and route content through elevated approval.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Embargo periods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Prevent publishing until the authorized release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Regulatory filing windows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Restrict claims, market commentary, or legal-sensitive messaging.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Campaign launch windows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Allow stricter pre-launch review and post-launch monitoring.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/>
      </w:pPr>
      <w:r w:rsidDel="00000000" w:rsidR="00000000" w:rsidRPr="00000000">
        <w:rPr>
          <w:rtl w:val="0"/>
        </w:rPr>
        <w:t xml:space="preserve">5. Simulation &amp; Red-Team Testing</w:t>
      </w:r>
    </w:p>
    <w:tbl>
      <w:tblPr>
        <w:tblStyle w:val="Table8"/>
        <w:tblW w:w="10454.0" w:type="dxa"/>
        <w:jc w:val="center"/>
        <w:tblLayout w:type="fixed"/>
        <w:tblLook w:val="0400"/>
      </w:tblPr>
      <w:tblGrid>
        <w:gridCol w:w="10454"/>
        <w:tblGridChange w:id="0">
          <w:tblGrid>
            <w:gridCol w:w="1045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a227" w:space="0" w:sz="12" w:val="single"/>
              <w:left w:color="c9a227" w:space="0" w:sz="18" w:val="single"/>
              <w:bottom w:color="c9a227" w:space="0" w:sz="12" w:val="single"/>
              <w:right w:color="c9a227" w:space="0" w:sz="12" w:val="single"/>
            </w:tcBorders>
            <w:shd w:fill="fff7e6" w:val="clea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color w:val="14101e"/>
                <w:sz w:val="20"/>
                <w:szCs w:val="20"/>
                <w:rtl w:val="0"/>
              </w:rPr>
              <w:t xml:space="preserve">Design Requirement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color w:val="14101e"/>
                <w:sz w:val="18"/>
                <w:szCs w:val="18"/>
                <w:rtl w:val="0"/>
              </w:rPr>
              <w:t xml:space="preserve">The Policy Center must allow Governance Admins, Security Admins, Agent Architects, and Auditors to test whether a policy works before it enters production.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45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211a31" w:val="clear"/>
            <w:vAlign w:val="center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Test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211a31" w:val="clear"/>
            <w:vAlign w:val="center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Standard Simulation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Tests expected policy behavior against known content and workflow scenarios.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Historical Backtest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Tests a new policy against past posts, approvals, agent outputs, and incidents.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Red-Team Simulation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Attempts to bypass or break the policy before activation.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Edge-Case Simulation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Tests ambiguous, borderline, sensitive, or jurisdiction-specific scenarios.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Regression Simulation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Confirms a policy update does not break existing workflows.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19"/>
          <w:szCs w:val="19"/>
          <w:u w:val="none"/>
          <w:shd w:fill="auto" w:val="clear"/>
          <w:vertAlign w:val="baseline"/>
          <w:rtl w:val="0"/>
        </w:rPr>
        <w:t xml:space="preserve">Red-team scenarios must include prohibited claims, competitor references, restricted topics, missing citations, policy wording loopholes, platform compliance conflicts, prompt injection attempts, and approval bypass attempts.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19"/>
          <w:szCs w:val="19"/>
          <w:u w:val="none"/>
          <w:shd w:fill="auto" w:val="clear"/>
          <w:vertAlign w:val="baseline"/>
          <w:rtl w:val="0"/>
        </w:rPr>
        <w:t xml:space="preserve">Simulation results must be stored as Governance Artifacts when the policy is activated or materially changed.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19"/>
          <w:szCs w:val="19"/>
          <w:u w:val="none"/>
          <w:shd w:fill="auto" w:val="clear"/>
          <w:vertAlign w:val="baseline"/>
          <w:rtl w:val="0"/>
        </w:rPr>
        <w:t xml:space="preserve">Failed simulations must block production activation unless an authorized governance exception is recorded.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rPr/>
      </w:pPr>
      <w:r w:rsidDel="00000000" w:rsidR="00000000" w:rsidRPr="00000000">
        <w:rPr>
          <w:rtl w:val="0"/>
        </w:rPr>
        <w:t xml:space="preserve">6. Deterministic Conflict Resolution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19"/>
          <w:szCs w:val="19"/>
          <w:u w:val="none"/>
          <w:shd w:fill="auto" w:val="clear"/>
          <w:vertAlign w:val="baseline"/>
          <w:rtl w:val="0"/>
        </w:rPr>
        <w:t xml:space="preserve">Rule of Supremacy: legal, regulatory, security, and privacy rules override brand, campaign, workflow, and agent rules.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19"/>
          <w:szCs w:val="19"/>
          <w:u w:val="none"/>
          <w:shd w:fill="auto" w:val="clear"/>
          <w:vertAlign w:val="baseline"/>
          <w:rtl w:val="0"/>
        </w:rPr>
        <w:t xml:space="preserve">Strictness Default: if two policies of equal rank conflict, ZoikoVertex applies the stricter policy by default.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19"/>
          <w:szCs w:val="19"/>
          <w:u w:val="none"/>
          <w:shd w:fill="auto" w:val="clear"/>
          <w:vertAlign w:val="baseline"/>
          <w:rtl w:val="0"/>
        </w:rPr>
        <w:t xml:space="preserve">Evidence Requirement: every conflict resolution event creates an audit event and, where required, a Governance Artifact.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19"/>
          <w:szCs w:val="19"/>
          <w:u w:val="none"/>
          <w:shd w:fill="auto" w:val="clear"/>
          <w:vertAlign w:val="baseline"/>
          <w:rtl w:val="0"/>
        </w:rPr>
        <w:t xml:space="preserve">Reconciliation Alert: recurring or unresolved conflicts trigger high-priority notification to the Governance Admin.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19"/>
          <w:szCs w:val="19"/>
          <w:u w:val="none"/>
          <w:shd w:fill="auto" w:val="clear"/>
          <w:vertAlign w:val="baseline"/>
          <w:rtl w:val="0"/>
        </w:rPr>
        <w:t xml:space="preserve">No Silent Override: every override must capture reason, actor, authority, timestamp, affected versions, and scope.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rPr/>
      </w:pPr>
      <w:r w:rsidDel="00000000" w:rsidR="00000000" w:rsidRPr="00000000">
        <w:rPr>
          <w:rtl w:val="0"/>
        </w:rPr>
        <w:t xml:space="preserve">7. Governance Artifacts</w:t>
      </w:r>
    </w:p>
    <w:tbl>
      <w:tblPr>
        <w:tblStyle w:val="Table10"/>
        <w:tblW w:w="10454.0" w:type="dxa"/>
        <w:jc w:val="center"/>
        <w:tblLayout w:type="fixed"/>
        <w:tblLook w:val="0400"/>
      </w:tblPr>
      <w:tblGrid>
        <w:gridCol w:w="10454"/>
        <w:tblGridChange w:id="0">
          <w:tblGrid>
            <w:gridCol w:w="1045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3ff2" w:space="0" w:sz="12" w:val="single"/>
              <w:left w:color="7b3ff2" w:space="0" w:sz="18" w:val="single"/>
              <w:bottom w:color="7b3ff2" w:space="0" w:sz="12" w:val="single"/>
              <w:right w:color="7b3ff2" w:space="0" w:sz="12" w:val="single"/>
            </w:tcBorders>
            <w:shd w:fill="f7f3ff" w:val="clea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color w:val="14101e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color w:val="14101e"/>
                <w:sz w:val="18"/>
                <w:szCs w:val="18"/>
                <w:rtl w:val="0"/>
              </w:rPr>
              <w:t xml:space="preserve">A Governance Artifact is a system-generated, tamper-evident evidence bundle that proves which policy, rule, trigger, action, human decision, agent identity, and approval route governed a specific action at a specific time.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45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211a31" w:val="clear"/>
            <w:vAlign w:val="center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Required Artifact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211a31" w:val="clear"/>
            <w:vAlign w:val="center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Policy ID and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Identifies the governing policy used at decision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Rule ID and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Identifies the specific rule that fired.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Trigger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Captures what caused the policy decision.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Affected Content or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Shows the content, workflow, publishing event, or system action affected.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Agent Identity and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Records which AI agent was involved and its version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Autonomy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Captures the applicable autonomy level at decision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User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Identifies the human actor or approver where applicable.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Approval 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Records who reviewed, validated, authorized, or escalated the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Decision Trace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Explains the allow, block, escalate, modify, or exception result.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Risk, Faithfulness, and Trust Scores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Captures the key intelligence and governance metrics 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Knowledge 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Identifies sources used by the agent or workflow.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System Signature and 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Supports tamper-evident storage and later verification.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Evidence Vault 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Links to the immutable evidence record.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rPr/>
      </w:pPr>
      <w:r w:rsidDel="00000000" w:rsidR="00000000" w:rsidRPr="00000000">
        <w:rPr>
          <w:rtl w:val="0"/>
        </w:rPr>
        <w:t xml:space="preserve">8. Resiliency Mode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19"/>
          <w:szCs w:val="19"/>
          <w:u w:val="none"/>
          <w:shd w:fill="auto" w:val="clear"/>
          <w:vertAlign w:val="baseline"/>
          <w:rtl w:val="0"/>
        </w:rPr>
        <w:t xml:space="preserve">Resiliency Mode must use configurable Policy Engine Health Thresholds rather than a single fixed latency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19"/>
          <w:szCs w:val="19"/>
          <w:u w:val="none"/>
          <w:shd w:fill="auto" w:val="clear"/>
          <w:vertAlign w:val="baseline"/>
          <w:rtl w:val="0"/>
        </w:rPr>
        <w:t xml:space="preserve">If policy status cannot be verified, ZoikoVertex must not proceed autonomously.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19"/>
          <w:szCs w:val="19"/>
          <w:u w:val="none"/>
          <w:shd w:fill="auto" w:val="clear"/>
          <w:vertAlign w:val="baseline"/>
          <w:rtl w:val="0"/>
        </w:rPr>
        <w:t xml:space="preserve">The platform must fail closed, preserve workflow state, and restore autonomy only after governance verification is complete.</w:t>
      </w:r>
      <w:r w:rsidDel="00000000" w:rsidR="00000000" w:rsidRPr="00000000">
        <w:rPr>
          <w:rtl w:val="0"/>
        </w:rPr>
      </w:r>
    </w:p>
    <w:tbl>
      <w:tblPr>
        <w:tblStyle w:val="Table12"/>
        <w:tblW w:w="1045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211a31" w:val="clear"/>
            <w:vAlign w:val="center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Trigger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211a31" w:val="clear"/>
            <w:vAlign w:val="center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System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Rules Engine 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Freeze autonomous publishing and route items to manual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Policy Center 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Prevent high-risk workflow progression.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Policy version cannot be 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Block affected action until governance verification.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Audit Trail or Evidence Vault 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Pause evidence-required publishing and approvals.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Identity service 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Stop user-sensitive approvals and escalation routes.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Governance heartbeat missed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Downgrade affected agents to L1 Assistive Mode.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Abnormal latency above configured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Activate controlled degradation based on customer policy.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rPr/>
      </w:pPr>
      <w:r w:rsidDel="00000000" w:rsidR="00000000" w:rsidRPr="00000000">
        <w:rPr>
          <w:rtl w:val="0"/>
        </w:rPr>
        <w:t xml:space="preserve">9. Policy Health &amp; Governance ROI Dashboard</w:t>
      </w:r>
    </w:p>
    <w:tbl>
      <w:tblPr>
        <w:tblStyle w:val="Table13"/>
        <w:tblW w:w="1045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211a31" w:val="clear"/>
            <w:vAlign w:val="center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211a31" w:val="clear"/>
            <w:vAlign w:val="center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Policy Coverage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Measures whether critical workflows are governed.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Violation Prevention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Shows how many risky actions were blocked or escalated.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Evidence Completeness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Measures audit readiness.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Policy Conflict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Shows governance friction and policy architecture quality.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Exception 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Indicates where policies may be too rigid or teams may be bypassing process.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High-Risk Action Reduction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Measures risk containment.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Autonomy Restriction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Shows where agents were safely downgraded.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Governance Response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Measures how quickly violations are resolved.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Policy Simulation Pass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Shows whether policies are production-ready.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Governance Cost Avoidance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Estimates avoided remediation, reputational, legal, or compliance exposure.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454.0" w:type="dxa"/>
        <w:jc w:val="center"/>
        <w:tblLayout w:type="fixed"/>
        <w:tblLook w:val="0400"/>
      </w:tblPr>
      <w:tblGrid>
        <w:gridCol w:w="10454"/>
        <w:tblGridChange w:id="0">
          <w:tblGrid>
            <w:gridCol w:w="1045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a227" w:space="0" w:sz="12" w:val="single"/>
              <w:left w:color="c9a227" w:space="0" w:sz="18" w:val="single"/>
              <w:bottom w:color="c9a227" w:space="0" w:sz="12" w:val="single"/>
              <w:right w:color="c9a227" w:space="0" w:sz="12" w:val="single"/>
            </w:tcBorders>
            <w:shd w:fill="fff7e6" w:val="clea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1"/>
                <w:bCs w:val="1"/>
                <w:color w:val="14101e"/>
                <w:sz w:val="20"/>
                <w:szCs w:val="20"/>
                <w:rtl w:val="0"/>
              </w:rPr>
              <w:t xml:space="preserve">Commercial Value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color w:val="14101e"/>
                <w:sz w:val="18"/>
                <w:szCs w:val="18"/>
                <w:rtl w:val="0"/>
              </w:rPr>
              <w:t xml:space="preserve">This dashboard turns governance into a measurable commercial asset. It helps ZoikoVertex prove that it prevents brand violations, reduces approval risk, improves audit readiness, and creates defensible enterprise control.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rPr/>
      </w:pPr>
      <w:r w:rsidDel="00000000" w:rsidR="00000000" w:rsidRPr="00000000">
        <w:rPr>
          <w:rtl w:val="0"/>
        </w:rPr>
        <w:t xml:space="preserve">10. Policy-as-a-Service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19"/>
          <w:szCs w:val="19"/>
          <w:u w:val="none"/>
          <w:shd w:fill="auto" w:val="clear"/>
          <w:vertAlign w:val="baseline"/>
          <w:rtl w:val="0"/>
        </w:rPr>
        <w:t xml:space="preserve">ZoikoVertex should support configurable policy templates and governed policy packs, but must not position those templates as legal, regulatory, compliance, or professional advice.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19"/>
          <w:szCs w:val="19"/>
          <w:u w:val="none"/>
          <w:shd w:fill="auto" w:val="clear"/>
          <w:vertAlign w:val="baseline"/>
          <w:rtl w:val="0"/>
        </w:rPr>
        <w:t xml:space="preserve">Customers remain responsible for final review, legal validation, jurisdiction-specific application, and internal approval.</w:t>
      </w:r>
      <w:r w:rsidDel="00000000" w:rsidR="00000000" w:rsidRPr="00000000">
        <w:rPr>
          <w:rtl w:val="0"/>
        </w:rPr>
      </w:r>
    </w:p>
    <w:tbl>
      <w:tblPr>
        <w:tblStyle w:val="Table15"/>
        <w:tblW w:w="1045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211a31" w:val="clear"/>
            <w:vAlign w:val="center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Policy Pack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211a31" w:val="clear"/>
            <w:vAlign w:val="center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Primary 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Brand Governance Policy Pack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Voice, visuals, claims, tone, competitor restrictions, and brand safety.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AI Agent Safety Policy Pack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Autonomy limits, agent behavior, escalation, and prohibited actions.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Social Publishing Risk Policy Pack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Publishing routes, platform risks, claims, approvals, and scheduling restrictions.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Crisis Communications Policy Pack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Sensitive-market, crisis, and real-time event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Public Company Communications Policy Pack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Investor, earnings, executive, and market-sensitive content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Financial Services Marketing Policy Pack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Regulated finance marketing review and claim escalation.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Healthcare Marketing Policy Pack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Medical, patient, claims, privacy, and safety restrictions.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Telecom Marketing Policy Pack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Offer, coverage, plan, pricing, and network-claim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Data Privacy and Retention Policy Pack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Consent, retention, deletion, privacy, and personal-data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Youth Audience Protection Policy Pack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Age-sensitive content, targeting, and safeguarding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Sensitive Topics Policy Pack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Political, social, crisis, tragedy, safety, and reputational restrictions.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Platform Compliance Policy Pack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Platform-specific content, API, rate-limit, and publishing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Influencer and Creator Governance Policy Pack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Creator, UGC, disclosure, approval, and content ownership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Regulated Claims Policy Pack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Claim substantiation, citation, approval, and evidence requirements.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rPr/>
      </w:pPr>
      <w:r w:rsidDel="00000000" w:rsidR="00000000" w:rsidRPr="00000000">
        <w:rPr>
          <w:rtl w:val="0"/>
        </w:rPr>
        <w:t xml:space="preserve">11. Policy-as-Code Capability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19"/>
          <w:szCs w:val="19"/>
          <w:u w:val="none"/>
          <w:shd w:fill="auto" w:val="clear"/>
          <w:vertAlign w:val="baseline"/>
          <w:rtl w:val="0"/>
        </w:rPr>
        <w:t xml:space="preserve">Every policy must have both a human-readable version and a machine-readable version.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19"/>
          <w:szCs w:val="19"/>
          <w:u w:val="none"/>
          <w:shd w:fill="auto" w:val="clear"/>
          <w:vertAlign w:val="baseline"/>
          <w:rtl w:val="0"/>
        </w:rPr>
        <w:t xml:space="preserve">Every policy must include ID, version, effective date, scope, conditions, enforcement actions, exceptions, evidence requirements, approval route, test cases, simulation results, and audit reference.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19"/>
          <w:szCs w:val="19"/>
          <w:u w:val="none"/>
          <w:shd w:fill="auto" w:val="clear"/>
          <w:vertAlign w:val="baseline"/>
          <w:rtl w:val="0"/>
        </w:rPr>
        <w:t xml:space="preserve">Enterprise exports should include JSON, YAML, PDF governance matrices, Evidence Packs, and API-readable enforcement schemas.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rPr/>
      </w:pPr>
      <w:r w:rsidDel="00000000" w:rsidR="00000000" w:rsidRPr="00000000">
        <w:rPr>
          <w:rtl w:val="0"/>
        </w:rPr>
        <w:t xml:space="preserve">12. Final Architecture Layers</w:t>
      </w:r>
    </w:p>
    <w:tbl>
      <w:tblPr>
        <w:tblStyle w:val="Table16"/>
        <w:tblW w:w="1045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211a31" w:val="clear"/>
            <w:vAlign w:val="center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211a31" w:val="clear"/>
            <w:vAlign w:val="center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Build 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Policy Registry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Stores policies, rule sets, versions, scopes, owners, and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Policy Logic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Defines conditions, triggers, enforcement actions, exceptions, and approval routes.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Policy Inheritance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Controls parent-child policy nesting, hierarchy, overrides, and cross-workspace inheritance.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Simulation &amp; Resiliency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Tests policy behavior, red-teams bypass attempts, backtests historical actions, and activates Resiliency Mode.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Evidence &amp; Audit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Creates Governance Artifacts, audit logs, policy decision records, and Evidence Vault references.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Governance ROI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Measures policy health, prevented violations, audit readiness, risk reduction, and commercial value.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rPr/>
      </w:pPr>
      <w:r w:rsidDel="00000000" w:rsidR="00000000" w:rsidRPr="00000000">
        <w:rPr>
          <w:rtl w:val="0"/>
        </w:rPr>
        <w:t xml:space="preserve">13. Wireframe Navigation and Screen Requirements</w:t>
      </w:r>
    </w:p>
    <w:tbl>
      <w:tblPr>
        <w:tblStyle w:val="Table17"/>
        <w:tblW w:w="104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85"/>
        <w:gridCol w:w="3485"/>
        <w:gridCol w:w="3485"/>
        <w:tblGridChange w:id="0">
          <w:tblGrid>
            <w:gridCol w:w="3485"/>
            <w:gridCol w:w="3485"/>
            <w:gridCol w:w="34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211a31" w:val="clear"/>
            <w:vAlign w:val="center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Screen / 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211a31" w:val="clear"/>
            <w:vAlign w:val="center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Primary 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211a31" w:val="clear"/>
            <w:vAlign w:val="center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Primary 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Policy Center 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Executive view of active policies, risks, conflicts, health, and recent enforcement actions.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Review Policy Health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Policy 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Create, view, version, retire, and search governed policy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Create 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Policy Logic Builder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Define conditions, triggers, scopes, enforcement actions, evidence requirements, and approval routes.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Build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Inheritance &amp;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Manage enterprise, workspace, business unit, brand, market, platform, campaign, workflow, and agent inheritance.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Set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Temporal Guardrails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Configure quiet periods, blackout windows, embargoes, crisis windows, and time-bound restrictions.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Add Guardrail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Simulation &amp; Red-Team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Run standard tests, backtests, adversarial tests, edge-case tests, and regression tests.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Run Simulation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Enforcement &amp; Protocol Adherence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View live enforcement outcomes, blocks, escalations, exceptions, and policy triggers.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Review Enforcement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Conflicts &amp; Reconciliation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Resolve policy conflicts and approve exception routes.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Reconcile Conflict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Governance Artifacts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View system-signed artifacts tied to policy decisions and evidence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Open Artifact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Policy Health &amp; ROI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Track policy coverage, prevented violations, exception rates, audit readiness, and value created.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View ROI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Templates &amp; Policy Packs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Select and configure policy templates and regulated-industry packs.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Add Policy Pack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Resiliency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Monitor fail-closed status, governance heartbeat, queue freeze, and recovery actions.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Verify Recovery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rPr/>
      </w:pPr>
      <w:r w:rsidDel="00000000" w:rsidR="00000000" w:rsidRPr="00000000">
        <w:rPr>
          <w:rtl w:val="0"/>
        </w:rPr>
        <w:t xml:space="preserve">14. Build Requirements for Product, Design, and Engineering</w:t>
      </w:r>
    </w:p>
    <w:tbl>
      <w:tblPr>
        <w:tblStyle w:val="Table18"/>
        <w:tblW w:w="1045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211a31" w:val="clear"/>
            <w:vAlign w:val="center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211a31" w:val="clear"/>
            <w:vAlign w:val="center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Non-Negotiable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Policy behavior must be understandable to nontechnical governance users while remaining enforceable by the system.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The UI must distinguish draft, simulated, active, suspended, conflicted, expired, and overridden policy states.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Policy decisions must be deterministic, versioned, auditable, and reproducible.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AI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Agent outputs must be checked against policy, knowledge permissions, autonomy limits, risk levels, and evidence requirements.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Unauthorized changes to policies, exceptions, signatures, or evidence references must be prevented and logged.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Every high-risk policy decision must produce an audit record and, where required, a Governance Artifact.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Commercial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Policy packs, simulation, Evidence Vault linkage, and Governance ROI must support enterprise monetization.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4" w:val="single"/>
              <w:left w:color="d9d2e9" w:space="0" w:sz="4" w:val="single"/>
              <w:bottom w:color="d9d2e9" w:space="0" w:sz="4" w:val="single"/>
              <w:right w:color="d9d2e9" w:space="0" w:sz="4" w:val="single"/>
            </w:tcBorders>
            <w:shd w:fill="fbfaff" w:val="clear"/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Resiliency Mode must protect customers from fail-open autonomy during governance uncertainty.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rPr/>
      </w:pPr>
      <w:r w:rsidDel="00000000" w:rsidR="00000000" w:rsidRPr="00000000">
        <w:rPr>
          <w:rtl w:val="0"/>
        </w:rPr>
        <w:t xml:space="preserve">15. Final Verdict and Next Document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19"/>
          <w:szCs w:val="19"/>
          <w:u w:val="none"/>
          <w:shd w:fill="auto" w:val="clear"/>
          <w:vertAlign w:val="baseline"/>
          <w:rtl w:val="0"/>
        </w:rPr>
        <w:t xml:space="preserve">The strongest incorporated refinements are Parent-Child Policy Nesting, Temporal Guardrails, Red-Team Simulation, Deterministic Conflict Resolution, Governance Artifacts, Resiliency Mode, Policy Health and Governance ROI, Policy-as-a-Service, and Policy-as-Code readiness.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19"/>
          <w:szCs w:val="19"/>
          <w:u w:val="none"/>
          <w:shd w:fill="auto" w:val="clear"/>
          <w:vertAlign w:val="baseline"/>
          <w:rtl w:val="0"/>
        </w:rPr>
        <w:t xml:space="preserve">The fixed 200ms latency concept has been replaced with configurable enterprise thresholds to support different deployments, regions, and customer operating models.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19"/>
          <w:szCs w:val="19"/>
          <w:u w:val="none"/>
          <w:shd w:fill="auto" w:val="clear"/>
          <w:vertAlign w:val="baseline"/>
          <w:rtl w:val="0"/>
        </w:rPr>
        <w:t xml:space="preserve">With these refinements, the Policy Center &amp; Governance Rules Engine becomes commercially powerful, technically buildable, legally safer, and aligned with ZoikoVertex’s category-defining infrastructure ambition.</w:t>
      </w:r>
      <w:r w:rsidDel="00000000" w:rsidR="00000000" w:rsidRPr="00000000">
        <w:rPr>
          <w:rtl w:val="0"/>
        </w:rPr>
      </w:r>
    </w:p>
    <w:tbl>
      <w:tblPr>
        <w:tblStyle w:val="Table19"/>
        <w:tblW w:w="10454.0" w:type="dxa"/>
        <w:jc w:val="center"/>
        <w:tblLayout w:type="fixed"/>
        <w:tblLook w:val="0400"/>
      </w:tblPr>
      <w:tblGrid>
        <w:gridCol w:w="10454"/>
        <w:tblGridChange w:id="0">
          <w:tblGrid>
            <w:gridCol w:w="1045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3ff2" w:space="0" w:sz="12" w:val="single"/>
              <w:left w:color="7b3ff2" w:space="0" w:sz="18" w:val="single"/>
              <w:bottom w:color="7b3ff2" w:space="0" w:sz="12" w:val="single"/>
              <w:right w:color="7b3ff2" w:space="0" w:sz="12" w:val="single"/>
            </w:tcBorders>
            <w:shd w:fill="f7f3ff" w:val="clea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b w:val="1"/>
                <w:bCs w:val="1"/>
                <w:color w:val="14101e"/>
                <w:sz w:val="20"/>
                <w:szCs w:val="20"/>
                <w:rtl w:val="0"/>
              </w:rPr>
              <w:t xml:space="preserve">Next Natural Detailed Wireframe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color w:val="14101e"/>
                <w:sz w:val="18"/>
                <w:szCs w:val="18"/>
                <w:rtl w:val="0"/>
              </w:rPr>
              <w:t xml:space="preserve">ZoikoVertex Evidence Vault &amp; Audit Trail Specification - the immutable storage, audit lineage, system signature, evidence export, and legal defensibility layer for governance artifacts.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rPr/>
      </w:pPr>
      <w:r w:rsidDel="00000000" w:rsidR="00000000" w:rsidRPr="00000000">
        <w:rPr>
          <w:rtl w:val="0"/>
        </w:rPr>
        <w:t xml:space="preserve">Appendix A: Final Sidebar Placement Recommendation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19"/>
          <w:szCs w:val="19"/>
          <w:u w:val="none"/>
          <w:shd w:fill="auto" w:val="clear"/>
          <w:vertAlign w:val="baseline"/>
          <w:rtl w:val="0"/>
        </w:rPr>
        <w:t xml:space="preserve">Place Policy Center under the Governance section of the ZoikoVertex Admin Dashboard sidebar.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19"/>
          <w:szCs w:val="19"/>
          <w:u w:val="none"/>
          <w:shd w:fill="auto" w:val="clear"/>
          <w:vertAlign w:val="baseline"/>
          <w:rtl w:val="0"/>
        </w:rPr>
        <w:t xml:space="preserve">Cross-link Policy Center to Approval Rules, Audit Trail, Evidence Vault, Agent Autonomy Controls, Prompt Governance, Knowledge Bases, Publishing Hub, and Risk &amp; Compliance.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19"/>
          <w:szCs w:val="19"/>
          <w:u w:val="none"/>
          <w:shd w:fill="auto" w:val="clear"/>
          <w:vertAlign w:val="baseline"/>
          <w:rtl w:val="0"/>
        </w:rPr>
        <w:t xml:space="preserve">Expose critical Policy Health alerts on the Dashboard, Operations Feed, Review Queue, Publishing Hub, and Agent Studio where policy decisions affect action.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792" w:top="792" w:left="893" w:right="89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Calibri"/>
  <w:font w:name="Arial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111827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b7280"/>
        <w:sz w:val="16"/>
        <w:szCs w:val="16"/>
        <w:u w:val="none"/>
        <w:shd w:fill="auto" w:val="clear"/>
        <w:vertAlign w:val="baseline"/>
        <w:rtl w:val="0"/>
      </w:rPr>
      <w:t xml:space="preserve">Confidential | ZoikoVertex | Governed Agentic Intelligence for Social Media Operations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111827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b7280"/>
        <w:sz w:val="16"/>
        <w:szCs w:val="16"/>
        <w:u w:val="none"/>
        <w:shd w:fill="auto" w:val="clear"/>
        <w:vertAlign w:val="baseline"/>
        <w:rtl w:val="0"/>
      </w:rPr>
      <w:t xml:space="preserve">ZoikoVertex | Policy Center &amp; Governance Rules Engine | Tier-0 Specification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111827"/>
        <w:sz w:val="19"/>
        <w:szCs w:val="19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14101e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7b3ff2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14101e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14101e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