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4"/>
          <w:szCs w:val="44"/>
        </w:rPr>
        <w:t xml:space="preserve">Credit Pre-Screening Engine</w:t>
      </w:r>
    </w:p>
    <w:p>
      <w:pPr>
        <w:spacing w:after="60"/>
      </w:pPr>
      <w:r>
        <w:rPr>
          <w:rFonts w:ascii="Calibri" w:cs="Calibri" w:eastAsia="Calibri" w:hAnsi="Calibri"/>
          <w:color w:val="2F6DB5"/>
          <w:sz w:val="28"/>
          <w:szCs w:val="28"/>
        </w:rPr>
        <w:t xml:space="preserve">What was done in the notebook (MUC02, Path 3)</w:t>
      </w:r>
    </w:p>
    <w:p>
      <w:pPr>
        <w:pBdr>
          <w:bottom w:val="single" w:color="2F6DB5" w:sz="8" w:space="6"/>
        </w:pBdr>
        <w:spacing w:after="200"/>
      </w:pPr>
      <w:r>
        <w:rPr>
          <w:rFonts w:ascii="Calibri" w:cs="Calibri" w:eastAsia="Calibri" w:hAnsi="Calibri"/>
          <w:color w:val="666666"/>
          <w:sz w:val="19"/>
          <w:szCs w:val="19"/>
        </w:rPr>
        <w:t xml:space="preserve">Notebook: Vignesh_MUC02_Path3_Notebook.ipynb  |  Dataset: MUC02_Credit_PreScreening_Dataset.csv (12,000 applications)</w:t>
      </w:r>
    </w:p>
    <w:p>
      <w:pPr>
        <w:pStyle w:val="Heading1"/>
        <w:spacing w:after="120" w:before="280"/>
      </w:pPr>
      <w:r>
        <w:rPr>
          <w:rFonts w:ascii="Calibri" w:cs="Calibri" w:eastAsia="Calibri" w:hAnsi="Calibri"/>
          <w:b/>
          <w:bCs/>
          <w:color w:val="1F4E79"/>
          <w:sz w:val="30"/>
          <w:szCs w:val="30"/>
        </w:rPr>
        <w:t xml:space="preserve">1. What the task was</w:t>
      </w:r>
    </w:p>
    <w:p>
      <w:pPr>
        <w:spacing w:after="120" w:line="276"/>
      </w:pPr>
      <w:r>
        <w:rPr>
          <w:rFonts w:ascii="Calibri" w:cs="Calibri" w:eastAsia="Calibri" w:hAnsi="Calibri"/>
          <w:sz w:val="22"/>
          <w:szCs w:val="22"/>
        </w:rPr>
        <w:t xml:space="preserve">A bank receives about 3,000 personal-loan applications a month and reviews each one by hand for about 25 minutes, which is 1,250 analyst hours a month. The Word document asked for a pre-screening model built from six months of past decisions. The model should decide which applications can skip the full manual review, either by being auto-declined or by being fast-tracked for approval, without breaking the bank’s risk limit: no more than 5% of each automated lane may be applications the credit team would have decided the other way.</w:t>
      </w:r>
    </w:p>
    <w:p>
      <w:pPr>
        <w:spacing w:after="120" w:line="276"/>
      </w:pPr>
      <w:r>
        <w:rPr>
          <w:rFonts w:ascii="Calibri" w:cs="Calibri" w:eastAsia="Calibri" w:hAnsi="Calibri"/>
          <w:sz w:val="22"/>
          <w:szCs w:val="22"/>
        </w:rPr>
        <w:t xml:space="preserve">The notebook answers that in two parts, plus an optional stretch. Every step has a distilled explanation of the question, the code, and a findings cell in plain business language.</w:t>
      </w:r>
    </w:p>
    <w:p>
      <w:pPr>
        <w:pStyle w:val="Heading1"/>
        <w:spacing w:after="120" w:before="280"/>
      </w:pPr>
      <w:r>
        <w:rPr>
          <w:rFonts w:ascii="Calibri" w:cs="Calibri" w:eastAsia="Calibri" w:hAnsi="Calibri"/>
          <w:b/>
          <w:bCs/>
          <w:color w:val="1F4E79"/>
          <w:sz w:val="30"/>
          <w:szCs w:val="30"/>
        </w:rPr>
        <w:t xml:space="preserve">2. How the notebook is organised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C5CD" w:sz="4"/>
              <w:left w:val="single" w:color="BFC5CD" w:sz="4"/>
              <w:bottom w:val="single" w:color="BFC5CD" w:sz="4"/>
              <w:right w:val="single" w:color="BFC5CD"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Section</w:t>
            </w:r>
          </w:p>
        </w:tc>
        <w:tc>
          <w:tcPr>
            <w:tcW w:type="dxa" w:w="7446"/>
            <w:tcBorders>
              <w:top w:val="single" w:color="BFC5CD" w:sz="4"/>
              <w:left w:val="single" w:color="BFC5CD" w:sz="4"/>
              <w:bottom w:val="single" w:color="BFC5CD" w:sz="4"/>
              <w:right w:val="single" w:color="BFC5CD"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contains</w:t>
            </w:r>
          </w:p>
        </w:tc>
      </w:tr>
      <w:tr>
        <w:tc>
          <w:tcPr>
            <w:tcW w:type="dxa" w:w="23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Brief and CBIM Canvas</w:t>
            </w:r>
          </w:p>
        </w:tc>
        <w:tc>
          <w:tcPr>
            <w:tcW w:type="dxa" w:w="74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assignment summarised in plain English, then the six-field Problem Canvas (Situation, Complication, Question, SSOT, Success definition, Stakeholder), written before any analysis.</w:t>
            </w:r>
          </w:p>
        </w:tc>
      </w:tr>
      <w:tr>
        <w:tc>
          <w:tcPr>
            <w:tcW w:type="dxa" w:w="23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Part 1: Steps 5.1 to 5.7</w:t>
            </w:r>
          </w:p>
        </w:tc>
        <w:tc>
          <w:tcPr>
            <w:tcW w:type="dxa" w:w="74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Cleaning, approval drivers, affordability features, logistic regression, auto-decline threshold, fairness check, interim briefing.</w:t>
            </w:r>
          </w:p>
        </w:tc>
      </w:tr>
      <w:tr>
        <w:tc>
          <w:tcPr>
            <w:tcW w:type="dxa" w:w="23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Part 2: Steps 5.8 to 5.11</w:t>
            </w:r>
          </w:p>
        </w:tc>
        <w:tc>
          <w:tcPr>
            <w:tcW w:type="dxa" w:w="74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Single pipeline, 4-model cross-validation, two-lane design, final recommendation.</w:t>
            </w:r>
          </w:p>
        </w:tc>
      </w:tr>
      <w:tr>
        <w:tc>
          <w:tcPr>
            <w:tcW w:type="dxa" w:w="23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Stretch: Step 5.12</w:t>
            </w:r>
          </w:p>
        </w:tc>
        <w:tc>
          <w:tcPr>
            <w:tcW w:type="dxa" w:w="74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K-Means segmentation to find where the model struggles.</w:t>
            </w:r>
          </w:p>
        </w:tc>
      </w:tr>
    </w:tbl>
    <w:p>
      <w:pPr>
        <w:pStyle w:val="Heading1"/>
        <w:spacing w:after="120" w:before="280"/>
      </w:pPr>
      <w:r>
        <w:rPr>
          <w:rFonts w:ascii="Calibri" w:cs="Calibri" w:eastAsia="Calibri" w:hAnsi="Calibri"/>
          <w:b/>
          <w:bCs/>
          <w:color w:val="1F4E79"/>
          <w:sz w:val="30"/>
          <w:szCs w:val="30"/>
        </w:rPr>
        <w:t xml:space="preserve">3. Part 1: baseline pre-screener</w:t>
      </w:r>
    </w:p>
    <w:p>
      <w:pPr>
        <w:pStyle w:val="Heading2"/>
        <w:spacing w:after="80" w:before="200"/>
      </w:pPr>
      <w:r>
        <w:rPr>
          <w:rFonts w:ascii="Calibri" w:cs="Calibri" w:eastAsia="Calibri" w:hAnsi="Calibri"/>
          <w:b/>
          <w:bCs/>
          <w:color w:val="2F6DB5"/>
          <w:sz w:val="25"/>
          <w:szCs w:val="25"/>
        </w:rPr>
        <w:t xml:space="preserve">5.1 Load, inspect and clean</w:t>
      </w:r>
    </w:p>
    <w:p>
      <w:pPr>
        <w:spacing w:after="120" w:line="276"/>
      </w:pPr>
      <w:r>
        <w:rPr>
          <w:rFonts w:ascii="Calibri" w:cs="Calibri" w:eastAsia="Calibri" w:hAnsi="Calibri"/>
          <w:sz w:val="22"/>
          <w:szCs w:val="22"/>
        </w:rPr>
        <w:t xml:space="preserve">The target is balanced: 52.9% Approved and 47.1% Declined. Three data problems were found and each decision is written down in the notebook.</w:t>
      </w:r>
    </w:p>
    <w:p>
      <w:pPr>
        <w:pStyle w:val="ListParagraph"/>
        <w:numPr>
          <w:ilvl w:val="0"/>
          <w:numId w:val="2"/>
        </w:numPr>
        <w:spacing w:after="60" w:line="270"/>
      </w:pPr>
      <w:r>
        <w:rPr>
          <w:rFonts w:ascii="Calibri" w:cs="Calibri" w:eastAsia="Calibri" w:hAnsi="Calibri"/>
          <w:b/>
          <w:bCs/>
          <w:sz w:val="22"/>
          <w:szCs w:val="22"/>
        </w:rPr>
        <w:t xml:space="preserve">Missing monthly income (441 rows). </w:t>
      </w:r>
      <w:r>
        <w:rPr>
          <w:rFonts w:ascii="Calibri" w:cs="Calibri" w:eastAsia="Calibri" w:hAnsi="Calibri"/>
          <w:sz w:val="22"/>
          <w:szCs w:val="22"/>
        </w:rPr>
        <w:t xml:space="preserve">86% of the blanks are Business Owners and Self-Employed Professionals, who have no payslip. I filled each blank with the median income of the same employment type, because one overall median would understate their typical income.</w:t>
      </w:r>
    </w:p>
    <w:p>
      <w:pPr>
        <w:pStyle w:val="ListParagraph"/>
        <w:numPr>
          <w:ilvl w:val="0"/>
          <w:numId w:val="2"/>
        </w:numPr>
        <w:spacing w:after="60" w:line="270"/>
      </w:pPr>
      <w:r>
        <w:rPr>
          <w:rFonts w:ascii="Calibri" w:cs="Calibri" w:eastAsia="Calibri" w:hAnsi="Calibri"/>
          <w:b/>
          <w:bCs/>
          <w:sz w:val="22"/>
          <w:szCs w:val="22"/>
        </w:rPr>
        <w:t xml:space="preserve">Blank credit score (1,039 rows, 8.7%). </w:t>
      </w:r>
      <w:r>
        <w:rPr>
          <w:rFonts w:ascii="Calibri" w:cs="Calibri" w:eastAsia="Calibri" w:hAnsi="Calibri"/>
          <w:sz w:val="22"/>
          <w:szCs w:val="22"/>
        </w:rPr>
        <w:t xml:space="preserve">Every one has zero credit history, so they are new-to-credit applicants, not errors. I kept them and flagged them with an is_ntc column.</w:t>
      </w:r>
    </w:p>
    <w:p>
      <w:pPr>
        <w:pStyle w:val="ListParagraph"/>
        <w:numPr>
          <w:ilvl w:val="0"/>
          <w:numId w:val="2"/>
        </w:numPr>
        <w:spacing w:after="60" w:line="270"/>
      </w:pPr>
      <w:r>
        <w:rPr>
          <w:rFonts w:ascii="Calibri" w:cs="Calibri" w:eastAsia="Calibri" w:hAnsi="Calibri"/>
          <w:b/>
          <w:bCs/>
          <w:sz w:val="22"/>
          <w:szCs w:val="22"/>
        </w:rPr>
        <w:t xml:space="preserve">Implausible income (maximum 1,656,000). </w:t>
      </w:r>
      <w:r>
        <w:rPr>
          <w:rFonts w:ascii="Calibri" w:cs="Calibri" w:eastAsia="Calibri" w:hAnsi="Calibri"/>
          <w:sz w:val="22"/>
          <w:szCs w:val="22"/>
        </w:rPr>
        <w:t xml:space="preserve">Twenty values above 350,000 were all exact multiples of 12, so they are annual salaries typed into a monthly field. I divided them by 12, which puts them in the normal range.</w:t>
      </w:r>
    </w:p>
    <w:p>
      <w:pPr>
        <w:pStyle w:val="Heading2"/>
        <w:spacing w:after="80" w:before="200"/>
      </w:pPr>
      <w:r>
        <w:rPr>
          <w:rFonts w:ascii="Calibri" w:cs="Calibri" w:eastAsia="Calibri" w:hAnsi="Calibri"/>
          <w:b/>
          <w:bCs/>
          <w:color w:val="2F6DB5"/>
          <w:sz w:val="25"/>
          <w:szCs w:val="25"/>
        </w:rPr>
        <w:t xml:space="preserve">5.2 What drives approval today</w:t>
      </w:r>
    </w:p>
    <w:p>
      <w:pPr>
        <w:spacing w:after="120" w:line="276"/>
      </w:pPr>
      <w:r>
        <w:rPr>
          <w:rFonts w:ascii="Calibri" w:cs="Calibri" w:eastAsia="Calibri" w:hAnsi="Calibri"/>
          <w:sz w:val="22"/>
          <w:szCs w:val="22"/>
        </w:rPr>
        <w:t xml:space="preserve">Approval rate by credit-score band shows a cliff at 650: about 2% to 3% below it, then 33% at 650 to 699, rising to 85% at 800 and above. So the credit team effectively applies an unwritten minimum score of about 650. Applicants with no score are approved 53.9% of the time, close to the average, so they are judged on other factors. Gig and contract workers are approved only 34.9%, against 58.4% for salaried staff.</w:t>
      </w:r>
    </w:p>
    <w:p>
      <w:pPr>
        <w:pStyle w:val="Heading2"/>
        <w:spacing w:after="80" w:before="200"/>
      </w:pPr>
      <w:r>
        <w:rPr>
          <w:rFonts w:ascii="Calibri" w:cs="Calibri" w:eastAsia="Calibri" w:hAnsi="Calibri"/>
          <w:b/>
          <w:bCs/>
          <w:color w:val="2F6DB5"/>
          <w:sz w:val="25"/>
          <w:szCs w:val="25"/>
        </w:rPr>
        <w:t xml:space="preserve">5.3 Affordability features</w:t>
      </w:r>
    </w:p>
    <w:p>
      <w:pPr>
        <w:spacing w:after="120" w:line="276"/>
      </w:pPr>
      <w:r>
        <w:rPr>
          <w:rFonts w:ascii="Calibri" w:cs="Calibri" w:eastAsia="Calibri" w:hAnsi="Calibri"/>
          <w:sz w:val="22"/>
          <w:szCs w:val="22"/>
        </w:rPr>
        <w:t xml:space="preserve">I created foir (share of income going to EMIs), loan_to_income and is_ntc. Approval falls from 65.5% (FOIR below 30%) to 32.4% (50 to 55%) and 15.6% (above 55%). I proposed a FOIR cap of 55% for the standard path, with 50% as an amber level.</w:t>
      </w:r>
    </w:p>
    <w:p>
      <w:pPr>
        <w:pStyle w:val="Heading2"/>
        <w:spacing w:after="80" w:before="200"/>
      </w:pPr>
      <w:r>
        <w:rPr>
          <w:rFonts w:ascii="Calibri" w:cs="Calibri" w:eastAsia="Calibri" w:hAnsi="Calibri"/>
          <w:b/>
          <w:bCs/>
          <w:color w:val="2F6DB5"/>
          <w:sz w:val="25"/>
          <w:szCs w:val="25"/>
        </w:rPr>
        <w:t xml:space="preserve">5.4 Logistic regression</w:t>
      </w:r>
    </w:p>
    <w:p>
      <w:pPr>
        <w:spacing w:after="120" w:line="276"/>
      </w:pPr>
      <w:r>
        <w:rPr>
          <w:rFonts w:ascii="Calibri" w:cs="Calibri" w:eastAsia="Calibri" w:hAnsi="Calibri"/>
          <w:sz w:val="22"/>
          <w:szCs w:val="22"/>
        </w:rPr>
        <w:t xml:space="preserve">The model predicts declines using the 12 specified features. Gender, city, ID and date were excluded. Preparation steps (median fill, one-hot encoding, scaling) were learned from the training split only, using an 80/20 stratified split with random_state=42.</w:t>
      </w:r>
    </w:p>
    <w:p>
      <w:pPr>
        <w:pStyle w:val="ListParagraph"/>
        <w:numPr>
          <w:ilvl w:val="0"/>
          <w:numId w:val="2"/>
        </w:numPr>
        <w:spacing w:after="60" w:line="270"/>
      </w:pPr>
      <w:r>
        <w:rPr>
          <w:rFonts w:ascii="Calibri" w:cs="Calibri" w:eastAsia="Calibri" w:hAnsi="Calibri"/>
          <w:sz w:val="22"/>
          <w:szCs w:val="22"/>
        </w:rPr>
        <w:t xml:space="preserve">Accuracy 79.1%, precision for Declined 79.1%, recall 75.5%.</w:t>
      </w:r>
    </w:p>
    <w:p>
      <w:pPr>
        <w:pStyle w:val="ListParagraph"/>
        <w:numPr>
          <w:ilvl w:val="0"/>
          <w:numId w:val="2"/>
        </w:numPr>
        <w:spacing w:after="60" w:line="270"/>
      </w:pPr>
      <w:r>
        <w:rPr>
          <w:rFonts w:ascii="Calibri" w:cs="Calibri" w:eastAsia="Calibri" w:hAnsi="Calibri"/>
          <w:b/>
          <w:bCs/>
          <w:sz w:val="22"/>
          <w:szCs w:val="22"/>
        </w:rPr>
        <w:t xml:space="preserve">225 of 1,271 good applicants (17.7%) would be wrongly declined </w:t>
      </w:r>
      <w:r>
        <w:rPr>
          <w:rFonts w:ascii="Calibri" w:cs="Calibri" w:eastAsia="Calibri" w:hAnsi="Calibri"/>
          <w:sz w:val="22"/>
          <w:szCs w:val="22"/>
        </w:rPr>
        <w:t xml:space="preserve">at the default 0.5 cut-off. This is the figure the bank cares about, and it is why 0.5 is not safe.</w:t>
      </w:r>
    </w:p>
    <w:p>
      <w:pPr>
        <w:pStyle w:val="ListParagraph"/>
        <w:numPr>
          <w:ilvl w:val="0"/>
          <w:numId w:val="2"/>
        </w:numPr>
        <w:spacing w:after="60" w:line="270"/>
      </w:pPr>
      <w:r>
        <w:rPr>
          <w:rFonts w:ascii="Calibri" w:cs="Calibri" w:eastAsia="Calibri" w:hAnsi="Calibri"/>
          <w:sz w:val="22"/>
          <w:szCs w:val="22"/>
        </w:rPr>
        <w:t xml:space="preserve">Strongest decline drivers: FOIR (+1.22), credit score (−1.01, protective), delinquencies (+0.98) and gig/contract work (+0.62). Salaried status (−0.45) pushes toward approval.</w:t>
      </w:r>
    </w:p>
    <w:p>
      <w:pPr>
        <w:pStyle w:val="Heading2"/>
        <w:spacing w:after="80" w:before="200"/>
      </w:pPr>
      <w:r>
        <w:rPr>
          <w:rFonts w:ascii="Calibri" w:cs="Calibri" w:eastAsia="Calibri" w:hAnsi="Calibri"/>
          <w:b/>
          <w:bCs/>
          <w:color w:val="2F6DB5"/>
          <w:sz w:val="25"/>
          <w:szCs w:val="25"/>
        </w:rPr>
        <w:t xml:space="preserve">5.5 Auto-decline threshold</w:t>
      </w:r>
    </w:p>
    <w:p>
      <w:pPr>
        <w:spacing w:after="120" w:line="276"/>
      </w:pPr>
      <w:r>
        <w:rPr>
          <w:rFonts w:ascii="Calibri" w:cs="Calibri" w:eastAsia="Calibri" w:hAnsi="Calibri"/>
          <w:sz w:val="22"/>
          <w:szCs w:val="22"/>
        </w:rPr>
        <w:t xml:space="preserve">I tabulated thresholds from 0.5 to 0.95 and plotted the share auto-declined against the share wrongly declined. The lowest threshold that meets the 5% rule is 0.90: it auto-declines 15.2% of applications with 4.7% wrongly declined. That is about 456 applications and 190 analyst hours saved per month. Note that the 4.7% rests on 17 applicants out of 365, so it carries real sampling noise.</w:t>
      </w:r>
    </w:p>
    <w:p>
      <w:pPr>
        <w:pStyle w:val="Heading2"/>
        <w:spacing w:after="80" w:before="200"/>
      </w:pPr>
      <w:r>
        <w:rPr>
          <w:rFonts w:ascii="Calibri" w:cs="Calibri" w:eastAsia="Calibri" w:hAnsi="Calibri"/>
          <w:b/>
          <w:bCs/>
          <w:color w:val="2F6DB5"/>
          <w:sz w:val="25"/>
          <w:szCs w:val="25"/>
        </w:rPr>
        <w:t xml:space="preserve">5.6 Fairness check</w:t>
      </w:r>
    </w:p>
    <w:p>
      <w:pPr>
        <w:spacing w:after="120" w:line="276"/>
      </w:pPr>
      <w:r>
        <w:rPr>
          <w:rFonts w:ascii="Calibri" w:cs="Calibri" w:eastAsia="Calibri" w:hAnsi="Calibri"/>
          <w:sz w:val="22"/>
          <w:szCs w:val="22"/>
        </w:rPr>
        <w:t xml:space="preserve">Women were historically approved 50.4% of the time against 54.1% for men. Much of that is job mix: women have a lower median income (45,000 vs 55,000) and are almost twice as likely to be gig workers (21.4% vs 11.6%). A smaller residual gap remains among Salaried and Self-Employed Professionals that these columns cannot explain. The model’s auto-decline rates are 15.6% (women) and 15.0% (men), so it does not widen the gap. Gender should never be a feature, but removing it does not fully solve the problem, because employment type and income act as proxies.</w:t>
      </w:r>
    </w:p>
    <w:p>
      <w:pPr>
        <w:pStyle w:val="Heading2"/>
        <w:spacing w:after="80" w:before="200"/>
      </w:pPr>
      <w:r>
        <w:rPr>
          <w:rFonts w:ascii="Calibri" w:cs="Calibri" w:eastAsia="Calibri" w:hAnsi="Calibri"/>
          <w:b/>
          <w:bCs/>
          <w:color w:val="2F6DB5"/>
          <w:sz w:val="25"/>
          <w:szCs w:val="25"/>
        </w:rPr>
        <w:t xml:space="preserve">5.7 Interim briefing</w:t>
      </w:r>
    </w:p>
    <w:p>
      <w:pPr>
        <w:spacing w:after="120" w:line="276"/>
      </w:pPr>
      <w:r>
        <w:rPr>
          <w:rFonts w:ascii="Calibri" w:cs="Calibri" w:eastAsia="Calibri" w:hAnsi="Calibri"/>
          <w:sz w:val="22"/>
          <w:szCs w:val="22"/>
        </w:rPr>
        <w:t xml:space="preserve">Recommends 0.90 for logistic regression and names its weakness: it can only decline and leaves most of the queue untouched, which motivates Part 2.</w:t>
      </w:r>
    </w:p>
    <w:p>
      <w:pPr>
        <w:pStyle w:val="Heading1"/>
        <w:spacing w:after="120" w:before="280"/>
      </w:pPr>
      <w:r>
        <w:rPr>
          <w:rFonts w:ascii="Calibri" w:cs="Calibri" w:eastAsia="Calibri" w:hAnsi="Calibri"/>
          <w:b/>
          <w:bCs/>
          <w:color w:val="1F4E79"/>
          <w:sz w:val="30"/>
          <w:szCs w:val="30"/>
        </w:rPr>
        <w:t xml:space="preserve">4. Part 2: model comparison and two-lane design</w:t>
      </w:r>
    </w:p>
    <w:p>
      <w:pPr>
        <w:pStyle w:val="Heading2"/>
        <w:spacing w:after="80" w:before="200"/>
      </w:pPr>
      <w:r>
        <w:rPr>
          <w:rFonts w:ascii="Calibri" w:cs="Calibri" w:eastAsia="Calibri" w:hAnsi="Calibri"/>
          <w:b/>
          <w:bCs/>
          <w:color w:val="2F6DB5"/>
          <w:sz w:val="25"/>
          <w:szCs w:val="25"/>
        </w:rPr>
        <w:t xml:space="preserve">5.8 Pipeline</w:t>
      </w:r>
    </w:p>
    <w:p>
      <w:pPr>
        <w:spacing w:after="120" w:line="276"/>
      </w:pPr>
      <w:r>
        <w:rPr>
          <w:rFonts w:ascii="Calibri" w:cs="Calibri" w:eastAsia="Calibri" w:hAnsi="Calibri"/>
          <w:sz w:val="22"/>
          <w:szCs w:val="22"/>
        </w:rPr>
        <w:t xml:space="preserve">I rebuilt the model as one scikit-learn Pipeline, with a small custom step at the front that repeats the cleaning and feature engineering from 5.1 and 5.3, so raw CSV rows can go straight in. It matches Step 5.4 to within one applicant out of 2,400. The tiny difference is deliberate: the pipeline learns the income medians from training rows only, which is exactly the data-leakage protection the task asks to explain. The five most recent raw applications were scored successfully.</w:t>
      </w:r>
    </w:p>
    <w:p>
      <w:pPr>
        <w:pStyle w:val="Heading2"/>
        <w:spacing w:after="80" w:before="200"/>
      </w:pPr>
      <w:r>
        <w:rPr>
          <w:rFonts w:ascii="Calibri" w:cs="Calibri" w:eastAsia="Calibri" w:hAnsi="Calibri"/>
          <w:b/>
          <w:bCs/>
          <w:color w:val="2F6DB5"/>
          <w:sz w:val="25"/>
          <w:szCs w:val="25"/>
        </w:rPr>
        <w:t xml:space="preserve">5.9 Cross-validation of four models</w:t>
      </w:r>
    </w:p>
    <w:p>
      <w:pPr>
        <w:spacing w:after="120" w:line="276"/>
      </w:pPr>
      <w:r>
        <w:rPr>
          <w:rFonts w:ascii="Calibri" w:cs="Calibri" w:eastAsia="Calibri" w:hAnsi="Calibri"/>
          <w:sz w:val="22"/>
          <w:szCs w:val="22"/>
        </w:rPr>
        <w:t xml:space="preserve">Five-fold stratified cross-validation on the training set only. The test set was used once, at the 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gridCol w:w="1646"/>
      </w:tblGrid>
      <w:tr>
        <w:trPr>
          <w:tblHeader/>
        </w:trPr>
        <w:tc>
          <w:tcPr>
            <w:tcW w:type="dxa" w:w="3000"/>
            <w:tcBorders>
              <w:top w:val="single" w:color="BFC5CD" w:sz="4"/>
              <w:left w:val="single" w:color="BFC5CD" w:sz="4"/>
              <w:bottom w:val="single" w:color="BFC5CD" w:sz="4"/>
              <w:right w:val="single" w:color="BFC5CD"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1700"/>
            <w:tcBorders>
              <w:top w:val="single" w:color="BFC5CD" w:sz="4"/>
              <w:left w:val="single" w:color="BFC5CD" w:sz="4"/>
              <w:bottom w:val="single" w:color="BFC5CD" w:sz="4"/>
              <w:right w:val="single" w:color="BFC5CD"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ROC-AUC</w:t>
            </w:r>
          </w:p>
        </w:tc>
        <w:tc>
          <w:tcPr>
            <w:tcW w:type="dxa" w:w="1700"/>
            <w:tcBorders>
              <w:top w:val="single" w:color="BFC5CD" w:sz="4"/>
              <w:left w:val="single" w:color="BFC5CD" w:sz="4"/>
              <w:bottom w:val="single" w:color="BFC5CD" w:sz="4"/>
              <w:right w:val="single" w:color="BFC5CD"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Accuracy</w:t>
            </w:r>
          </w:p>
        </w:tc>
        <w:tc>
          <w:tcPr>
            <w:tcW w:type="dxa" w:w="1700"/>
            <w:tcBorders>
              <w:top w:val="single" w:color="BFC5CD" w:sz="4"/>
              <w:left w:val="single" w:color="BFC5CD" w:sz="4"/>
              <w:bottom w:val="single" w:color="BFC5CD" w:sz="4"/>
              <w:right w:val="single" w:color="BFC5CD"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Precision</w:t>
            </w:r>
          </w:p>
        </w:tc>
        <w:tc>
          <w:tcPr>
            <w:tcW w:type="dxa" w:w="1646"/>
            <w:tcBorders>
              <w:top w:val="single" w:color="BFC5CD" w:sz="4"/>
              <w:left w:val="single" w:color="BFC5CD" w:sz="4"/>
              <w:bottom w:val="single" w:color="BFC5CD" w:sz="4"/>
              <w:right w:val="single" w:color="BFC5CD"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Recall</w:t>
            </w:r>
          </w:p>
        </w:tc>
      </w:tr>
      <w:tr>
        <w:tc>
          <w:tcPr>
            <w:tcW w:type="dxa" w:w="30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Logistic Regression</w:t>
            </w:r>
          </w:p>
        </w:tc>
        <w:tc>
          <w:tcPr>
            <w:tcW w:type="dxa" w:w="17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0.868</w:t>
            </w:r>
          </w:p>
        </w:tc>
        <w:tc>
          <w:tcPr>
            <w:tcW w:type="dxa" w:w="17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77.5%</w:t>
            </w:r>
          </w:p>
        </w:tc>
        <w:tc>
          <w:tcPr>
            <w:tcW w:type="dxa" w:w="17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78.0%</w:t>
            </w:r>
          </w:p>
        </w:tc>
        <w:tc>
          <w:tcPr>
            <w:tcW w:type="dxa" w:w="16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72.7%</w:t>
            </w:r>
          </w:p>
        </w:tc>
      </w:tr>
      <w:tr>
        <w:tc>
          <w:tcPr>
            <w:tcW w:type="dxa" w:w="30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Decision Tree</w:t>
            </w:r>
          </w:p>
        </w:tc>
        <w:tc>
          <w:tcPr>
            <w:tcW w:type="dxa" w:w="17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0.863</w:t>
            </w:r>
          </w:p>
        </w:tc>
        <w:tc>
          <w:tcPr>
            <w:tcW w:type="dxa" w:w="17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78.2%</w:t>
            </w:r>
          </w:p>
        </w:tc>
        <w:tc>
          <w:tcPr>
            <w:tcW w:type="dxa" w:w="17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80.8%</w:t>
            </w:r>
          </w:p>
        </w:tc>
        <w:tc>
          <w:tcPr>
            <w:tcW w:type="dxa" w:w="16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70.5%</w:t>
            </w:r>
          </w:p>
        </w:tc>
      </w:tr>
      <w:tr>
        <w:tc>
          <w:tcPr>
            <w:tcW w:type="dxa" w:w="30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Random Forest</w:t>
            </w:r>
          </w:p>
        </w:tc>
        <w:tc>
          <w:tcPr>
            <w:tcW w:type="dxa" w:w="17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0.884</w:t>
            </w:r>
          </w:p>
        </w:tc>
        <w:tc>
          <w:tcPr>
            <w:tcW w:type="dxa" w:w="17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79.5%</w:t>
            </w:r>
          </w:p>
        </w:tc>
        <w:tc>
          <w:tcPr>
            <w:tcW w:type="dxa" w:w="17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79.6%</w:t>
            </w:r>
          </w:p>
        </w:tc>
        <w:tc>
          <w:tcPr>
            <w:tcW w:type="dxa" w:w="16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75.9%</w:t>
            </w:r>
          </w:p>
        </w:tc>
      </w:tr>
      <w:tr>
        <w:tc>
          <w:tcPr>
            <w:tcW w:type="dxa" w:w="30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Gradient Boosting (chosen)</w:t>
            </w:r>
          </w:p>
        </w:tc>
        <w:tc>
          <w:tcPr>
            <w:tcW w:type="dxa" w:w="17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0.889</w:t>
            </w:r>
          </w:p>
        </w:tc>
        <w:tc>
          <w:tcPr>
            <w:tcW w:type="dxa" w:w="17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80.0%</w:t>
            </w:r>
          </w:p>
        </w:tc>
        <w:tc>
          <w:tcPr>
            <w:tcW w:type="dxa" w:w="17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81.2%</w:t>
            </w:r>
          </w:p>
        </w:tc>
        <w:tc>
          <w:tcPr>
            <w:tcW w:type="dxa" w:w="16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74.8%</w:t>
            </w:r>
          </w:p>
        </w:tc>
      </w:tr>
    </w:tbl>
    <w:p>
      <w:pPr>
        <w:spacing w:after="80"/>
      </w:pPr>
    </w:p>
    <w:p>
      <w:pPr>
        <w:spacing w:after="120" w:line="276"/>
      </w:pPr>
      <w:r>
        <w:rPr>
          <w:rFonts w:ascii="Calibri" w:cs="Calibri" w:eastAsia="Calibri" w:hAnsi="Calibri"/>
          <w:sz w:val="22"/>
          <w:szCs w:val="22"/>
        </w:rPr>
        <w:t xml:space="preserve">I chose Gradient Boosting. It ranks applications best, and on the test set it keeps its lead (AUC 0.885 vs 0.867). Three features carry 88% of its importance: delinquencies, credit score and FOIR. These are the same three the logistic regression and Steps 5.2 and 5.3 pointed to. The explainability cost is manageable if the bank keeps logistic regression as a benchmark and produces reason codes for declines.</w:t>
      </w:r>
    </w:p>
    <w:p>
      <w:pPr>
        <w:pStyle w:val="Heading2"/>
        <w:spacing w:after="80" w:before="200"/>
      </w:pPr>
      <w:r>
        <w:rPr>
          <w:rFonts w:ascii="Calibri" w:cs="Calibri" w:eastAsia="Calibri" w:hAnsi="Calibri"/>
          <w:b/>
          <w:bCs/>
          <w:color w:val="2F6DB5"/>
          <w:sz w:val="25"/>
          <w:szCs w:val="25"/>
        </w:rPr>
        <w:t xml:space="preserve">5.10 Two-lane design</w:t>
      </w:r>
    </w:p>
    <w:p>
      <w:pPr>
        <w:spacing w:after="120" w:line="276"/>
      </w:pPr>
      <w:r>
        <w:rPr>
          <w:rFonts w:ascii="Calibri" w:cs="Calibri" w:eastAsia="Calibri" w:hAnsi="Calibri"/>
          <w:sz w:val="22"/>
          <w:szCs w:val="22"/>
        </w:rPr>
        <w:t xml:space="preserve">A grid search over threshold pairs on the probability of approval, keeping both 5% limits, for both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46"/>
        <w:gridCol w:w="3150"/>
        <w:gridCol w:w="3150"/>
      </w:tblGrid>
      <w:tr>
        <w:trPr>
          <w:tblHeader/>
        </w:trPr>
        <w:tc>
          <w:tcPr>
            <w:tcW w:type="dxa" w:w="3446"/>
            <w:tcBorders>
              <w:top w:val="single" w:color="BFC5CD" w:sz="4"/>
              <w:left w:val="single" w:color="BFC5CD" w:sz="4"/>
              <w:bottom w:val="single" w:color="BFC5CD" w:sz="4"/>
              <w:right w:val="single" w:color="BFC5CD"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
            </w:r>
          </w:p>
        </w:tc>
        <w:tc>
          <w:tcPr>
            <w:tcW w:type="dxa" w:w="3150"/>
            <w:tcBorders>
              <w:top w:val="single" w:color="BFC5CD" w:sz="4"/>
              <w:left w:val="single" w:color="BFC5CD" w:sz="4"/>
              <w:bottom w:val="single" w:color="BFC5CD" w:sz="4"/>
              <w:right w:val="single" w:color="BFC5CD"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Logistic Regression</w:t>
            </w:r>
          </w:p>
        </w:tc>
        <w:tc>
          <w:tcPr>
            <w:tcW w:type="dxa" w:w="3150"/>
            <w:tcBorders>
              <w:top w:val="single" w:color="BFC5CD" w:sz="4"/>
              <w:left w:val="single" w:color="BFC5CD" w:sz="4"/>
              <w:bottom w:val="single" w:color="BFC5CD" w:sz="4"/>
              <w:right w:val="single" w:color="BFC5CD"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Gradient Boosting</w:t>
            </w:r>
          </w:p>
        </w:tc>
      </w:tr>
      <w:tr>
        <w:tc>
          <w:tcPr>
            <w:tcW w:type="dxa" w:w="34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Auto-decline / review / fast-track</w:t>
            </w:r>
          </w:p>
        </w:tc>
        <w:tc>
          <w:tcPr>
            <w:tcW w:type="dxa" w:w="31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15.2% / 68.0% / 16.8%</w:t>
            </w:r>
          </w:p>
        </w:tc>
        <w:tc>
          <w:tcPr>
            <w:tcW w:type="dxa" w:w="31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24.2% / 58.2% / 17.6%</w:t>
            </w:r>
          </w:p>
        </w:tc>
      </w:tr>
      <w:tr>
        <w:tc>
          <w:tcPr>
            <w:tcW w:type="dxa" w:w="34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Applications automated per month</w:t>
            </w:r>
          </w:p>
        </w:tc>
        <w:tc>
          <w:tcPr>
            <w:tcW w:type="dxa" w:w="31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959</w:t>
            </w:r>
          </w:p>
        </w:tc>
        <w:tc>
          <w:tcPr>
            <w:tcW w:type="dxa" w:w="31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1,255</w:t>
            </w:r>
          </w:p>
        </w:tc>
      </w:tr>
      <w:tr>
        <w:tc>
          <w:tcPr>
            <w:tcW w:type="dxa" w:w="34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Analyst hours freed per month</w:t>
            </w:r>
          </w:p>
        </w:tc>
        <w:tc>
          <w:tcPr>
            <w:tcW w:type="dxa" w:w="31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399</w:t>
            </w:r>
          </w:p>
        </w:tc>
        <w:tc>
          <w:tcPr>
            <w:tcW w:type="dxa" w:w="31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523</w:t>
            </w:r>
          </w:p>
        </w:tc>
      </w:tr>
    </w:tbl>
    <w:p>
      <w:pPr>
        <w:spacing w:after="80"/>
      </w:pPr>
    </w:p>
    <w:p>
      <w:pPr>
        <w:spacing w:after="120" w:line="276"/>
      </w:pPr>
      <w:r>
        <w:rPr>
          <w:rFonts w:ascii="Calibri" w:cs="Calibri" w:eastAsia="Calibri" w:hAnsi="Calibri"/>
          <w:sz w:val="22"/>
          <w:szCs w:val="22"/>
        </w:rPr>
        <w:t xml:space="preserve">Gradient Boosting takes about 296 more applications and 124 more analyst hours a month out of the manual queue. I also added a stability check: thresholds tuned on the 2,400 test rows look slightly flattering, so I re-tuned them on out-of-fold training predictions (9,600 rows) and verified once on the test set. Those more defensible thresholds are 0.15 and 0.88 for Gradient Boosting, automating 43.0% of applications.</w:t>
      </w:r>
    </w:p>
    <w:p>
      <w:pPr>
        <w:pStyle w:val="Heading2"/>
        <w:spacing w:after="80" w:before="200"/>
      </w:pPr>
      <w:r>
        <w:rPr>
          <w:rFonts w:ascii="Calibri" w:cs="Calibri" w:eastAsia="Calibri" w:hAnsi="Calibri"/>
          <w:b/>
          <w:bCs/>
          <w:color w:val="2F6DB5"/>
          <w:sz w:val="25"/>
          <w:szCs w:val="25"/>
        </w:rPr>
        <w:t xml:space="preserve">5.11 Recommendation</w:t>
      </w:r>
    </w:p>
    <w:p>
      <w:pPr>
        <w:spacing w:after="120" w:line="276"/>
      </w:pPr>
      <w:r>
        <w:rPr>
          <w:rFonts w:ascii="Calibri" w:cs="Calibri" w:eastAsia="Calibri" w:hAnsi="Calibri"/>
          <w:sz w:val="22"/>
          <w:szCs w:val="22"/>
        </w:rPr>
        <w:t xml:space="preserve">An eight-sentence note to the Head of Retail Lending. It recommends Gradient Boosting with auto-decline below 0.15 and fast-track at 0.88 or above (22.7% and 20.3% of applications), about 1,290 applications and 537 analyst hours freed per month. It states the main risk (the model copies past decisions, not repayment outcomes, and the 5% limits hold only to about one point), names who stays with a human (new-to-credit applicants and the high-income, large-ticket group), sets a fairness monitoring plan, and proposes a 4 to 8 week shadow-mode pilot before full rollout.</w:t>
      </w:r>
    </w:p>
    <w:p>
      <w:pPr>
        <w:pStyle w:val="Heading2"/>
        <w:spacing w:after="80" w:before="200"/>
      </w:pPr>
      <w:r>
        <w:rPr>
          <w:rFonts w:ascii="Calibri" w:cs="Calibri" w:eastAsia="Calibri" w:hAnsi="Calibri"/>
          <w:b/>
          <w:bCs/>
          <w:color w:val="2F6DB5"/>
          <w:sz w:val="25"/>
          <w:szCs w:val="25"/>
        </w:rPr>
        <w:t xml:space="preserve">5.12 Stretch: K-Means segments</w:t>
      </w:r>
    </w:p>
    <w:p>
      <w:pPr>
        <w:spacing w:after="120" w:line="276"/>
      </w:pPr>
      <w:r>
        <w:rPr>
          <w:rFonts w:ascii="Calibri" w:cs="Calibri" w:eastAsia="Calibri" w:hAnsi="Calibri"/>
          <w:sz w:val="22"/>
          <w:szCs w:val="22"/>
        </w:rPr>
        <w:t xml:space="preserve">Four segments were chosen on scaled income, credit score, FOIR, job tenure and age. The elbow is gentle, so k=4 is a judgement for interpretability, not a clear statistical optimum. The model errs most (27%) on High-income professionals, whose approval rate (59%) is close to a coin flip, so that segment should stay with a human. It is most reliable on Over-stretched borrowers (14% error), which is where most auto-declines come from. Cluster labels were not fed back into any model.</w:t>
      </w:r>
    </w:p>
    <w:p>
      <w:pPr>
        <w:pStyle w:val="Heading1"/>
        <w:spacing w:after="120" w:before="280"/>
      </w:pPr>
      <w:r>
        <w:rPr>
          <w:rFonts w:ascii="Calibri" w:cs="Calibri" w:eastAsia="Calibri" w:hAnsi="Calibri"/>
          <w:b/>
          <w:bCs/>
          <w:color w:val="1F4E79"/>
          <w:sz w:val="30"/>
          <w:szCs w:val="30"/>
        </w:rPr>
        <w:t xml:space="preserve">5. Headline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0"/>
        <w:gridCol w:w="4746"/>
      </w:tblGrid>
      <w:tr>
        <w:trPr>
          <w:tblHeader/>
        </w:trPr>
        <w:tc>
          <w:tcPr>
            <w:tcW w:type="dxa" w:w="5000"/>
            <w:tcBorders>
              <w:top w:val="single" w:color="BFC5CD" w:sz="4"/>
              <w:left w:val="single" w:color="BFC5CD" w:sz="4"/>
              <w:bottom w:val="single" w:color="BFC5CD" w:sz="4"/>
              <w:right w:val="single" w:color="BFC5CD"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Question from the Credit Policy Analyst</w:t>
            </w:r>
          </w:p>
        </w:tc>
        <w:tc>
          <w:tcPr>
            <w:tcW w:type="dxa" w:w="4746"/>
            <w:tcBorders>
              <w:top w:val="single" w:color="BFC5CD" w:sz="4"/>
              <w:left w:val="single" w:color="BFC5CD" w:sz="4"/>
              <w:bottom w:val="single" w:color="BFC5CD" w:sz="4"/>
              <w:right w:val="single" w:color="BFC5CD"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Answer</w:t>
            </w:r>
          </w:p>
        </w:tc>
      </w:tr>
      <w:tr>
        <w:tc>
          <w:tcPr>
            <w:tcW w:type="dxa" w:w="50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What drives approvals today?</w:t>
            </w:r>
          </w:p>
        </w:tc>
        <w:tc>
          <w:tcPr>
            <w:tcW w:type="dxa" w:w="47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Credit score (cliff at 650), FOIR (drop above 55%), delinquencies and employment type.</w:t>
            </w:r>
          </w:p>
        </w:tc>
      </w:tr>
      <w:tr>
        <w:tc>
          <w:tcPr>
            <w:tcW w:type="dxa" w:w="50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Which model is best?</w:t>
            </w:r>
          </w:p>
        </w:tc>
        <w:tc>
          <w:tcPr>
            <w:tcW w:type="dxa" w:w="47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Gradient Boosting, about 2 AUC points above logistic regression.</w:t>
            </w:r>
          </w:p>
        </w:tc>
      </w:tr>
      <w:tr>
        <w:tc>
          <w:tcPr>
            <w:tcW w:type="dxa" w:w="50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Safe thresholds?</w:t>
            </w:r>
          </w:p>
        </w:tc>
        <w:tc>
          <w:tcPr>
            <w:tcW w:type="dxa" w:w="47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Auto-decline below 0.15 and fast-track at 0.88 or above, on P(approval).</w:t>
            </w:r>
          </w:p>
        </w:tc>
      </w:tr>
      <w:tr>
        <w:tc>
          <w:tcPr>
            <w:tcW w:type="dxa" w:w="50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Analyst time freed?</w:t>
            </w:r>
          </w:p>
        </w:tc>
        <w:tc>
          <w:tcPr>
            <w:tcW w:type="dxa" w:w="47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About 537 of 1,250 hours per month (43%), vs about 399 for logistic regression.</w:t>
            </w:r>
          </w:p>
        </w:tc>
      </w:tr>
      <w:tr>
        <w:tc>
          <w:tcPr>
            <w:tcW w:type="dxa" w:w="50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Is it fair?</w:t>
            </w:r>
          </w:p>
        </w:tc>
        <w:tc>
          <w:tcPr>
            <w:tcW w:type="dxa" w:w="47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model does not widen the gender gap, but gig workers are auto-declined at 40% vs 20% for salaried, so monitoring is essential.</w:t>
            </w:r>
          </w:p>
        </w:tc>
      </w:tr>
    </w:tbl>
    <w:p>
      <w:pPr>
        <w:pStyle w:val="Heading1"/>
        <w:spacing w:after="120" w:before="280"/>
      </w:pPr>
      <w:r>
        <w:rPr>
          <w:rFonts w:ascii="Calibri" w:cs="Calibri" w:eastAsia="Calibri" w:hAnsi="Calibri"/>
          <w:b/>
          <w:bCs/>
          <w:color w:val="1F4E79"/>
          <w:sz w:val="30"/>
          <w:szCs w:val="30"/>
        </w:rPr>
        <w:t xml:space="preserve">6. Caveats you should know</w:t>
      </w:r>
    </w:p>
    <w:p>
      <w:pPr>
        <w:pStyle w:val="ListParagraph"/>
        <w:numPr>
          <w:ilvl w:val="0"/>
          <w:numId w:val="2"/>
        </w:numPr>
        <w:spacing w:after="60" w:line="270"/>
      </w:pPr>
      <w:r>
        <w:rPr>
          <w:rFonts w:ascii="Calibri" w:cs="Calibri" w:eastAsia="Calibri" w:hAnsi="Calibri"/>
          <w:sz w:val="22"/>
          <w:szCs w:val="22"/>
        </w:rPr>
        <w:t xml:space="preserve">The decision column records what analysts decided, not whether loans were repaid, so the model learns the bank’s past habits, including any bias.</w:t>
      </w:r>
    </w:p>
    <w:p>
      <w:pPr>
        <w:pStyle w:val="ListParagraph"/>
        <w:numPr>
          <w:ilvl w:val="0"/>
          <w:numId w:val="2"/>
        </w:numPr>
        <w:spacing w:after="60" w:line="270"/>
      </w:pPr>
      <w:r>
        <w:rPr>
          <w:rFonts w:ascii="Calibri" w:cs="Calibri" w:eastAsia="Calibri" w:hAnsi="Calibri"/>
          <w:sz w:val="22"/>
          <w:szCs w:val="22"/>
        </w:rPr>
        <w:t xml:space="preserve">The 5% limits are estimates from a 2,400-row test set. Re-measured on other samples they land between about 4% and 5.6%, so treat them as accurate to roughly one point.</w:t>
      </w:r>
    </w:p>
    <w:p>
      <w:pPr>
        <w:pStyle w:val="ListParagraph"/>
        <w:numPr>
          <w:ilvl w:val="0"/>
          <w:numId w:val="2"/>
        </w:numPr>
        <w:spacing w:after="60" w:line="270"/>
      </w:pPr>
      <w:r>
        <w:rPr>
          <w:rFonts w:ascii="Calibri" w:cs="Calibri" w:eastAsia="Calibri" w:hAnsi="Calibri"/>
          <w:sz w:val="22"/>
          <w:szCs w:val="22"/>
        </w:rPr>
        <w:t xml:space="preserve">The 350,000 income cut-off is where the data visibly breaks. A few higher-but-plausible values below it were left unchanged.</w:t>
      </w:r>
    </w:p>
    <w:p>
      <w:pPr>
        <w:pStyle w:val="ListParagraph"/>
        <w:numPr>
          <w:ilvl w:val="0"/>
          <w:numId w:val="2"/>
        </w:numPr>
        <w:spacing w:after="60" w:line="270"/>
      </w:pPr>
      <w:r>
        <w:rPr>
          <w:rFonts w:ascii="Calibri" w:cs="Calibri" w:eastAsia="Calibri" w:hAnsi="Calibri"/>
          <w:sz w:val="22"/>
          <w:szCs w:val="22"/>
        </w:rPr>
        <w:t xml:space="preserve">The numbers quoted in the markdown come from the seeded outputs (random_state=42). If a library version changes them, recheck against the cell outputs.</w:t>
      </w:r>
    </w:p>
    <w:p>
      <w:pPr>
        <w:pStyle w:val="ListParagraph"/>
        <w:numPr>
          <w:ilvl w:val="0"/>
          <w:numId w:val="2"/>
        </w:numPr>
        <w:spacing w:after="60" w:line="270"/>
      </w:pPr>
      <w:r>
        <w:rPr>
          <w:rFonts w:ascii="Calibri" w:cs="Calibri" w:eastAsia="Calibri" w:hAnsi="Calibri"/>
          <w:sz w:val="22"/>
          <w:szCs w:val="22"/>
        </w:rPr>
        <w:t xml:space="preserve">Still to do for submission: the separate 1-page insight summary Word document (maximum 400 words).</w:t>
      </w:r>
    </w:p>
    <w:p>
      <w:pPr>
        <w:pStyle w:val="Heading1"/>
        <w:spacing w:after="120" w:before="280"/>
      </w:pPr>
      <w:r>
        <w:rPr>
          <w:rFonts w:ascii="Calibri" w:cs="Calibri" w:eastAsia="Calibri" w:hAnsi="Calibri"/>
          <w:b/>
          <w:bCs/>
          <w:color w:val="1F4E79"/>
          <w:sz w:val="30"/>
          <w:szCs w:val="30"/>
        </w:rPr>
        <w:t xml:space="preserve">7. How to run the notebook</w:t>
      </w:r>
    </w:p>
    <w:p>
      <w:pPr>
        <w:pStyle w:val="ListParagraph"/>
        <w:numPr>
          <w:ilvl w:val="0"/>
          <w:numId w:val="2"/>
        </w:numPr>
        <w:spacing w:after="60" w:line="270"/>
      </w:pPr>
      <w:r>
        <w:rPr>
          <w:rFonts w:ascii="Calibri" w:cs="Calibri" w:eastAsia="Calibri" w:hAnsi="Calibri"/>
          <w:sz w:val="22"/>
          <w:szCs w:val="22"/>
        </w:rPr>
        <w:t xml:space="preserve">Put MUC02_Credit_PreScreening_Dataset.csv in the same folder as the notebook.</w:t>
      </w:r>
    </w:p>
    <w:p>
      <w:pPr>
        <w:pStyle w:val="ListParagraph"/>
        <w:numPr>
          <w:ilvl w:val="0"/>
          <w:numId w:val="2"/>
        </w:numPr>
        <w:spacing w:after="60" w:line="270"/>
      </w:pPr>
      <w:r>
        <w:rPr>
          <w:rFonts w:ascii="Calibri" w:cs="Calibri" w:eastAsia="Calibri" w:hAnsi="Calibri"/>
          <w:sz w:val="22"/>
          <w:szCs w:val="22"/>
        </w:rPr>
        <w:t xml:space="preserve">Install: pip install pandas numpy matplotlib seaborn scikit-learn jupyter</w:t>
      </w:r>
    </w:p>
    <w:p>
      <w:pPr>
        <w:pStyle w:val="ListParagraph"/>
        <w:numPr>
          <w:ilvl w:val="0"/>
          <w:numId w:val="2"/>
        </w:numPr>
        <w:spacing w:after="60" w:line="270"/>
      </w:pPr>
      <w:r>
        <w:rPr>
          <w:rFonts w:ascii="Calibri" w:cs="Calibri" w:eastAsia="Calibri" w:hAnsi="Calibri"/>
          <w:sz w:val="22"/>
          <w:szCs w:val="22"/>
        </w:rPr>
        <w:t xml:space="preserve">Run jupyter notebook, open the file, then choose Kernel &gt; Restart &amp; Run All.</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MUC02 Credit Pre-Screening: notebook explanation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2026-10-20T11:56:56.654Z</dcterms:created>
  <dcterms:modified xsi:type="dcterms:W3CDTF">2026-10-20T11:56:56.677Z</dcterms:modified>
</cp:coreProperties>
</file>

<file path=docProps/custom.xml><?xml version="1.0" encoding="utf-8"?>
<Properties xmlns="http://schemas.openxmlformats.org/officeDocument/2006/custom-properties" xmlns:vt="http://schemas.openxmlformats.org/officeDocument/2006/docPropsVTypes"/>
</file>