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2"/>
        </w:rPr>
        <w:t>CREDIT PRE-SCREENING ENGINE</w:t>
      </w:r>
    </w:p>
    <w:p>
      <w:pPr>
        <w:jc w:val="center"/>
      </w:pPr>
      <w:r>
        <w:rPr>
          <w:rFonts w:ascii="Times New Roman" w:hAnsi="Times New Roman"/>
          <w:i/>
          <w:color w:val="000000"/>
          <w:sz w:val="20"/>
        </w:rPr>
        <w:t>MUC02 · Phase 2 · Path 3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3"/>
        </w:rPr>
        <w:t>Business Problem</w:t>
      </w:r>
    </w:p>
    <w:p>
      <w:pPr>
        <w:spacing w:after="80"/>
      </w:pPr>
      <w:r>
        <w:rPr>
          <w:rFonts w:ascii="Times New Roman" w:hAnsi="Times New Roman"/>
          <w:color w:val="000000"/>
          <w:sz w:val="21"/>
        </w:rPr>
        <w:t>The bank receives approximately 3,000 personal-loan applications each month, and manual review takes about 25 minutes per application (1,250 analyst hours monthly). Using six months of historical credit-team decisions, the objective is to automate clear-cut declines and approvals while keeping the error rate in each automated lane at or below 5%.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3"/>
        </w:rPr>
        <w:t>Three Key Findings</w:t>
      </w:r>
    </w:p>
    <w:p>
      <w:pPr>
        <w:spacing w:after="80"/>
      </w:pPr>
      <w:r>
        <w:rPr>
          <w:rFonts w:ascii="Times New Roman" w:hAnsi="Times New Roman"/>
          <w:color w:val="000000"/>
          <w:sz w:val="21"/>
        </w:rPr>
        <w:t>1. Approval decisions are strongly associated with credit score, affordability (FOIR), delinquencies and employment type. Approval rates are only about 2–3% below a score of 650, rise to 33% at 650–699, and reach 85% at 800+. Approval also falls from 65.5% for FOIR below 30% to 15.6% above 55%.</w:t>
      </w:r>
    </w:p>
    <w:p>
      <w:pPr>
        <w:spacing w:after="80"/>
      </w:pPr>
      <w:r>
        <w:rPr>
          <w:rFonts w:ascii="Times New Roman" w:hAnsi="Times New Roman"/>
          <w:color w:val="000000"/>
          <w:sz w:val="21"/>
        </w:rPr>
        <w:t>2. Gradient Boosting performed best in model comparison, with cross-validation ROC-AUC of 0.889 and test ROC-AUC of 0.885, versus 0.867 for Logistic Regression. Delinquencies, credit score and FOIR account for 88% of its feature importance, aligning with the baseline findings.</w:t>
      </w:r>
    </w:p>
    <w:p>
      <w:pPr>
        <w:spacing w:after="80"/>
      </w:pPr>
      <w:r>
        <w:rPr>
          <w:rFonts w:ascii="Times New Roman" w:hAnsi="Times New Roman"/>
          <w:color w:val="000000"/>
          <w:sz w:val="21"/>
        </w:rPr>
        <w:t>3. Using out-of-fold training predictions to tune thresholds and then checking on the test set, the Gradient Boosting two-lane design uses auto-decline below 0.15 and fast-track at 0.88 or above. It automates about 43.0% of applications—approximately 1,290 per month—and frees around 537 analyst hours monthly, subject to the two 5% risk limits.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3"/>
        </w:rPr>
        <w:t>Recommendation</w:t>
      </w:r>
    </w:p>
    <w:p>
      <w:pPr>
        <w:spacing w:after="80"/>
      </w:pPr>
      <w:r>
        <w:rPr>
          <w:rFonts w:ascii="Times New Roman" w:hAnsi="Times New Roman"/>
          <w:color w:val="000000"/>
          <w:sz w:val="21"/>
        </w:rPr>
        <w:t>Adopt Gradient Boosting as a monitored pre-screening candidate, with decline probability below 0.15 routed to auto-decline and approval probability at least 0.88 routed to fast-track; send the middle band to analysts. Keep new-to-credit applicants and high-income, large-ticket applicants under human review, provide decline reason codes, and monitor fairness—especially the higher auto-decline rate for gig/contract workers (40% versus 20% for salaried applicants). Run a 4–8 week shadow-mode pilot before rollout.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3"/>
        </w:rPr>
        <w:t>Limitation</w:t>
      </w:r>
    </w:p>
    <w:p>
      <w:pPr>
        <w:spacing w:after="80"/>
      </w:pPr>
      <w:r>
        <w:rPr>
          <w:rFonts w:ascii="Times New Roman" w:hAnsi="Times New Roman"/>
          <w:color w:val="000000"/>
          <w:sz w:val="21"/>
        </w:rPr>
        <w:t>The target is the credit team’s historical decision, not observed loan repayment, so the model may reproduce past policy or bias. The 5% lane limits are estimates from a 2,400-row test set and varied from roughly 4% to 5.6% across samples; they should be revalidated before deployment.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6"/>
      </w:rPr>
      <w:t>Vignesh Guthi · MUC02 Path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