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B62" w:rsidRDefault="002377A3">
      <w:pPr>
        <w:spacing w:after="200"/>
      </w:pPr>
      <w:r>
        <w:rPr>
          <w:b/>
          <w:bCs/>
          <w:sz w:val="48"/>
          <w:szCs w:val="48"/>
        </w:rPr>
        <w:t>SMAART Shoulder CDSS</w:t>
      </w:r>
    </w:p>
    <w:p w:rsidR="00A26B62" w:rsidRDefault="002377A3">
      <w:pPr>
        <w:spacing w:after="400"/>
      </w:pPr>
      <w:r>
        <w:rPr>
          <w:i/>
          <w:iCs/>
          <w:sz w:val="28"/>
          <w:szCs w:val="28"/>
        </w:rPr>
        <w:t>Field Interaction Implementation Guide (v2.0, AS-BUILT)</w:t>
      </w:r>
    </w:p>
    <w:p w:rsidR="00A26B62" w:rsidRDefault="002377A3">
      <w:pPr>
        <w:spacing w:after="120"/>
      </w:pPr>
      <w:r>
        <w:t>Engineering-facing companion to Shoulder_CDSS_Field_Interaction_Matrix.xlsx and Shoulder_CDSS_Field_Rule_Logic_Library.xlsx.</w:t>
      </w:r>
    </w:p>
    <w:p w:rsidR="00A26B62" w:rsidRDefault="002377A3">
      <w:pPr>
        <w:spacing w:after="120"/>
      </w:pPr>
      <w:r>
        <w:t>v2.0 (2026-10-02): updated to the AS-BUILT implementation, confirmed by independently validating all 18 Golden Datasets (0 contradictions).</w:t>
      </w:r>
    </w:p>
    <w:p w:rsidR="00A26B62" w:rsidRDefault="002377A3">
      <w:pPr>
        <w:pStyle w:val="Heading1"/>
      </w:pPr>
      <w:r>
        <w:t>1. Purpose</w:t>
      </w:r>
    </w:p>
    <w:p w:rsidR="00A26B62" w:rsidRDefault="002377A3">
      <w:pPr>
        <w:spacing w:after="120"/>
      </w:pPr>
      <w:r>
        <w:t xml:space="preserve">Specifies how the three-layer field-interaction engine is implemented for the Shoulder CDSS, reusing the </w:t>
      </w:r>
      <w:r>
        <w:t>architecture validated for the Knee CDSS. This document is the implementation detail; the Field Interaction Matrix workbook is the data; the Field Rule Logic Library workbook is the rule set. Since v1.0, every rule described here has been exercised against</w:t>
      </w:r>
      <w:r>
        <w:t xml:space="preserve"> real generator/validator code for all 18 groups, not only specified in advance; Section 7 documents what construction actually required beyond the original specification.</w:t>
      </w:r>
    </w:p>
    <w:p w:rsidR="00A26B62" w:rsidRDefault="002377A3">
      <w:pPr>
        <w:pStyle w:val="Heading1"/>
      </w:pPr>
      <w:r>
        <w:t>2. Layer 1 — Within-Sheet Field Validators</w:t>
      </w:r>
    </w:p>
    <w:p w:rsidR="00A26B62" w:rsidRDefault="002377A3">
      <w:pPr>
        <w:spacing w:after="120"/>
      </w:pPr>
      <w:r>
        <w:t>Implemented as row-level and cell-level v</w:t>
      </w:r>
      <w:r>
        <w:t>alidation attached to the Medical Record Library sheet of each wrapper workbook. Two validator families apply to every group: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Range/type validators (Age, </w:t>
      </w:r>
      <w:proofErr w:type="spellStart"/>
      <w:r>
        <w:t>Pain_Intensity</w:t>
      </w:r>
      <w:proofErr w:type="spellEnd"/>
      <w:r>
        <w:t>/VAS 0-10, BMI) — identical logic across all 18 groups, defined once and applied per wor</w:t>
      </w:r>
      <w:r>
        <w:t>kbook.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>Categorical validators on the group's grading/staging column — the permitted value set is read from Shoulder_CDSS_Field_Rule_Logic_Library.xlsx, sheet '</w:t>
      </w:r>
      <w:proofErr w:type="spellStart"/>
      <w:r>
        <w:t>Grading_Staging_Scale_Reference</w:t>
      </w:r>
      <w:proofErr w:type="spellEnd"/>
      <w:r>
        <w:t>'.</w:t>
      </w:r>
    </w:p>
    <w:p w:rsidR="00A26B62" w:rsidRDefault="002377A3">
      <w:pPr>
        <w:spacing w:after="120"/>
      </w:pPr>
      <w:r>
        <w:t>Phase-gated groups (S13, S15) carry an additional validator: th</w:t>
      </w:r>
      <w:r>
        <w:t>e group's lead red-flag field (see table below) locks Rehabilitation Phase to 'Phase 1 - Red Flag Screen' whenever it is positive, and that lock cannot be cleared by editing Rehabilitation Phase directly — only by resolving the underlying field.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60"/>
        <w:gridCol w:w="1500"/>
      </w:tblGrid>
      <w:tr w:rsidR="00A26B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666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Lead</w:t>
            </w:r>
            <w:r>
              <w:rPr>
                <w:b/>
                <w:bCs/>
                <w:color w:val="FFFFFF"/>
              </w:rPr>
              <w:t xml:space="preserve"> red-flag field</w:t>
            </w:r>
          </w:p>
        </w:tc>
        <w:tc>
          <w:tcPr>
            <w:tcW w:w="150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Locks Rehabilitation Phase to</w:t>
            </w:r>
          </w:p>
        </w:tc>
      </w:tr>
      <w:tr w:rsidR="00A26B62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A26B62" w:rsidRDefault="002377A3">
            <w:r>
              <w:t>S13</w:t>
            </w:r>
          </w:p>
        </w:tc>
        <w:tc>
          <w:tcPr>
            <w:tcW w:w="6660" w:type="dxa"/>
          </w:tcPr>
          <w:p w:rsidR="00A26B62" w:rsidRDefault="002377A3">
            <w:r>
              <w:t>Onset (acute post-operative / delayed-chronic)</w:t>
            </w:r>
          </w:p>
        </w:tc>
        <w:tc>
          <w:tcPr>
            <w:tcW w:w="1500" w:type="dxa"/>
          </w:tcPr>
          <w:p w:rsidR="00A26B62" w:rsidRDefault="002377A3">
            <w:r>
              <w:t>Phase 1 - Red Flag Screen</w:t>
            </w:r>
          </w:p>
        </w:tc>
      </w:tr>
      <w:tr w:rsidR="00A26B62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A26B62" w:rsidRDefault="002377A3">
            <w:r>
              <w:t>S15</w:t>
            </w:r>
          </w:p>
        </w:tc>
        <w:tc>
          <w:tcPr>
            <w:tcW w:w="6660" w:type="dxa"/>
          </w:tcPr>
          <w:p w:rsidR="00A26B62" w:rsidRDefault="002377A3">
            <w:r>
              <w:t>Onset (acute arm swelling/discolouration - effort thrombosis - vs chronic intermittent claudication-type)</w:t>
            </w:r>
          </w:p>
        </w:tc>
        <w:tc>
          <w:tcPr>
            <w:tcW w:w="1500" w:type="dxa"/>
          </w:tcPr>
          <w:p w:rsidR="00A26B62" w:rsidRDefault="002377A3">
            <w:r>
              <w:t>Phase 1 - Red Flag Screen</w:t>
            </w:r>
          </w:p>
        </w:tc>
      </w:tr>
    </w:tbl>
    <w:p w:rsidR="00A26B62" w:rsidRDefault="002377A3">
      <w:pPr>
        <w:pStyle w:val="Heading1"/>
      </w:pPr>
      <w:r>
        <w:t>3. Layer 2 — Cross-Sheet Event Bus</w:t>
      </w:r>
    </w:p>
    <w:p w:rsidR="00A26B62" w:rsidRDefault="002377A3">
      <w:pPr>
        <w:spacing w:after="120"/>
      </w:pPr>
      <w:r>
        <w:t>Implemented as a publish/subscribe relationship between the three sheets of a single wrapper workbook (never across wrapper workbooks — cross-group propagation is out of scope by design, since a</w:t>
      </w:r>
      <w:r>
        <w:t xml:space="preserve"> case belongs to exactly one group).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Publisher: </w:t>
      </w:r>
      <w:proofErr w:type="spellStart"/>
      <w:r>
        <w:t>MRL.Diagnosis</w:t>
      </w:r>
      <w:proofErr w:type="spellEnd"/>
      <w:r>
        <w:t xml:space="preserve"> -&gt; Subscriber: </w:t>
      </w:r>
      <w:proofErr w:type="spellStart"/>
      <w:r>
        <w:t>Protocol.Diagnosis</w:t>
      </w:r>
      <w:proofErr w:type="spellEnd"/>
      <w:r>
        <w:t xml:space="preserve"> (filters visible Protocol rows).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Publisher: </w:t>
      </w:r>
      <w:proofErr w:type="gramStart"/>
      <w:r>
        <w:t>MRL.&lt;</w:t>
      </w:r>
      <w:proofErr w:type="gramEnd"/>
      <w:r>
        <w:t>grading/staging field&gt; -&gt; Subscriber: Protocol.&lt;same-named column&gt; (filters Protocol rows to the matching sever</w:t>
      </w:r>
      <w:r>
        <w:t>ity/stage band).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Publisher: </w:t>
      </w:r>
      <w:proofErr w:type="spellStart"/>
      <w:r>
        <w:t>MRL.Rehabilitation</w:t>
      </w:r>
      <w:proofErr w:type="spellEnd"/>
      <w:r>
        <w:t xml:space="preserve"> Phase -&gt; Subscriber: </w:t>
      </w:r>
      <w:proofErr w:type="spellStart"/>
      <w:r>
        <w:t>Protocol.Rehab</w:t>
      </w:r>
      <w:proofErr w:type="spellEnd"/>
      <w:r>
        <w:t xml:space="preserve"> Phase (filters Protocol rows to the current phase).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Publisher: </w:t>
      </w:r>
      <w:proofErr w:type="spellStart"/>
      <w:r>
        <w:t>MRL.Diagnosis</w:t>
      </w:r>
      <w:proofErr w:type="spellEnd"/>
      <w:r>
        <w:t xml:space="preserve"> (on case closure) -&gt; Subscriber: Experience </w:t>
      </w:r>
      <w:proofErr w:type="spellStart"/>
      <w:r>
        <w:t>Base.Condition</w:t>
      </w:r>
      <w:proofErr w:type="spellEnd"/>
      <w:r>
        <w:t xml:space="preserve"> (writes the confirmed diagnosis into </w:t>
      </w:r>
      <w:r>
        <w:t>the audit-trail record for that case).</w:t>
      </w:r>
    </w:p>
    <w:p w:rsidR="00A26B62" w:rsidRDefault="002377A3">
      <w:pPr>
        <w:spacing w:after="120"/>
      </w:pPr>
      <w:r>
        <w:t>Full per-group event definitions are enumerated in Shoulder_CDSS_Field_Rule_Logic_Library.xlsx, sheet 'Layer2_CrossSheet_EventBus'.</w:t>
      </w:r>
    </w:p>
    <w:p w:rsidR="00A26B62" w:rsidRDefault="002377A3">
      <w:pPr>
        <w:pStyle w:val="Heading1"/>
      </w:pPr>
      <w:r>
        <w:t>4. Layer 3 — Decision Combination Engine</w:t>
      </w:r>
    </w:p>
    <w:p w:rsidR="00A26B62" w:rsidRDefault="002377A3">
      <w:pPr>
        <w:pStyle w:val="Heading2"/>
      </w:pPr>
      <w:r>
        <w:lastRenderedPageBreak/>
        <w:t>4.1 DDX rules</w:t>
      </w:r>
    </w:p>
    <w:p w:rsidR="00A26B62" w:rsidRDefault="002377A3">
      <w:pPr>
        <w:spacing w:after="120"/>
      </w:pPr>
      <w:r>
        <w:t>A DDX rule encodes the Key Dif</w:t>
      </w:r>
      <w:r>
        <w:t>ferentiating Feature column of the Condition Master List as a machine-checkable condition against the current case's MRL field values, and is used to rank or exclude candidate diagnoses within a group before Diagnosis is locked.</w:t>
      </w:r>
    </w:p>
    <w:p w:rsidR="00A26B62" w:rsidRDefault="002377A3">
      <w:pPr>
        <w:pStyle w:val="Heading2"/>
      </w:pPr>
      <w:r>
        <w:t>4.2 PHASE rules</w:t>
      </w:r>
    </w:p>
    <w:p w:rsidR="00A26B62" w:rsidRDefault="002377A3">
      <w:pPr>
        <w:spacing w:after="120"/>
      </w:pPr>
      <w:r>
        <w:t>A PHASE rul</w:t>
      </w:r>
      <w:r>
        <w:t>e gates which Protocol rows and which MRL follow-up fields are exposed, based on Rehabilitation Phase. For the 16 non-phase-gated groups this is the standard four-phase progression (acute/protective -&gt; early mobilisation -&gt; strengthening -&gt; return to activ</w:t>
      </w:r>
      <w:r>
        <w:t>ity). For S13 and S15, Phase 1 is the deterministic halt phase and Phases 2-4 reuse the relevant non-phase-gated group's progression once the halt clears (S13 -&gt; S12-style post-arthroplasty progression; S15 -&gt; standard TOS conservative/post-vascular-cleara</w:t>
      </w:r>
      <w:r>
        <w:t>nce progression).</w:t>
      </w:r>
    </w:p>
    <w:p w:rsidR="00A26B62" w:rsidRDefault="002377A3">
      <w:pPr>
        <w:pStyle w:val="Heading2"/>
      </w:pPr>
      <w:r>
        <w:t>4.3 FINAL rules</w:t>
      </w:r>
    </w:p>
    <w:p w:rsidR="00A26B62" w:rsidRDefault="002377A3">
      <w:pPr>
        <w:spacing w:after="120"/>
      </w:pPr>
      <w:r>
        <w:t>A FINAL rule locks the Diagnosis field once its preconditions are met (typically: grading/staging field populated + Red Flags/Precautions field populated), and that lock is what triggers the Layer 2 propagation events in Section 3.</w:t>
      </w:r>
    </w:p>
    <w:p w:rsidR="00A26B62" w:rsidRDefault="002377A3">
      <w:pPr>
        <w:pStyle w:val="Heading2"/>
      </w:pPr>
      <w:r>
        <w:t>4.4 PROTO rules</w:t>
      </w:r>
    </w:p>
    <w:p w:rsidR="00A26B62" w:rsidRDefault="002377A3">
      <w:pPr>
        <w:spacing w:after="120"/>
      </w:pPr>
      <w:r>
        <w:t xml:space="preserve">A PROTO </w:t>
      </w:r>
      <w:r>
        <w:t>rule selects the visible Protocol row(s) by matching Diagnosis + grading/staging value + Rehab Phase + Age range against the corresponding Protocol sheet columns. For S13/S15 Phase 1, the PROTO rule restricts matches to referral/stabilisation-guidance rows</w:t>
      </w:r>
      <w:r>
        <w:t xml:space="preserve"> only; standard exercise rows are excluded from the match set until Phase advances.</w:t>
      </w:r>
    </w:p>
    <w:p w:rsidR="00A26B62" w:rsidRDefault="002377A3">
      <w:pPr>
        <w:pStyle w:val="Heading1"/>
      </w:pPr>
      <w:r>
        <w:t xml:space="preserve">5. Where This Differs </w:t>
      </w:r>
      <w:proofErr w:type="gramStart"/>
      <w:r>
        <w:t>From</w:t>
      </w:r>
      <w:proofErr w:type="gramEnd"/>
      <w:r>
        <w:t xml:space="preserve"> the Knee Implementation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Two groups (S13, S15) implement the GROUP-WIDE phase-gated halt pattern instead of the Knee's three (W13 Infectious, W14 </w:t>
      </w:r>
      <w:r>
        <w:t>Vascular, W16 Tumours-as-halt-and-refer). AS-BUILT: S18 (Miscellaneous) does carry its own halt-and-refer logic for the oncology-equivalent diagnosis after all, but as a lighter-weight DIAGNOSIS-SCOPED constant (that one diagnosis pinned to Phase 1, not th</w:t>
      </w:r>
      <w:r>
        <w:t>e whole group) rather than a dedicated numbered group-wide halt group - see Section 7.1.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>The shared closing block's functional-test field is generalised (see Master System Flow and Document Guide, Section 3) — Layer 1 validators for this field are therefor</w:t>
      </w:r>
      <w:r>
        <w:t>e joint-agnostic rather than referencing a named lower-limb test.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>Cross-sheet event bus scope is unchanged: still strictly intra-workbook, matching the Knee implementation.</w:t>
      </w:r>
    </w:p>
    <w:p w:rsidR="00A26B62" w:rsidRDefault="002377A3">
      <w:pPr>
        <w:pStyle w:val="Heading1"/>
      </w:pPr>
      <w:r>
        <w:t>6. Testing and Verification (as completed, all 18 groups)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 xml:space="preserve">Before any wrapper workbook is used for real intake, verify: (a) all Layer 1 validators fire correctly against at least one known-valid and one known-invalid synthetic row per field; (b) Layer 2 propagation is observed end-to-end for at least one case per </w:t>
      </w:r>
      <w:r>
        <w:t>group; (c) Layer 3 FINAL rule correctly locks Diagnosis and blocks further MRL edits to locked fields.</w:t>
      </w:r>
    </w:p>
    <w:p w:rsidR="00A26B62" w:rsidRDefault="002377A3">
      <w:pPr>
        <w:pStyle w:val="ListParagraph"/>
        <w:numPr>
          <w:ilvl w:val="0"/>
          <w:numId w:val="1"/>
        </w:numPr>
        <w:spacing w:after="60"/>
      </w:pPr>
      <w:r>
        <w:t>Phase-gated groups additionally require: a synthetic case with the lead red-flag field positive must be verified to lock Rehabilitation Phase and hide al</w:t>
      </w:r>
      <w:r>
        <w:t>l non-Phase-1 Protocol rows before go-live.</w:t>
      </w:r>
    </w:p>
    <w:p w:rsidR="00A26B62" w:rsidRDefault="002377A3">
      <w:pPr>
        <w:pStyle w:val="Heading1"/>
      </w:pPr>
      <w:bookmarkStart w:id="0" w:name="_GoBack"/>
      <w:bookmarkEnd w:id="0"/>
      <w:r>
        <w:t>7. As-Built Implementation Notes (Discovered During Construction)</w:t>
      </w:r>
    </w:p>
    <w:p w:rsidR="00A26B62" w:rsidRDefault="002377A3">
      <w:pPr>
        <w:spacing w:after="120"/>
      </w:pPr>
      <w:r>
        <w:t>The items below were not knowable before construction and refine or correct the pre-build specification in Sections 2-6. They are the implemen</w:t>
      </w:r>
      <w:r>
        <w:t>tation-facing counterpart to Shoulder_CDSS_Field_Rule_Logic_Library.xlsx, sheet 'Layer1_Field_Validators', and Shoulder_CDSS_Field_Interaction_Matrix.xlsx.</w:t>
      </w:r>
    </w:p>
    <w:p w:rsidR="00A26B62" w:rsidRDefault="002377A3">
      <w:pPr>
        <w:pStyle w:val="Heading2"/>
      </w:pPr>
      <w:r>
        <w:t>7.1 Halt-pathway implementation, as actually built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60"/>
        <w:gridCol w:w="2700"/>
      </w:tblGrid>
      <w:tr w:rsidR="00A26B6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Group</w:t>
            </w:r>
          </w:p>
        </w:tc>
        <w:tc>
          <w:tcPr>
            <w:tcW w:w="546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2700" w:type="dxa"/>
            <w:shd w:val="clear" w:color="auto" w:fill="2F5597"/>
          </w:tcPr>
          <w:p w:rsidR="00A26B62" w:rsidRDefault="002377A3">
            <w:r>
              <w:rPr>
                <w:b/>
                <w:bCs/>
                <w:color w:val="FFFFFF"/>
              </w:rPr>
              <w:t>Dependency direction</w:t>
            </w:r>
          </w:p>
        </w:tc>
      </w:tr>
      <w:tr w:rsidR="00A26B62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A26B62" w:rsidRDefault="002377A3">
            <w:r>
              <w:t>S13</w:t>
            </w:r>
          </w:p>
        </w:tc>
        <w:tc>
          <w:tcPr>
            <w:tcW w:w="5460" w:type="dxa"/>
          </w:tcPr>
          <w:p w:rsidR="00A26B62" w:rsidRDefault="002377A3">
            <w:r>
              <w:t>Multi-field 'cleared' status (infection excluded/treated AND prosthesis mechanically stable) decided FIRST as the root sampling variable.</w:t>
            </w:r>
          </w:p>
        </w:tc>
        <w:tc>
          <w:tcPr>
            <w:tcW w:w="2700" w:type="dxa"/>
          </w:tcPr>
          <w:p w:rsidR="00A26B62" w:rsidRDefault="002377A3">
            <w:r>
              <w:t>REVERSED vs. the naive spec: Rehabilitation Phase is read OFF 'cleared', not the other way around.</w:t>
            </w:r>
          </w:p>
        </w:tc>
      </w:tr>
      <w:tr w:rsidR="00A26B62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A26B62" w:rsidRDefault="002377A3">
            <w:r>
              <w:t>S15</w:t>
            </w:r>
          </w:p>
        </w:tc>
        <w:tc>
          <w:tcPr>
            <w:tcW w:w="5460" w:type="dxa"/>
          </w:tcPr>
          <w:p w:rsidR="00A26B62" w:rsidRDefault="002377A3">
            <w:r>
              <w:t>Single authoritative field ('cleared') decides both Rehabilitation Phase AND the grading column (Doppler Patency) directly - deliberately simpler than S13.</w:t>
            </w:r>
          </w:p>
        </w:tc>
        <w:tc>
          <w:tcPr>
            <w:tcW w:w="2700" w:type="dxa"/>
          </w:tcPr>
          <w:p w:rsidR="00A26B62" w:rsidRDefault="002377A3">
            <w:r>
              <w:t>Same reversed direction as S13, with no independent sampling of the grading column.</w:t>
            </w:r>
          </w:p>
        </w:tc>
      </w:tr>
      <w:tr w:rsidR="00A26B62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A26B62" w:rsidRDefault="002377A3">
            <w:r>
              <w:lastRenderedPageBreak/>
              <w:t>S18</w:t>
            </w:r>
          </w:p>
        </w:tc>
        <w:tc>
          <w:tcPr>
            <w:tcW w:w="5460" w:type="dxa"/>
          </w:tcPr>
          <w:p w:rsidR="00A26B62" w:rsidRDefault="002377A3">
            <w:r>
              <w:t>Diagnosis-s</w:t>
            </w:r>
            <w:r>
              <w:t xml:space="preserve">coped constant: only "Primary/metastatic tumour of proximal </w:t>
            </w:r>
            <w:proofErr w:type="spellStart"/>
            <w:r>
              <w:t>humerus</w:t>
            </w:r>
            <w:proofErr w:type="spellEnd"/>
            <w:r>
              <w:t xml:space="preserve"> or scapula (oncology referral pathway)" is pinned to Phase 1; the other 6 of this group's 7 diagnoses sample Phase normally (</w:t>
            </w:r>
            <w:proofErr w:type="spellStart"/>
            <w:r>
              <w:t>phase_gated</w:t>
            </w:r>
            <w:proofErr w:type="spellEnd"/>
            <w:r>
              <w:t>=False for the group as a whole).</w:t>
            </w:r>
          </w:p>
        </w:tc>
        <w:tc>
          <w:tcPr>
            <w:tcW w:w="2700" w:type="dxa"/>
          </w:tcPr>
          <w:p w:rsidR="00A26B62" w:rsidRDefault="002377A3">
            <w:r>
              <w:t>Scoped to one diag</w:t>
            </w:r>
            <w:r>
              <w:t>nosis, not reversed for the whole group.</w:t>
            </w:r>
          </w:p>
        </w:tc>
      </w:tr>
    </w:tbl>
    <w:p w:rsidR="00A26B62" w:rsidRDefault="002377A3">
      <w:pPr>
        <w:pStyle w:val="Heading2"/>
      </w:pPr>
      <w:r>
        <w:t>7.2 Dedicated special-case field validators</w:t>
      </w:r>
    </w:p>
    <w:p w:rsidR="00A26B62" w:rsidRDefault="002377A3">
      <w:pPr>
        <w:spacing w:after="120"/>
      </w:pPr>
      <w:r>
        <w:t xml:space="preserve">30 fields across the 18 groups needed a dedicated override function beyond the generic </w:t>
      </w:r>
      <w:proofErr w:type="spellStart"/>
      <w:r>
        <w:t>boolean</w:t>
      </w:r>
      <w:proofErr w:type="spellEnd"/>
      <w:r>
        <w:t>/date-time/free-text/categorical/numeric parser. These cluster into recurrin</w:t>
      </w:r>
      <w:r>
        <w:t>g bug classes - useless-placeholder (name matches /</w:t>
      </w:r>
      <w:proofErr w:type="spellStart"/>
      <w:r>
        <w:t>Grade|Classification|Staging</w:t>
      </w:r>
      <w:proofErr w:type="spellEnd"/>
      <w:r>
        <w:t xml:space="preserve">/), name-mismatch (MRL header has a parenthetical the validator </w:t>
      </w:r>
      <w:proofErr w:type="spellStart"/>
      <w:r>
        <w:t>dict</w:t>
      </w:r>
      <w:proofErr w:type="spellEnd"/>
      <w:r>
        <w:t xml:space="preserve"> key lacks), normal-reference-interval-not-clinical-domain (stated range is the NORMAL interval, not the full</w:t>
      </w:r>
      <w:r>
        <w:t xml:space="preserve"> data domain), combined-two-value-field (numeric parser only reads the first hyphenated range), no-not-applicable/specify-token, and </w:t>
      </w:r>
      <w:proofErr w:type="spellStart"/>
      <w:r>
        <w:t>boolean</w:t>
      </w:r>
      <w:proofErr w:type="spellEnd"/>
      <w:r>
        <w:t>-needing-a-third-state - rather than isolated one-offs. The full per-field, per-group assignment is in Shoulder_CDSS</w:t>
      </w:r>
      <w:r>
        <w:t xml:space="preserve">_Field_Rule_Logic_Library.xlsx, sheet 'Layer1_Field_Validators'; it is not repeated here to avoid a second, </w:t>
      </w:r>
      <w:proofErr w:type="spellStart"/>
      <w:r>
        <w:t>driftable</w:t>
      </w:r>
      <w:proofErr w:type="spellEnd"/>
      <w:r>
        <w:t xml:space="preserve"> source of truth.</w:t>
      </w:r>
    </w:p>
    <w:p w:rsidR="00A26B62" w:rsidRDefault="002377A3">
      <w:pPr>
        <w:pStyle w:val="Heading2"/>
      </w:pPr>
      <w:r>
        <w:t>7.3 Grading/staging field name consistency</w:t>
      </w:r>
    </w:p>
    <w:p w:rsidR="00A26B62" w:rsidRDefault="002377A3">
      <w:pPr>
        <w:spacing w:after="120"/>
      </w:pPr>
      <w:r>
        <w:t>Whether a group's Protocol-side grading/staging column also appears verbatim a</w:t>
      </w:r>
      <w:r>
        <w:t xml:space="preserve">s an MRL field is a per-group fact, not a universal rule: 8 of 18 groups share the identical name on both sheets; the rest have either a differently-named MRL-side counterpart or (S05, S13) no MRL-side counterpart at all, because the grading concept there </w:t>
      </w:r>
      <w:r>
        <w:t>is a hidden root-sampling variable rather than a stored field. See Shoulder_CDSS_Field_Interaction_Matrix.xlsx, sheet '</w:t>
      </w:r>
      <w:proofErr w:type="spellStart"/>
      <w:r>
        <w:t>MRL_to_Protocol_Mapping</w:t>
      </w:r>
      <w:proofErr w:type="spellEnd"/>
      <w:r>
        <w:t>', for the resolved relationship per group.</w:t>
      </w:r>
    </w:p>
    <w:sectPr w:rsidR="00A26B6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870E40"/>
    <w:multiLevelType w:val="hybridMultilevel"/>
    <w:tmpl w:val="B8F08304"/>
    <w:lvl w:ilvl="0" w:tplc="D760146E">
      <w:start w:val="1"/>
      <w:numFmt w:val="bullet"/>
      <w:lvlText w:val="●"/>
      <w:lvlJc w:val="left"/>
      <w:pPr>
        <w:ind w:left="720" w:hanging="360"/>
      </w:pPr>
    </w:lvl>
    <w:lvl w:ilvl="1" w:tplc="FD52EA40">
      <w:start w:val="1"/>
      <w:numFmt w:val="bullet"/>
      <w:lvlText w:val="○"/>
      <w:lvlJc w:val="left"/>
      <w:pPr>
        <w:ind w:left="1440" w:hanging="360"/>
      </w:pPr>
    </w:lvl>
    <w:lvl w:ilvl="2" w:tplc="55D8A9EC">
      <w:start w:val="1"/>
      <w:numFmt w:val="bullet"/>
      <w:lvlText w:val="■"/>
      <w:lvlJc w:val="left"/>
      <w:pPr>
        <w:ind w:left="2160" w:hanging="360"/>
      </w:pPr>
    </w:lvl>
    <w:lvl w:ilvl="3" w:tplc="663C7BFC">
      <w:start w:val="1"/>
      <w:numFmt w:val="bullet"/>
      <w:lvlText w:val="●"/>
      <w:lvlJc w:val="left"/>
      <w:pPr>
        <w:ind w:left="2880" w:hanging="360"/>
      </w:pPr>
    </w:lvl>
    <w:lvl w:ilvl="4" w:tplc="0DD058F2">
      <w:start w:val="1"/>
      <w:numFmt w:val="bullet"/>
      <w:lvlText w:val="○"/>
      <w:lvlJc w:val="left"/>
      <w:pPr>
        <w:ind w:left="3600" w:hanging="360"/>
      </w:pPr>
    </w:lvl>
    <w:lvl w:ilvl="5" w:tplc="CC08CE20">
      <w:start w:val="1"/>
      <w:numFmt w:val="bullet"/>
      <w:lvlText w:val="■"/>
      <w:lvlJc w:val="left"/>
      <w:pPr>
        <w:ind w:left="4320" w:hanging="360"/>
      </w:pPr>
    </w:lvl>
    <w:lvl w:ilvl="6" w:tplc="5838D61E">
      <w:start w:val="1"/>
      <w:numFmt w:val="bullet"/>
      <w:lvlText w:val="●"/>
      <w:lvlJc w:val="left"/>
      <w:pPr>
        <w:ind w:left="5040" w:hanging="360"/>
      </w:pPr>
    </w:lvl>
    <w:lvl w:ilvl="7" w:tplc="C14AA5D6">
      <w:start w:val="1"/>
      <w:numFmt w:val="bullet"/>
      <w:lvlText w:val="●"/>
      <w:lvlJc w:val="left"/>
      <w:pPr>
        <w:ind w:left="5760" w:hanging="360"/>
      </w:pPr>
    </w:lvl>
    <w:lvl w:ilvl="8" w:tplc="945CF9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B62"/>
    <w:rsid w:val="002377A3"/>
    <w:rsid w:val="00A2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8F9119A-39FC-471A-A592-9EAC2207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1275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2026-10-01T19:01:00Z</dcterms:created>
  <dcterms:modified xsi:type="dcterms:W3CDTF">2026-10-02T03:26:00Z</dcterms:modified>
</cp:coreProperties>
</file>