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sz w:val="48"/>
          <w:szCs w:val="48"/>
          <w:rtl w:val="0"/>
        </w:rPr>
        <w:t xml:space="preserve">SMAART Shoulder CDSS</w:t>
      </w: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i w:val="1"/>
          <w:iCs w:val="1"/>
          <w:sz w:val="28"/>
          <w:szCs w:val="28"/>
          <w:rtl w:val="0"/>
        </w:rPr>
        <w:t xml:space="preserve">Master System Flow and Document Guide</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Purpose and Scope</w:t>
      </w:r>
    </w:p>
    <w:p w:rsidR="00000000" w:rsidDel="00000000" w:rsidP="00000000" w:rsidRDefault="00000000" w:rsidRPr="00000000" w14:paraId="00000005">
      <w:pPr>
        <w:spacing w:after="120" w:lineRule="auto"/>
        <w:rPr/>
      </w:pPr>
      <w:r w:rsidDel="00000000" w:rsidR="00000000" w:rsidRPr="00000000">
        <w:rPr>
          <w:b w:val="0"/>
          <w:bCs w:val="0"/>
          <w:i w:val="0"/>
          <w:iCs w:val="0"/>
          <w:rtl w:val="0"/>
        </w:rPr>
        <w:t xml:space="preserve">This document is the top-level guide to the SMAART Shoulder Clinical Decision Support System (CDSS) documentation set. It mirrors, document-for-document, the architecture already built and validated for the Knee CDSS (01_Current_CDSS_System, W01-W18), replacing the Knee's 18 condition groups with 18 independently-derived Shoulder condition groups (S01-S18). Per the governing instruction for this replication, no Knee category was relabelled or copied by name; each Shoulder group was constructed from genuine shoulder-girdle pathology domains, and any structural pattern reused from the Knee (phase-gated halt pathways, the default/dominant-group convention, the paediatric/congenital wrapper, the miscellaneous/rare fallback) is called out explicitly wherever it appears.</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2. Document Set Overview</w:t>
      </w:r>
    </w:p>
    <w:p w:rsidR="00000000" w:rsidDel="00000000" w:rsidP="00000000" w:rsidRDefault="00000000" w:rsidRPr="00000000" w14:paraId="00000007">
      <w:pPr>
        <w:spacing w:after="120" w:lineRule="auto"/>
        <w:rPr/>
      </w:pPr>
      <w:r w:rsidDel="00000000" w:rsidR="00000000" w:rsidRPr="00000000">
        <w:rPr>
          <w:b w:val="0"/>
          <w:bCs w:val="0"/>
          <w:i w:val="0"/>
          <w:iCs w:val="0"/>
          <w:rtl w:val="0"/>
        </w:rPr>
        <w:t xml:space="preserve">The complete Shoulder CDSS documentation package consists of the following items, matching the nine system-level document types established for the Knee: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300"/>
        <w:gridCol w:w="1900"/>
        <w:gridCol w:w="3660"/>
        <w:tblGridChange w:id="0">
          <w:tblGrid>
            <w:gridCol w:w="500"/>
            <w:gridCol w:w="3300"/>
            <w:gridCol w:w="1900"/>
            <w:gridCol w:w="3660"/>
          </w:tblGrid>
        </w:tblGridChange>
      </w:tblGrid>
      <w:tr>
        <w:trPr>
          <w:cantSplit w:val="0"/>
          <w:tblHeader w:val="1"/>
        </w:trPr>
        <w:tc>
          <w:tcPr>
            <w:shd w:fill="2f5597" w:val="clear"/>
          </w:tcPr>
          <w:p w:rsidR="00000000" w:rsidDel="00000000" w:rsidP="00000000" w:rsidRDefault="00000000" w:rsidRPr="00000000" w14:paraId="00000008">
            <w:pPr>
              <w:rPr/>
            </w:pPr>
            <w:r w:rsidDel="00000000" w:rsidR="00000000" w:rsidRPr="00000000">
              <w:rPr>
                <w:b w:val="1"/>
                <w:bCs w:val="1"/>
                <w:color w:val="ffffff"/>
                <w:sz w:val="20"/>
                <w:szCs w:val="20"/>
                <w:rtl w:val="0"/>
              </w:rPr>
              <w:t xml:space="preserve">#</w:t>
            </w:r>
            <w:r w:rsidDel="00000000" w:rsidR="00000000" w:rsidRPr="00000000">
              <w:rPr>
                <w:rtl w:val="0"/>
              </w:rPr>
            </w:r>
          </w:p>
        </w:tc>
        <w:tc>
          <w:tcPr>
            <w:shd w:fill="2f5597" w:val="clea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Document</w:t>
            </w:r>
            <w:r w:rsidDel="00000000" w:rsidR="00000000" w:rsidRPr="00000000">
              <w:rPr>
                <w:rtl w:val="0"/>
              </w:rPr>
            </w:r>
          </w:p>
        </w:tc>
        <w:tc>
          <w:tcPr>
            <w:shd w:fill="2f5597" w:val="clea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Type</w:t>
            </w:r>
            <w:r w:rsidDel="00000000" w:rsidR="00000000" w:rsidRPr="00000000">
              <w:rPr>
                <w:rtl w:val="0"/>
              </w:rPr>
            </w:r>
          </w:p>
        </w:tc>
        <w:tc>
          <w:tcPr>
            <w:shd w:fill="2f5597" w:val="clea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b w:val="0"/>
                <w:bCs w:val="0"/>
                <w:sz w:val="20"/>
                <w:szCs w:val="20"/>
                <w:rtl w:val="0"/>
              </w:rPr>
              <w:t xml:space="preserve">1</w:t>
            </w:r>
            <w:r w:rsidDel="00000000" w:rsidR="00000000" w:rsidRPr="00000000">
              <w:rPr>
                <w:rtl w:val="0"/>
              </w:rPr>
            </w:r>
          </w:p>
        </w:tc>
        <w:tc>
          <w:tcPr/>
          <w:p w:rsidR="00000000" w:rsidDel="00000000" w:rsidP="00000000" w:rsidRDefault="00000000" w:rsidRPr="00000000" w14:paraId="0000000D">
            <w:pPr>
              <w:rPr/>
            </w:pPr>
            <w:r w:rsidDel="00000000" w:rsidR="00000000" w:rsidRPr="00000000">
              <w:rPr>
                <w:b w:val="0"/>
                <w:bCs w:val="0"/>
                <w:sz w:val="20"/>
                <w:szCs w:val="20"/>
                <w:rtl w:val="0"/>
              </w:rPr>
              <w:t xml:space="preserve">Shoulder_Condition_Grouping_Rationale_and_Index.md</w:t>
            </w:r>
            <w:r w:rsidDel="00000000" w:rsidR="00000000" w:rsidRPr="00000000">
              <w:rPr>
                <w:rtl w:val="0"/>
              </w:rPr>
            </w:r>
          </w:p>
        </w:tc>
        <w:tc>
          <w:tcPr/>
          <w:p w:rsidR="00000000" w:rsidDel="00000000" w:rsidP="00000000" w:rsidRDefault="00000000" w:rsidRPr="00000000" w14:paraId="0000000E">
            <w:pPr>
              <w:rPr/>
            </w:pPr>
            <w:r w:rsidDel="00000000" w:rsidR="00000000" w:rsidRPr="00000000">
              <w:rPr>
                <w:b w:val="0"/>
                <w:bCs w:val="0"/>
                <w:sz w:val="20"/>
                <w:szCs w:val="20"/>
                <w:rtl w:val="0"/>
              </w:rPr>
              <w:t xml:space="preserve">Markdown</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0"/>
                <w:bCs w:val="0"/>
                <w:sz w:val="20"/>
                <w:szCs w:val="20"/>
                <w:rtl w:val="0"/>
              </w:rPr>
              <w:t xml:space="preserve">Defines the S01-S18 taxonomy, rationale, conditions and cross-references.</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0"/>
                <w:bCs w:val="0"/>
                <w:sz w:val="20"/>
                <w:szCs w:val="20"/>
                <w:rtl w:val="0"/>
              </w:rPr>
              <w:t xml:space="preserve">2</w:t>
            </w:r>
            <w:r w:rsidDel="00000000" w:rsidR="00000000" w:rsidRPr="00000000">
              <w:rPr>
                <w:rtl w:val="0"/>
              </w:rPr>
            </w:r>
          </w:p>
        </w:tc>
        <w:tc>
          <w:tcPr/>
          <w:p w:rsidR="00000000" w:rsidDel="00000000" w:rsidP="00000000" w:rsidRDefault="00000000" w:rsidRPr="00000000" w14:paraId="00000011">
            <w:pPr>
              <w:rPr/>
            </w:pPr>
            <w:r w:rsidDel="00000000" w:rsidR="00000000" w:rsidRPr="00000000">
              <w:rPr>
                <w:b w:val="0"/>
                <w:bCs w:val="0"/>
                <w:sz w:val="20"/>
                <w:szCs w:val="20"/>
                <w:rtl w:val="0"/>
              </w:rPr>
              <w:t xml:space="preserve">Shoulder_CDSS_Condition_Master_List.csv</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sz w:val="20"/>
                <w:szCs w:val="20"/>
                <w:rtl w:val="0"/>
              </w:rPr>
              <w:t xml:space="preserve">CSV</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0"/>
                <w:bCs w:val="0"/>
                <w:sz w:val="20"/>
                <w:szCs w:val="20"/>
                <w:rtl w:val="0"/>
              </w:rPr>
              <w:t xml:space="preserve">Flat, filterable list of all 97 named conditions with age group, onset type and key differentiator.</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0"/>
                <w:bCs w:val="0"/>
                <w:sz w:val="20"/>
                <w:szCs w:val="20"/>
                <w:rtl w:val="0"/>
              </w:rPr>
              <w:t xml:space="preserve">3</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sz w:val="20"/>
                <w:szCs w:val="20"/>
                <w:rtl w:val="0"/>
              </w:rPr>
              <w:t xml:space="preserve">Shoulder_CDSS_Wrapper_Routing_Map.xlsx</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sz w:val="20"/>
                <w:szCs w:val="20"/>
                <w:rtl w:val="0"/>
              </w:rPr>
              <w:t xml:space="preserve">Excel (7 sheets)</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0"/>
                <w:bCs w:val="0"/>
                <w:sz w:val="20"/>
                <w:szCs w:val="20"/>
                <w:rtl w:val="0"/>
              </w:rPr>
              <w:t xml:space="preserve">Routes an intake presentation to the correct wrapper, including red-flag and branch-flow logic.</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b w:val="0"/>
                <w:bCs w:val="0"/>
                <w:sz w:val="20"/>
                <w:szCs w:val="20"/>
                <w:rtl w:val="0"/>
              </w:rPr>
              <w:t xml:space="preserve">4</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sz w:val="20"/>
                <w:szCs w:val="20"/>
                <w:rtl w:val="0"/>
              </w:rPr>
              <w:t xml:space="preserve">Shoulder_CDSS_Field_Rule_Logic_Library.xlsx</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0"/>
                <w:bCs w:val="0"/>
                <w:sz w:val="20"/>
                <w:szCs w:val="20"/>
                <w:rtl w:val="0"/>
              </w:rPr>
              <w:t xml:space="preserve">Excel (10 sheets)</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sz w:val="20"/>
                <w:szCs w:val="20"/>
                <w:rtl w:val="0"/>
              </w:rPr>
              <w:t xml:space="preserve">The Layer 1-3 rule library (validators, event-bus, DDX/PHASE/FINAL/PROTO rules).</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0"/>
                <w:bCs w:val="0"/>
                <w:sz w:val="20"/>
                <w:szCs w:val="20"/>
                <w:rtl w:val="0"/>
              </w:rPr>
              <w:t xml:space="preserve">5</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sz w:val="20"/>
                <w:szCs w:val="20"/>
                <w:rtl w:val="0"/>
              </w:rPr>
              <w:t xml:space="preserve">Shoulder_CDSS_Field_Interaction_Matrix.xlsx</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sz w:val="20"/>
                <w:szCs w:val="20"/>
                <w:rtl w:val="0"/>
              </w:rPr>
              <w:t xml:space="preserve">Excel (8 sheets)</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sz w:val="20"/>
                <w:szCs w:val="20"/>
                <w:rtl w:val="0"/>
              </w:rPr>
              <w:t xml:space="preserve">Documents field-to-field interactions within and across sheets, for all 18 groups.</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0"/>
                <w:bCs w:val="0"/>
                <w:sz w:val="20"/>
                <w:szCs w:val="20"/>
                <w:rtl w:val="0"/>
              </w:rPr>
              <w:t xml:space="preserve">6</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sz w:val="20"/>
                <w:szCs w:val="20"/>
                <w:rtl w:val="0"/>
              </w:rPr>
              <w:t xml:space="preserve">Shoulder_CDSS_Field_Interaction_Implementation.docx</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sz w:val="20"/>
                <w:szCs w:val="20"/>
                <w:rtl w:val="0"/>
              </w:rPr>
              <w:t xml:space="preserve">Word</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0"/>
                <w:bCs w:val="0"/>
                <w:sz w:val="20"/>
                <w:szCs w:val="20"/>
                <w:rtl w:val="0"/>
              </w:rPr>
              <w:t xml:space="preserve">Engineering-facing implementation guide for the three-layer interaction engine.</w:t>
            </w: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sz w:val="20"/>
                <w:szCs w:val="20"/>
                <w:rtl w:val="0"/>
              </w:rPr>
              <w:t xml:space="preserve">7</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20"/>
                <w:szCs w:val="20"/>
                <w:rtl w:val="0"/>
              </w:rPr>
              <w:t xml:space="preserve">Shoulder_CDSS_Workflow_and_Navigation_Guide.docx</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sz w:val="20"/>
                <w:szCs w:val="20"/>
                <w:rtl w:val="0"/>
              </w:rPr>
              <w:t xml:space="preserve">Word</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sz w:val="20"/>
                <w:szCs w:val="20"/>
                <w:rtl w:val="0"/>
              </w:rPr>
              <w:t xml:space="preserve">Clinician-facing guide to using the wrapper workbooks day to day.</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0"/>
                <w:bCs w:val="0"/>
                <w:sz w:val="20"/>
                <w:szCs w:val="20"/>
                <w:rtl w:val="0"/>
              </w:rPr>
              <w:t xml:space="preserve">8</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sz w:val="20"/>
                <w:szCs w:val="20"/>
                <w:rtl w:val="0"/>
              </w:rPr>
              <w:t xml:space="preserve">Shoulder_CDSS_Simulation_Validation_Layer_Requirements.docx</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sz w:val="20"/>
                <w:szCs w:val="20"/>
                <w:rtl w:val="0"/>
              </w:rPr>
              <w:t xml:space="preserve">Word</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sz w:val="20"/>
                <w:szCs w:val="20"/>
                <w:rtl w:val="0"/>
              </w:rPr>
              <w:t xml:space="preserve">Requirements for the blinded double-review and adjudication layer that feeds the Experience Base.</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b w:val="0"/>
                <w:bCs w:val="0"/>
                <w:sz w:val="20"/>
                <w:szCs w:val="20"/>
                <w:rtl w:val="0"/>
              </w:rPr>
              <w:t xml:space="preserve">9</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sz w:val="20"/>
                <w:szCs w:val="20"/>
                <w:rtl w:val="0"/>
              </w:rPr>
              <w:t xml:space="preserve">S01-S18_...Golden_Dataset.xlsx (18 files)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0"/>
                <w:bCs w:val="0"/>
                <w:sz w:val="20"/>
                <w:szCs w:val="20"/>
                <w:rtl w:val="0"/>
              </w:rPr>
              <w:t xml:space="preserve">Excel (3 sheets each)</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30">
            <w:pPr>
              <w:rPr/>
            </w:pPr>
            <w:r w:rsidDel="00000000" w:rsidR="00000000" w:rsidRPr="00000000">
              <w:rPr>
                <w:b w:val="0"/>
                <w:bCs w:val="0"/>
                <w:sz w:val="20"/>
                <w:szCs w:val="20"/>
                <w:rtl w:val="0"/>
              </w:rPr>
              <w:t xml:space="preserve">10</w:t>
            </w:r>
            <w:r w:rsidDel="00000000" w:rsidR="00000000" w:rsidRPr="00000000">
              <w:rPr>
                <w:rtl w:val="0"/>
              </w:rPr>
            </w:r>
          </w:p>
        </w:tc>
        <w:tc>
          <w:tcPr/>
          <w:p w:rsidR="00000000" w:rsidDel="00000000" w:rsidP="00000000" w:rsidRDefault="00000000" w:rsidRPr="00000000" w14:paraId="00000031">
            <w:pPr>
              <w:rPr/>
            </w:pPr>
            <w:r w:rsidDel="00000000" w:rsidR="00000000" w:rsidRPr="00000000">
              <w:rPr>
                <w:b w:val="0"/>
                <w:bCs w:val="0"/>
                <w:sz w:val="20"/>
                <w:szCs w:val="20"/>
                <w:rtl w:val="0"/>
              </w:rPr>
              <w:t xml:space="preserve">S01-S18_Field_Rule_Logic_Document.docx (18 files)</w:t>
            </w: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0"/>
                <w:bCs w:val="0"/>
                <w:sz w:val="20"/>
                <w:szCs w:val="20"/>
                <w:rtl w:val="0"/>
              </w:rPr>
              <w:t xml:space="preserve">Word</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0"/>
                <w:bCs w:val="0"/>
                <w:sz w:val="20"/>
                <w:szCs w:val="20"/>
                <w:rtl w:val="0"/>
              </w:rPr>
              <w:t xml:space="preserve">COMPLETE per-wrapper validation-logic companion: full field-by-field data type and valid-range/value specification for every MRL/Experience Base/Protocol field in that group, plus DDX, grading scale, phase logic, red flags, and follow-up consistency rules - updated to the as-built (not pre-build) specification.</w:t>
            </w:r>
            <w:r w:rsidDel="00000000" w:rsidR="00000000" w:rsidRPr="00000000">
              <w:rPr>
                <w:rtl w:val="0"/>
              </w:rPr>
            </w:r>
          </w:p>
        </w:tc>
      </w:tr>
    </w:tbl>
    <w:p w:rsidR="00000000" w:rsidDel="00000000" w:rsidP="00000000" w:rsidRDefault="00000000" w:rsidRPr="00000000" w14:paraId="00000034">
      <w:pPr>
        <w:pStyle w:val="Heading1"/>
        <w:rPr/>
      </w:pPr>
      <w:r w:rsidDel="00000000" w:rsidR="00000000" w:rsidRPr="00000000">
        <w:rPr>
          <w:rtl w:val="0"/>
        </w:rPr>
        <w:t xml:space="preserve">3. Three-Sheet Wrapper Schema (shared by all 18 groups)</w:t>
      </w:r>
    </w:p>
    <w:p w:rsidR="00000000" w:rsidDel="00000000" w:rsidP="00000000" w:rsidRDefault="00000000" w:rsidRPr="00000000" w14:paraId="00000035">
      <w:pPr>
        <w:pStyle w:val="Heading2"/>
        <w:rPr/>
      </w:pPr>
      <w:r w:rsidDel="00000000" w:rsidR="00000000" w:rsidRPr="00000000">
        <w:rPr>
          <w:rtl w:val="0"/>
        </w:rPr>
        <w:t xml:space="preserve">3.1 Medical Record Library</w:t>
      </w:r>
    </w:p>
    <w:p w:rsidR="00000000" w:rsidDel="00000000" w:rsidP="00000000" w:rsidRDefault="00000000" w:rsidRPr="00000000" w14:paraId="00000036">
      <w:pPr>
        <w:spacing w:after="120" w:lineRule="auto"/>
        <w:rPr/>
      </w:pPr>
      <w:r w:rsidDel="00000000" w:rsidR="00000000" w:rsidRPr="00000000">
        <w:rPr>
          <w:b w:val="0"/>
          <w:bCs w:val="0"/>
          <w:i w:val="0"/>
          <w:iCs w:val="0"/>
          <w:rtl w:val="0"/>
        </w:rPr>
        <w:t xml:space="preserve">Core demographic/pain block (A-M, identical across all groups) + a shared 11-field history/screening block (dominant arm, affected side dominance, prior shoulder surgery, prior episodes/treatment received, aggravating/easing factors, night pain, sleep disturbance, smoking status, cervical spine differential screen) + group-specific mechanism/exam/imaging fields + shared closing block (Diagnosis, Red Flags, VAS, group-specific PROMs, Functional Test, Rehabilitation Phase, Protocol mapping, Follow-up tracking, group-specific follow-up fields, Return to Activities, Patient Goals/Expectations, Notes).</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b w:val="0"/>
          <w:bCs w:val="0"/>
          <w:i w:val="0"/>
          <w:iCs w:val="0"/>
          <w:rtl w:val="0"/>
        </w:rPr>
        <w:t xml:space="preserve">The shared history/screening block was added on a clinical-completeness review (2026-09-29) so that every wrapper, regardless of which group a case is routed to, captures the same baseline intake information a patient would be asked at first presentation — not just the group-specific special tests. Column counts per group rose from 32-49 to 46-63 as a result; the full per-group breakdown is in Section 5.</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tl w:val="0"/>
        </w:rPr>
        <w:t xml:space="preserve">3.2 Experience Base</w:t>
      </w:r>
    </w:p>
    <w:p w:rsidR="00000000" w:rsidDel="00000000" w:rsidP="00000000" w:rsidRDefault="00000000" w:rsidRPr="00000000" w14:paraId="00000039">
      <w:pPr>
        <w:spacing w:after="120" w:lineRule="auto"/>
        <w:rPr/>
      </w:pPr>
      <w:r w:rsidDel="00000000" w:rsidR="00000000" w:rsidRPr="00000000">
        <w:rPr>
          <w:b w:val="0"/>
          <w:bCs w:val="0"/>
          <w:i w:val="0"/>
          <w:iCs w:val="0"/>
          <w:rtl w:val="0"/>
        </w:rPr>
        <w:t xml:space="preserve">Identical 29-field condensed case-narrative and AI audit-trail schema across all 18 groups (Condition through Timestamp Last Updated) — header-only until real cases are logged.</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3.3 Protocol</w:t>
      </w:r>
    </w:p>
    <w:p w:rsidR="00000000" w:rsidDel="00000000" w:rsidP="00000000" w:rsidRDefault="00000000" w:rsidRPr="00000000" w14:paraId="0000003B">
      <w:pPr>
        <w:spacing w:after="120" w:lineRule="auto"/>
        <w:rPr/>
      </w:pPr>
      <w:r w:rsidDel="00000000" w:rsidR="00000000" w:rsidRPr="00000000">
        <w:rPr>
          <w:b w:val="0"/>
          <w:bCs w:val="0"/>
          <w:i w:val="0"/>
          <w:iCs w:val="0"/>
          <w:rtl w:val="0"/>
        </w:rPr>
        <w:t xml:space="preserve">Identical 21-field protocol-authoring schema across all 18 groups, with one group-specific grading/staging/classification column replacing the generic placeholder — header-only until real protocol content is authored.</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0"/>
          <w:bCs w:val="0"/>
          <w:i w:val="1"/>
          <w:iCs w:val="1"/>
          <w:rtl w:val="0"/>
        </w:rPr>
        <w:t xml:space="preserve">Deliberate deviation from the Knee schema: the Knee's lower-limb "6-Minute Walk Test (6MWT) or Timed Up and Go (TUG)" and "Sit-to-Stand Grade" fields do not transfer to an upper-limb joint and have been generalised to a single "Functional Test" field. This is the only structural change from the Knee closing block and is documented here and in the Grouping Rationale index rather than made silently.</w:t>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4. Three-Layer CDSS Engine Architecture</w:t>
      </w:r>
    </w:p>
    <w:p w:rsidR="00000000" w:rsidDel="00000000" w:rsidP="00000000" w:rsidRDefault="00000000" w:rsidRPr="00000000" w14:paraId="0000003E">
      <w:pPr>
        <w:spacing w:after="120" w:lineRule="auto"/>
        <w:rPr/>
      </w:pPr>
      <w:r w:rsidDel="00000000" w:rsidR="00000000" w:rsidRPr="00000000">
        <w:rPr>
          <w:b w:val="0"/>
          <w:bCs w:val="0"/>
          <w:i w:val="0"/>
          <w:iCs w:val="0"/>
          <w:rtl w:val="0"/>
        </w:rPr>
        <w:t xml:space="preserve">The Shoulder CDSS reuses the same three-layer engine architecture validated for the Knee system:</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Layer 1 - Within-Sheet field validators: single-field and same-sheet cross-field checks (e.g. Age plausibility, VAS range, grading-scale category membership).</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Layer 2 - Cross-Sheet event-bus propagation: a confirmed value in one sheet (e.g. MRL.Diagnosis) filters or locks fields in another sheet (e.g. Protocol.Diagnosis, Experience Base.Condition).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Layer 3 - Decision Combination Engine: DDX rules (differential diagnosis logic keyed to the Condition Master List's Key Differentiating Feature column), PHASE rules (rehab-phase gating), FINAL rules (diagnosis-lock conditions), and PROTO rules (protocol-row selection logic).</w:t>
      </w:r>
    </w:p>
    <w:p w:rsidR="00000000" w:rsidDel="00000000" w:rsidP="00000000" w:rsidRDefault="00000000" w:rsidRPr="00000000" w14:paraId="00000042">
      <w:pPr>
        <w:spacing w:after="120" w:lineRule="auto"/>
        <w:rPr/>
      </w:pPr>
      <w:r w:rsidDel="00000000" w:rsidR="00000000" w:rsidRPr="00000000">
        <w:rPr>
          <w:b w:val="0"/>
          <w:bCs w:val="0"/>
          <w:i w:val="0"/>
          <w:iCs w:val="0"/>
          <w:rtl w:val="0"/>
        </w:rPr>
        <w:t xml:space="preserve">Full rule definitions are in Shoulder_CDSS_Field_Rule_Logic_Library.xlsx; this document only summarises the architecture. See also Shoulder_CDSS_Field_Interaction_Implementation.docx for the engineering-facing detail.</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5. The 18 Shoulder Condition Groups (S01-S18)</w:t>
      </w:r>
    </w:p>
    <w:p w:rsidR="00000000" w:rsidDel="00000000" w:rsidP="00000000" w:rsidRDefault="00000000" w:rsidRPr="00000000" w14:paraId="00000044">
      <w:pPr>
        <w:spacing w:after="120" w:lineRule="auto"/>
        <w:rPr/>
      </w:pPr>
      <w:r w:rsidDel="00000000" w:rsidR="00000000" w:rsidRPr="00000000">
        <w:rPr>
          <w:b w:val="0"/>
          <w:bCs w:val="0"/>
          <w:i w:val="0"/>
          <w:iCs w:val="0"/>
          <w:rtl w:val="0"/>
        </w:rPr>
        <w:t xml:space="preserve">Full rationale, conditions and cross-references are in the Grouping Rationale index. Summary (MRL column count includes the 13-field Core block + 11-field shared history block + group-specific fields + shared closing block). Golden Dataset row counts are the REAL, independently-validated (0 contradictions) totals from the completed build, not estimates: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600"/>
        <w:gridCol w:w="900"/>
        <w:gridCol w:w="1300"/>
        <w:gridCol w:w="2860"/>
        <w:tblGridChange w:id="0">
          <w:tblGrid>
            <w:gridCol w:w="700"/>
            <w:gridCol w:w="3600"/>
            <w:gridCol w:w="900"/>
            <w:gridCol w:w="1300"/>
            <w:gridCol w:w="2860"/>
          </w:tblGrid>
        </w:tblGridChange>
      </w:tblGrid>
      <w:tr>
        <w:trPr>
          <w:cantSplit w:val="0"/>
          <w:tblHeader w:val="1"/>
        </w:trPr>
        <w:tc>
          <w:tcPr>
            <w:shd w:fill="2f5597" w:val="cle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ID</w:t>
            </w:r>
            <w:r w:rsidDel="00000000" w:rsidR="00000000" w:rsidRPr="00000000">
              <w:rPr>
                <w:rtl w:val="0"/>
              </w:rPr>
            </w:r>
          </w:p>
        </w:tc>
        <w:tc>
          <w:tcPr>
            <w:shd w:fill="2f5597" w:val="cle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Group Name</w:t>
            </w:r>
            <w:r w:rsidDel="00000000" w:rsidR="00000000" w:rsidRPr="00000000">
              <w:rPr>
                <w:rtl w:val="0"/>
              </w:rPr>
            </w:r>
          </w:p>
        </w:tc>
        <w:tc>
          <w:tcPr>
            <w:shd w:fill="2f5597" w:val="clear"/>
          </w:tcPr>
          <w:p w:rsidR="00000000" w:rsidDel="00000000" w:rsidP="00000000" w:rsidRDefault="00000000" w:rsidRPr="00000000" w14:paraId="00000047">
            <w:pPr>
              <w:rPr/>
            </w:pPr>
            <w:r w:rsidDel="00000000" w:rsidR="00000000" w:rsidRPr="00000000">
              <w:rPr>
                <w:b w:val="1"/>
                <w:bCs w:val="1"/>
                <w:color w:val="ffffff"/>
                <w:sz w:val="20"/>
                <w:szCs w:val="20"/>
                <w:rtl w:val="0"/>
              </w:rPr>
              <w:t xml:space="preserve">MRL Cols</w:t>
            </w:r>
            <w:r w:rsidDel="00000000" w:rsidR="00000000" w:rsidRPr="00000000">
              <w:rPr>
                <w:rtl w:val="0"/>
              </w:rPr>
            </w:r>
          </w:p>
        </w:tc>
        <w:tc>
          <w:tcPr>
            <w:shd w:fill="2f5597" w:val="clear"/>
          </w:tcPr>
          <w:p w:rsidR="00000000" w:rsidDel="00000000" w:rsidP="00000000" w:rsidRDefault="00000000" w:rsidRPr="00000000" w14:paraId="00000048">
            <w:pPr>
              <w:rPr/>
            </w:pPr>
            <w:r w:rsidDel="00000000" w:rsidR="00000000" w:rsidRPr="00000000">
              <w:rPr>
                <w:b w:val="1"/>
                <w:bCs w:val="1"/>
                <w:color w:val="ffffff"/>
                <w:sz w:val="20"/>
                <w:szCs w:val="20"/>
                <w:rtl w:val="0"/>
              </w:rPr>
              <w:t xml:space="preserve">Phase-Gated</w:t>
            </w:r>
            <w:r w:rsidDel="00000000" w:rsidR="00000000" w:rsidRPr="00000000">
              <w:rPr>
                <w:rtl w:val="0"/>
              </w:rPr>
            </w:r>
          </w:p>
        </w:tc>
        <w:tc>
          <w:tcPr>
            <w:shd w:fill="2f5597" w:val="clear"/>
          </w:tcPr>
          <w:p w:rsidR="00000000" w:rsidDel="00000000" w:rsidP="00000000" w:rsidRDefault="00000000" w:rsidRPr="00000000" w14:paraId="00000049">
            <w:pPr>
              <w:rPr/>
            </w:pPr>
            <w:r w:rsidDel="00000000" w:rsidR="00000000" w:rsidRPr="00000000">
              <w:rPr>
                <w:b w:val="1"/>
                <w:bCs w:val="1"/>
                <w:color w:val="ffffff"/>
                <w:sz w:val="20"/>
                <w:szCs w:val="20"/>
                <w:rtl w:val="0"/>
              </w:rPr>
              <w:t xml:space="preserve">Golden Dataset Rows (Protocol/MRL/EB)</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b w:val="0"/>
                <w:bCs w:val="0"/>
                <w:sz w:val="20"/>
                <w:szCs w:val="20"/>
                <w:rtl w:val="0"/>
              </w:rPr>
              <w:t xml:space="preserve">S01</w:t>
            </w:r>
            <w:r w:rsidDel="00000000" w:rsidR="00000000" w:rsidRPr="00000000">
              <w:rPr>
                <w:rtl w:val="0"/>
              </w:rPr>
            </w:r>
          </w:p>
        </w:tc>
        <w:tc>
          <w:tcPr/>
          <w:p w:rsidR="00000000" w:rsidDel="00000000" w:rsidP="00000000" w:rsidRDefault="00000000" w:rsidRPr="00000000" w14:paraId="0000004B">
            <w:pPr>
              <w:rPr/>
            </w:pPr>
            <w:r w:rsidDel="00000000" w:rsidR="00000000" w:rsidRPr="00000000">
              <w:rPr>
                <w:b w:val="0"/>
                <w:bCs w:val="0"/>
                <w:sz w:val="20"/>
                <w:szCs w:val="20"/>
                <w:rtl w:val="0"/>
              </w:rPr>
              <w:t xml:space="preserve">Rotator Cuff and Biceps Tendon Pathology</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sz w:val="20"/>
                <w:szCs w:val="20"/>
                <w:rtl w:val="0"/>
              </w:rPr>
              <w:t xml:space="preserve">63</w:t>
            </w:r>
            <w:r w:rsidDel="00000000" w:rsidR="00000000" w:rsidRPr="00000000">
              <w:rPr>
                <w:rtl w:val="0"/>
              </w:rPr>
            </w:r>
          </w:p>
        </w:tc>
        <w:tc>
          <w:tcPr/>
          <w:p w:rsidR="00000000" w:rsidDel="00000000" w:rsidP="00000000" w:rsidRDefault="00000000" w:rsidRPr="00000000" w14:paraId="0000004D">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0"/>
                <w:bCs w:val="0"/>
                <w:sz w:val="20"/>
                <w:szCs w:val="20"/>
                <w:rtl w:val="0"/>
              </w:rPr>
              <w:t xml:space="preserve">278 / 36,000 / 18,678</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b w:val="0"/>
                <w:bCs w:val="0"/>
                <w:sz w:val="20"/>
                <w:szCs w:val="20"/>
                <w:rtl w:val="0"/>
              </w:rPr>
              <w:t xml:space="preserve">S02</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0"/>
                <w:bCs w:val="0"/>
                <w:sz w:val="20"/>
                <w:szCs w:val="20"/>
                <w:rtl w:val="0"/>
              </w:rPr>
              <w:t xml:space="preserve">Glenohumeral Instability and Labral Injuries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b w:val="0"/>
                <w:bCs w:val="0"/>
                <w:sz w:val="20"/>
                <w:szCs w:val="20"/>
                <w:rtl w:val="0"/>
              </w:rPr>
              <w:t xml:space="preserve">60</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53">
            <w:pPr>
              <w:rPr/>
            </w:pPr>
            <w:r w:rsidDel="00000000" w:rsidR="00000000" w:rsidRPr="00000000">
              <w:rPr>
                <w:b w:val="0"/>
                <w:bCs w:val="0"/>
                <w:sz w:val="20"/>
                <w:szCs w:val="20"/>
                <w:rtl w:val="0"/>
              </w:rPr>
              <w:t xml:space="preserve">126 / 22,500 / 5,600</w:t>
            </w: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b w:val="0"/>
                <w:bCs w:val="0"/>
                <w:sz w:val="20"/>
                <w:szCs w:val="20"/>
                <w:rtl w:val="0"/>
              </w:rPr>
              <w:t xml:space="preserve">S03</w:t>
            </w:r>
            <w:r w:rsidDel="00000000" w:rsidR="00000000" w:rsidRPr="00000000">
              <w:rPr>
                <w:rtl w:val="0"/>
              </w:rPr>
            </w:r>
          </w:p>
        </w:tc>
        <w:tc>
          <w:tcPr/>
          <w:p w:rsidR="00000000" w:rsidDel="00000000" w:rsidP="00000000" w:rsidRDefault="00000000" w:rsidRPr="00000000" w14:paraId="00000055">
            <w:pPr>
              <w:rPr/>
            </w:pPr>
            <w:r w:rsidDel="00000000" w:rsidR="00000000" w:rsidRPr="00000000">
              <w:rPr>
                <w:b w:val="0"/>
                <w:bCs w:val="0"/>
                <w:sz w:val="20"/>
                <w:szCs w:val="20"/>
                <w:rtl w:val="0"/>
              </w:rPr>
              <w:t xml:space="preserve">Subacromial Impingement Syndrome and Subacromial/Subdeltoid Bursitis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0"/>
                <w:bCs w:val="0"/>
                <w:sz w:val="20"/>
                <w:szCs w:val="20"/>
                <w:rtl w:val="0"/>
              </w:rPr>
              <w:t xml:space="preserve">54</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0"/>
                <w:bCs w:val="0"/>
                <w:sz w:val="20"/>
                <w:szCs w:val="20"/>
                <w:rtl w:val="0"/>
              </w:rPr>
              <w:t xml:space="preserve">110 / 21,000 / 5,250</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b w:val="0"/>
                <w:bCs w:val="0"/>
                <w:sz w:val="20"/>
                <w:szCs w:val="20"/>
                <w:rtl w:val="0"/>
              </w:rPr>
              <w:t xml:space="preserve">S04</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sz w:val="20"/>
                <w:szCs w:val="20"/>
                <w:rtl w:val="0"/>
              </w:rPr>
              <w:t xml:space="preserve">Acromioclavicular (AC) Joint Pathology</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0"/>
                <w:bCs w:val="0"/>
                <w:sz w:val="20"/>
                <w:szCs w:val="20"/>
                <w:rtl w:val="0"/>
              </w:rPr>
              <w:t xml:space="preserve">49</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5D">
            <w:pPr>
              <w:rPr/>
            </w:pPr>
            <w:r w:rsidDel="00000000" w:rsidR="00000000" w:rsidRPr="00000000">
              <w:rPr>
                <w:b w:val="0"/>
                <w:bCs w:val="0"/>
                <w:sz w:val="20"/>
                <w:szCs w:val="20"/>
                <w:rtl w:val="0"/>
              </w:rPr>
              <w:t xml:space="preserve">104 / 21,000 / 5,250</w:t>
            </w:r>
            <w:r w:rsidDel="00000000" w:rsidR="00000000" w:rsidRPr="00000000">
              <w:rPr>
                <w:rtl w:val="0"/>
              </w:rPr>
            </w:r>
          </w:p>
        </w:tc>
      </w:tr>
      <w:tr>
        <w:trPr>
          <w:cantSplit w:val="0"/>
          <w:tblHeader w:val="0"/>
        </w:trPr>
        <w:tc>
          <w:tcPr/>
          <w:p w:rsidR="00000000" w:rsidDel="00000000" w:rsidP="00000000" w:rsidRDefault="00000000" w:rsidRPr="00000000" w14:paraId="0000005E">
            <w:pPr>
              <w:rPr/>
            </w:pPr>
            <w:r w:rsidDel="00000000" w:rsidR="00000000" w:rsidRPr="00000000">
              <w:rPr>
                <w:b w:val="0"/>
                <w:bCs w:val="0"/>
                <w:sz w:val="20"/>
                <w:szCs w:val="20"/>
                <w:rtl w:val="0"/>
              </w:rPr>
              <w:t xml:space="preserve">S05</w:t>
            </w:r>
            <w:r w:rsidDel="00000000" w:rsidR="00000000" w:rsidRPr="00000000">
              <w:rPr>
                <w:rtl w:val="0"/>
              </w:rPr>
            </w:r>
          </w:p>
        </w:tc>
        <w:tc>
          <w:tcPr/>
          <w:p w:rsidR="00000000" w:rsidDel="00000000" w:rsidP="00000000" w:rsidRDefault="00000000" w:rsidRPr="00000000" w14:paraId="0000005F">
            <w:pPr>
              <w:rPr/>
            </w:pPr>
            <w:r w:rsidDel="00000000" w:rsidR="00000000" w:rsidRPr="00000000">
              <w:rPr>
                <w:b w:val="0"/>
                <w:bCs w:val="0"/>
                <w:sz w:val="20"/>
                <w:szCs w:val="20"/>
                <w:rtl w:val="0"/>
              </w:rPr>
              <w:t xml:space="preserve">Adhesive Capsulitis (Frozen Shoulder)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0"/>
                <w:bCs w:val="0"/>
                <w:sz w:val="20"/>
                <w:szCs w:val="20"/>
                <w:rtl w:val="0"/>
              </w:rPr>
              <w:t xml:space="preserve">51</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0"/>
                <w:bCs w:val="0"/>
                <w:sz w:val="20"/>
                <w:szCs w:val="20"/>
                <w:rtl w:val="0"/>
              </w:rPr>
              <w:t xml:space="preserve">102 / 21,000 / 5,250</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b w:val="0"/>
                <w:bCs w:val="0"/>
                <w:sz w:val="20"/>
                <w:szCs w:val="20"/>
                <w:rtl w:val="0"/>
              </w:rPr>
              <w:t xml:space="preserve">S06</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sz w:val="20"/>
                <w:szCs w:val="20"/>
                <w:rtl w:val="0"/>
              </w:rPr>
              <w:t xml:space="preserve">Glenohumeral Osteoarthritis and Inflammatory Arthropathy</w:t>
            </w: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0"/>
                <w:bCs w:val="0"/>
                <w:sz w:val="20"/>
                <w:szCs w:val="20"/>
                <w:rtl w:val="0"/>
              </w:rPr>
              <w:t xml:space="preserve">53</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0"/>
                <w:bCs w:val="0"/>
                <w:sz w:val="20"/>
                <w:szCs w:val="20"/>
                <w:rtl w:val="0"/>
              </w:rPr>
              <w:t xml:space="preserve">110 / 23,000 / 5,750</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b w:val="0"/>
                <w:bCs w:val="0"/>
                <w:sz w:val="20"/>
                <w:szCs w:val="20"/>
                <w:rtl w:val="0"/>
              </w:rPr>
              <w:t xml:space="preserve">S07</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0"/>
                <w:bCs w:val="0"/>
                <w:sz w:val="20"/>
                <w:szCs w:val="20"/>
                <w:rtl w:val="0"/>
              </w:rPr>
              <w:t xml:space="preserve">Sternoclavicular (SC) Joint Pathology</w:t>
            </w:r>
            <w:r w:rsidDel="00000000" w:rsidR="00000000" w:rsidRPr="00000000">
              <w:rPr>
                <w:rtl w:val="0"/>
              </w:rPr>
            </w:r>
          </w:p>
        </w:tc>
        <w:tc>
          <w:tcPr/>
          <w:p w:rsidR="00000000" w:rsidDel="00000000" w:rsidP="00000000" w:rsidRDefault="00000000" w:rsidRPr="00000000" w14:paraId="0000006A">
            <w:pPr>
              <w:rPr/>
            </w:pPr>
            <w:r w:rsidDel="00000000" w:rsidR="00000000" w:rsidRPr="00000000">
              <w:rPr>
                <w:b w:val="0"/>
                <w:bCs w:val="0"/>
                <w:sz w:val="20"/>
                <w:szCs w:val="20"/>
                <w:rtl w:val="0"/>
              </w:rPr>
              <w:t xml:space="preserve">47</w:t>
            </w:r>
            <w:r w:rsidDel="00000000" w:rsidR="00000000" w:rsidRPr="00000000">
              <w:rPr>
                <w:rtl w:val="0"/>
              </w:rPr>
            </w:r>
          </w:p>
        </w:tc>
        <w:tc>
          <w:tcPr/>
          <w:p w:rsidR="00000000" w:rsidDel="00000000" w:rsidP="00000000" w:rsidRDefault="00000000" w:rsidRPr="00000000" w14:paraId="0000006B">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0"/>
                <w:bCs w:val="0"/>
                <w:sz w:val="20"/>
                <w:szCs w:val="20"/>
                <w:rtl w:val="0"/>
              </w:rPr>
              <w:t xml:space="preserve">108 / 20,500 / 5,100</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b w:val="0"/>
                <w:bCs w:val="0"/>
                <w:sz w:val="20"/>
                <w:szCs w:val="20"/>
                <w:rtl w:val="0"/>
              </w:rPr>
              <w:t xml:space="preserve">S08</w:t>
            </w:r>
            <w:r w:rsidDel="00000000" w:rsidR="00000000" w:rsidRPr="00000000">
              <w:rPr>
                <w:rtl w:val="0"/>
              </w:rPr>
            </w:r>
          </w:p>
        </w:tc>
        <w:tc>
          <w:tcPr/>
          <w:p w:rsidR="00000000" w:rsidDel="00000000" w:rsidP="00000000" w:rsidRDefault="00000000" w:rsidRPr="00000000" w14:paraId="0000006E">
            <w:pPr>
              <w:rPr/>
            </w:pPr>
            <w:r w:rsidDel="00000000" w:rsidR="00000000" w:rsidRPr="00000000">
              <w:rPr>
                <w:b w:val="0"/>
                <w:bCs w:val="0"/>
                <w:sz w:val="20"/>
                <w:szCs w:val="20"/>
                <w:rtl w:val="0"/>
              </w:rPr>
              <w:t xml:space="preserve">Proximal Humerus Fractures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b w:val="0"/>
                <w:bCs w:val="0"/>
                <w:sz w:val="20"/>
                <w:szCs w:val="20"/>
                <w:rtl w:val="0"/>
              </w:rPr>
              <w:t xml:space="preserve">54</w:t>
            </w:r>
            <w:r w:rsidDel="00000000" w:rsidR="00000000" w:rsidRPr="00000000">
              <w:rPr>
                <w:rtl w:val="0"/>
              </w:rPr>
            </w:r>
          </w:p>
        </w:tc>
        <w:tc>
          <w:tcPr/>
          <w:p w:rsidR="00000000" w:rsidDel="00000000" w:rsidP="00000000" w:rsidRDefault="00000000" w:rsidRPr="00000000" w14:paraId="00000070">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71">
            <w:pPr>
              <w:rPr/>
            </w:pPr>
            <w:r w:rsidDel="00000000" w:rsidR="00000000" w:rsidRPr="00000000">
              <w:rPr>
                <w:b w:val="0"/>
                <w:bCs w:val="0"/>
                <w:sz w:val="20"/>
                <w:szCs w:val="20"/>
                <w:rtl w:val="0"/>
              </w:rPr>
              <w:t xml:space="preserve">114 / 24,000 / 6,000</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b w:val="0"/>
                <w:bCs w:val="0"/>
                <w:sz w:val="20"/>
                <w:szCs w:val="20"/>
                <w:rtl w:val="0"/>
              </w:rPr>
              <w:t xml:space="preserve">S09</w:t>
            </w:r>
            <w:r w:rsidDel="00000000" w:rsidR="00000000" w:rsidRPr="00000000">
              <w:rPr>
                <w:rtl w:val="0"/>
              </w:rPr>
            </w:r>
          </w:p>
        </w:tc>
        <w:tc>
          <w:tcPr/>
          <w:p w:rsidR="00000000" w:rsidDel="00000000" w:rsidP="00000000" w:rsidRDefault="00000000" w:rsidRPr="00000000" w14:paraId="00000073">
            <w:pPr>
              <w:rPr/>
            </w:pPr>
            <w:r w:rsidDel="00000000" w:rsidR="00000000" w:rsidRPr="00000000">
              <w:rPr>
                <w:b w:val="0"/>
                <w:bCs w:val="0"/>
                <w:sz w:val="20"/>
                <w:szCs w:val="20"/>
                <w:rtl w:val="0"/>
              </w:rPr>
              <w:t xml:space="preserve">Clavicle Fractures</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0"/>
                <w:bCs w:val="0"/>
                <w:sz w:val="20"/>
                <w:szCs w:val="20"/>
                <w:rtl w:val="0"/>
              </w:rPr>
              <w:t xml:space="preserve">50</w:t>
            </w:r>
            <w:r w:rsidDel="00000000" w:rsidR="00000000" w:rsidRPr="00000000">
              <w:rPr>
                <w:rtl w:val="0"/>
              </w:rPr>
            </w:r>
          </w:p>
        </w:tc>
        <w:tc>
          <w:tcPr/>
          <w:p w:rsidR="00000000" w:rsidDel="00000000" w:rsidP="00000000" w:rsidRDefault="00000000" w:rsidRPr="00000000" w14:paraId="00000075">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76">
            <w:pPr>
              <w:rPr/>
            </w:pPr>
            <w:r w:rsidDel="00000000" w:rsidR="00000000" w:rsidRPr="00000000">
              <w:rPr>
                <w:b w:val="0"/>
                <w:bCs w:val="0"/>
                <w:sz w:val="20"/>
                <w:szCs w:val="20"/>
                <w:rtl w:val="0"/>
              </w:rPr>
              <w:t xml:space="preserve">100 / 21,500 / 5,375</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b w:val="0"/>
                <w:bCs w:val="0"/>
                <w:sz w:val="20"/>
                <w:szCs w:val="20"/>
                <w:rtl w:val="0"/>
              </w:rPr>
              <w:t xml:space="preserve">S10</w:t>
            </w:r>
            <w:r w:rsidDel="00000000" w:rsidR="00000000" w:rsidRPr="00000000">
              <w:rPr>
                <w:rtl w:val="0"/>
              </w:rPr>
            </w:r>
          </w:p>
        </w:tc>
        <w:tc>
          <w:tcPr/>
          <w:p w:rsidR="00000000" w:rsidDel="00000000" w:rsidP="00000000" w:rsidRDefault="00000000" w:rsidRPr="00000000" w14:paraId="00000078">
            <w:pPr>
              <w:rPr/>
            </w:pPr>
            <w:r w:rsidDel="00000000" w:rsidR="00000000" w:rsidRPr="00000000">
              <w:rPr>
                <w:b w:val="0"/>
                <w:bCs w:val="0"/>
                <w:sz w:val="20"/>
                <w:szCs w:val="20"/>
                <w:rtl w:val="0"/>
              </w:rPr>
              <w:t xml:space="preserve">Scapular Fractures and Scapulothoracic Disorders</w:t>
            </w:r>
            <w:r w:rsidDel="00000000" w:rsidR="00000000" w:rsidRPr="00000000">
              <w:rPr>
                <w:rtl w:val="0"/>
              </w:rPr>
            </w:r>
          </w:p>
        </w:tc>
        <w:tc>
          <w:tcPr/>
          <w:p w:rsidR="00000000" w:rsidDel="00000000" w:rsidP="00000000" w:rsidRDefault="00000000" w:rsidRPr="00000000" w14:paraId="00000079">
            <w:pPr>
              <w:rPr/>
            </w:pPr>
            <w:r w:rsidDel="00000000" w:rsidR="00000000" w:rsidRPr="00000000">
              <w:rPr>
                <w:b w:val="0"/>
                <w:bCs w:val="0"/>
                <w:sz w:val="20"/>
                <w:szCs w:val="20"/>
                <w:rtl w:val="0"/>
              </w:rPr>
              <w:t xml:space="preserve">48</w:t>
            </w:r>
            <w:r w:rsidDel="00000000" w:rsidR="00000000" w:rsidRPr="00000000">
              <w:rPr>
                <w:rtl w:val="0"/>
              </w:rPr>
            </w:r>
          </w:p>
        </w:tc>
        <w:tc>
          <w:tcPr/>
          <w:p w:rsidR="00000000" w:rsidDel="00000000" w:rsidP="00000000" w:rsidRDefault="00000000" w:rsidRPr="00000000" w14:paraId="0000007A">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7B">
            <w:pPr>
              <w:rPr/>
            </w:pPr>
            <w:r w:rsidDel="00000000" w:rsidR="00000000" w:rsidRPr="00000000">
              <w:rPr>
                <w:b w:val="0"/>
                <w:bCs w:val="0"/>
                <w:sz w:val="20"/>
                <w:szCs w:val="20"/>
                <w:rtl w:val="0"/>
              </w:rPr>
              <w:t xml:space="preserve">102 / 22,000 / 5,500</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b w:val="0"/>
                <w:bCs w:val="0"/>
                <w:sz w:val="20"/>
                <w:szCs w:val="20"/>
                <w:rtl w:val="0"/>
              </w:rPr>
              <w:t xml:space="preserve">S11</w:t>
            </w:r>
            <w:r w:rsidDel="00000000" w:rsidR="00000000" w:rsidRPr="00000000">
              <w:rPr>
                <w:rtl w:val="0"/>
              </w:rPr>
            </w:r>
          </w:p>
        </w:tc>
        <w:tc>
          <w:tcPr/>
          <w:p w:rsidR="00000000" w:rsidDel="00000000" w:rsidP="00000000" w:rsidRDefault="00000000" w:rsidRPr="00000000" w14:paraId="0000007D">
            <w:pPr>
              <w:rPr/>
            </w:pPr>
            <w:r w:rsidDel="00000000" w:rsidR="00000000" w:rsidRPr="00000000">
              <w:rPr>
                <w:b w:val="0"/>
                <w:bCs w:val="0"/>
                <w:sz w:val="20"/>
                <w:szCs w:val="20"/>
                <w:rtl w:val="0"/>
              </w:rPr>
              <w:t xml:space="preserve">Scapular Dyskinesis and Periscapular Muscle Dysfunction</w:t>
            </w:r>
            <w:r w:rsidDel="00000000" w:rsidR="00000000" w:rsidRPr="00000000">
              <w:rPr>
                <w:rtl w:val="0"/>
              </w:rPr>
            </w:r>
          </w:p>
        </w:tc>
        <w:tc>
          <w:tcPr/>
          <w:p w:rsidR="00000000" w:rsidDel="00000000" w:rsidP="00000000" w:rsidRDefault="00000000" w:rsidRPr="00000000" w14:paraId="0000007E">
            <w:pPr>
              <w:rPr/>
            </w:pPr>
            <w:r w:rsidDel="00000000" w:rsidR="00000000" w:rsidRPr="00000000">
              <w:rPr>
                <w:b w:val="0"/>
                <w:bCs w:val="0"/>
                <w:sz w:val="20"/>
                <w:szCs w:val="20"/>
                <w:rtl w:val="0"/>
              </w:rPr>
              <w:t xml:space="preserve">50</w:t>
            </w:r>
            <w:r w:rsidDel="00000000" w:rsidR="00000000" w:rsidRPr="00000000">
              <w:rPr>
                <w:rtl w:val="0"/>
              </w:rPr>
            </w:r>
          </w:p>
        </w:tc>
        <w:tc>
          <w:tcPr/>
          <w:p w:rsidR="00000000" w:rsidDel="00000000" w:rsidP="00000000" w:rsidRDefault="00000000" w:rsidRPr="00000000" w14:paraId="0000007F">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80">
            <w:pPr>
              <w:rPr/>
            </w:pPr>
            <w:r w:rsidDel="00000000" w:rsidR="00000000" w:rsidRPr="00000000">
              <w:rPr>
                <w:b w:val="0"/>
                <w:bCs w:val="0"/>
                <w:sz w:val="20"/>
                <w:szCs w:val="20"/>
                <w:rtl w:val="0"/>
              </w:rPr>
              <w:t xml:space="preserve">100 / 20,000 / 5,000</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b w:val="0"/>
                <w:bCs w:val="0"/>
                <w:sz w:val="20"/>
                <w:szCs w:val="20"/>
                <w:rtl w:val="0"/>
              </w:rPr>
              <w:t xml:space="preserve">S12</w:t>
            </w:r>
            <w:r w:rsidDel="00000000" w:rsidR="00000000" w:rsidRPr="00000000">
              <w:rPr>
                <w:rtl w:val="0"/>
              </w:rPr>
            </w:r>
          </w:p>
        </w:tc>
        <w:tc>
          <w:tcPr/>
          <w:p w:rsidR="00000000" w:rsidDel="00000000" w:rsidP="00000000" w:rsidRDefault="00000000" w:rsidRPr="00000000" w14:paraId="00000082">
            <w:pPr>
              <w:rPr/>
            </w:pPr>
            <w:r w:rsidDel="00000000" w:rsidR="00000000" w:rsidRPr="00000000">
              <w:rPr>
                <w:b w:val="0"/>
                <w:bCs w:val="0"/>
                <w:sz w:val="20"/>
                <w:szCs w:val="20"/>
                <w:rtl w:val="0"/>
              </w:rPr>
              <w:t xml:space="preserve">Post-Surgical Rotator Cuff Repair and Stabilization</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0"/>
                <w:bCs w:val="0"/>
                <w:sz w:val="20"/>
                <w:szCs w:val="20"/>
                <w:rtl w:val="0"/>
              </w:rPr>
              <w:t xml:space="preserve">54</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0"/>
                <w:bCs w:val="0"/>
                <w:sz w:val="20"/>
                <w:szCs w:val="20"/>
                <w:rtl w:val="0"/>
              </w:rPr>
              <w:t xml:space="preserve">108 / 23,000 / 5,750</w:t>
            </w:r>
            <w:r w:rsidDel="00000000" w:rsidR="00000000" w:rsidRPr="00000000">
              <w:rPr>
                <w:rtl w:val="0"/>
              </w:rPr>
            </w:r>
          </w:p>
        </w:tc>
      </w:tr>
      <w:tr>
        <w:trPr>
          <w:cantSplit w:val="0"/>
          <w:tblHeader w:val="0"/>
        </w:trPr>
        <w:tc>
          <w:tcPr/>
          <w:p w:rsidR="00000000" w:rsidDel="00000000" w:rsidP="00000000" w:rsidRDefault="00000000" w:rsidRPr="00000000" w14:paraId="00000086">
            <w:pPr>
              <w:rPr/>
            </w:pPr>
            <w:r w:rsidDel="00000000" w:rsidR="00000000" w:rsidRPr="00000000">
              <w:rPr>
                <w:b w:val="0"/>
                <w:bCs w:val="0"/>
                <w:sz w:val="20"/>
                <w:szCs w:val="20"/>
                <w:rtl w:val="0"/>
              </w:rPr>
              <w:t xml:space="preserve">S13</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0"/>
                <w:bCs w:val="0"/>
                <w:sz w:val="20"/>
                <w:szCs w:val="20"/>
                <w:rtl w:val="0"/>
              </w:rPr>
              <w:t xml:space="preserve">Periprosthetic Joint Infection and Post-Arthroplasty Complications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0"/>
                <w:bCs w:val="0"/>
                <w:sz w:val="20"/>
                <w:szCs w:val="20"/>
                <w:rtl w:val="0"/>
              </w:rPr>
              <w:t xml:space="preserve">53</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0"/>
                <w:bCs w:val="0"/>
                <w:sz w:val="20"/>
                <w:szCs w:val="20"/>
                <w:rtl w:val="0"/>
              </w:rPr>
              <w:t xml:space="preserve">Yes (halt)</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0"/>
                <w:bCs w:val="0"/>
                <w:sz w:val="20"/>
                <w:szCs w:val="20"/>
                <w:rtl w:val="0"/>
              </w:rPr>
              <w:t xml:space="preserve">102 / 21,000 / 5,250</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b w:val="0"/>
                <w:bCs w:val="0"/>
                <w:sz w:val="20"/>
                <w:szCs w:val="20"/>
                <w:rtl w:val="0"/>
              </w:rPr>
              <w:t xml:space="preserve">S14</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0"/>
                <w:bCs w:val="0"/>
                <w:sz w:val="20"/>
                <w:szCs w:val="20"/>
                <w:rtl w:val="0"/>
              </w:rPr>
              <w:t xml:space="preserve">Thoracic Outlet Syndrome - Neurogenic</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0"/>
                <w:bCs w:val="0"/>
                <w:sz w:val="20"/>
                <w:szCs w:val="20"/>
                <w:rtl w:val="0"/>
              </w:rPr>
              <w:t xml:space="preserve">54</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0"/>
                <w:bCs w:val="0"/>
                <w:sz w:val="20"/>
                <w:szCs w:val="20"/>
                <w:rtl w:val="0"/>
              </w:rPr>
              <w:t xml:space="preserve">104 / 22,000 / 5,500</w:t>
            </w: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b w:val="0"/>
                <w:bCs w:val="0"/>
                <w:sz w:val="20"/>
                <w:szCs w:val="20"/>
                <w:rtl w:val="0"/>
              </w:rPr>
              <w:t xml:space="preserve">S15</w:t>
            </w:r>
            <w:r w:rsidDel="00000000" w:rsidR="00000000" w:rsidRPr="00000000">
              <w:rPr>
                <w:rtl w:val="0"/>
              </w:rPr>
            </w:r>
          </w:p>
        </w:tc>
        <w:tc>
          <w:tcPr/>
          <w:p w:rsidR="00000000" w:rsidDel="00000000" w:rsidP="00000000" w:rsidRDefault="00000000" w:rsidRPr="00000000" w14:paraId="00000091">
            <w:pPr>
              <w:rPr/>
            </w:pPr>
            <w:r w:rsidDel="00000000" w:rsidR="00000000" w:rsidRPr="00000000">
              <w:rPr>
                <w:b w:val="0"/>
                <w:bCs w:val="0"/>
                <w:sz w:val="20"/>
                <w:szCs w:val="20"/>
                <w:rtl w:val="0"/>
              </w:rPr>
              <w:t xml:space="preserve">Thoracic Outlet Syndrome - Vascular</w:t>
            </w:r>
            <w:r w:rsidDel="00000000" w:rsidR="00000000" w:rsidRPr="00000000">
              <w:rPr>
                <w:rtl w:val="0"/>
              </w:rPr>
            </w:r>
          </w:p>
        </w:tc>
        <w:tc>
          <w:tcPr/>
          <w:p w:rsidR="00000000" w:rsidDel="00000000" w:rsidP="00000000" w:rsidRDefault="00000000" w:rsidRPr="00000000" w14:paraId="00000092">
            <w:pPr>
              <w:rPr/>
            </w:pPr>
            <w:r w:rsidDel="00000000" w:rsidR="00000000" w:rsidRPr="00000000">
              <w:rPr>
                <w:b w:val="0"/>
                <w:bCs w:val="0"/>
                <w:sz w:val="20"/>
                <w:szCs w:val="20"/>
                <w:rtl w:val="0"/>
              </w:rPr>
              <w:t xml:space="preserve">46</w:t>
            </w:r>
            <w:r w:rsidDel="00000000" w:rsidR="00000000" w:rsidRPr="00000000">
              <w:rPr>
                <w:rtl w:val="0"/>
              </w:rPr>
            </w:r>
          </w:p>
        </w:tc>
        <w:tc>
          <w:tcPr/>
          <w:p w:rsidR="00000000" w:rsidDel="00000000" w:rsidP="00000000" w:rsidRDefault="00000000" w:rsidRPr="00000000" w14:paraId="00000093">
            <w:pPr>
              <w:rPr/>
            </w:pPr>
            <w:r w:rsidDel="00000000" w:rsidR="00000000" w:rsidRPr="00000000">
              <w:rPr>
                <w:b w:val="0"/>
                <w:bCs w:val="0"/>
                <w:sz w:val="20"/>
                <w:szCs w:val="20"/>
                <w:rtl w:val="0"/>
              </w:rPr>
              <w:t xml:space="preserve">Yes (halt)</w:t>
            </w:r>
            <w:r w:rsidDel="00000000" w:rsidR="00000000" w:rsidRPr="00000000">
              <w:rPr>
                <w:rtl w:val="0"/>
              </w:rPr>
            </w:r>
          </w:p>
        </w:tc>
        <w:tc>
          <w:tcPr/>
          <w:p w:rsidR="00000000" w:rsidDel="00000000" w:rsidP="00000000" w:rsidRDefault="00000000" w:rsidRPr="00000000" w14:paraId="00000094">
            <w:pPr>
              <w:rPr/>
            </w:pPr>
            <w:r w:rsidDel="00000000" w:rsidR="00000000" w:rsidRPr="00000000">
              <w:rPr>
                <w:b w:val="0"/>
                <w:bCs w:val="0"/>
                <w:sz w:val="20"/>
                <w:szCs w:val="20"/>
                <w:rtl w:val="0"/>
              </w:rPr>
              <w:t xml:space="preserve">96 / 20,000 / 5,000</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b w:val="0"/>
                <w:bCs w:val="0"/>
                <w:sz w:val="20"/>
                <w:szCs w:val="20"/>
                <w:rtl w:val="0"/>
              </w:rPr>
              <w:t xml:space="preserve">S16</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0"/>
                <w:bCs w:val="0"/>
                <w:sz w:val="20"/>
                <w:szCs w:val="20"/>
                <w:rtl w:val="0"/>
              </w:rPr>
              <w:t xml:space="preserve">Brachial Plexus and Peripheral Nerve Injuries</w:t>
            </w:r>
            <w:r w:rsidDel="00000000" w:rsidR="00000000" w:rsidRPr="00000000">
              <w:rPr>
                <w:rtl w:val="0"/>
              </w:rPr>
            </w:r>
          </w:p>
        </w:tc>
        <w:tc>
          <w:tcPr/>
          <w:p w:rsidR="00000000" w:rsidDel="00000000" w:rsidP="00000000" w:rsidRDefault="00000000" w:rsidRPr="00000000" w14:paraId="00000097">
            <w:pPr>
              <w:rPr/>
            </w:pPr>
            <w:r w:rsidDel="00000000" w:rsidR="00000000" w:rsidRPr="00000000">
              <w:rPr>
                <w:b w:val="0"/>
                <w:bCs w:val="0"/>
                <w:sz w:val="20"/>
                <w:szCs w:val="20"/>
                <w:rtl w:val="0"/>
              </w:rPr>
              <w:t xml:space="preserve">51</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99">
            <w:pPr>
              <w:rPr/>
            </w:pPr>
            <w:r w:rsidDel="00000000" w:rsidR="00000000" w:rsidRPr="00000000">
              <w:rPr>
                <w:b w:val="0"/>
                <w:bCs w:val="0"/>
                <w:sz w:val="20"/>
                <w:szCs w:val="20"/>
                <w:rtl w:val="0"/>
              </w:rPr>
              <w:t xml:space="preserve">108 / 22,000 / 5,500</w:t>
            </w: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b w:val="0"/>
                <w:bCs w:val="0"/>
                <w:sz w:val="20"/>
                <w:szCs w:val="20"/>
                <w:rtl w:val="0"/>
              </w:rPr>
              <w:t xml:space="preserve">S17</w:t>
            </w:r>
            <w:r w:rsidDel="00000000" w:rsidR="00000000" w:rsidRPr="00000000">
              <w:rPr>
                <w:rtl w:val="0"/>
              </w:rPr>
            </w:r>
          </w:p>
        </w:tc>
        <w:tc>
          <w:tcPr/>
          <w:p w:rsidR="00000000" w:rsidDel="00000000" w:rsidP="00000000" w:rsidRDefault="00000000" w:rsidRPr="00000000" w14:paraId="0000009B">
            <w:pPr>
              <w:rPr/>
            </w:pPr>
            <w:r w:rsidDel="00000000" w:rsidR="00000000" w:rsidRPr="00000000">
              <w:rPr>
                <w:b w:val="0"/>
                <w:bCs w:val="0"/>
                <w:sz w:val="20"/>
                <w:szCs w:val="20"/>
                <w:rtl w:val="0"/>
              </w:rPr>
              <w:t xml:space="preserve">Pediatric and Congenital Shoulder Conditions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b w:val="0"/>
                <w:bCs w:val="0"/>
                <w:sz w:val="20"/>
                <w:szCs w:val="20"/>
                <w:rtl w:val="0"/>
              </w:rPr>
              <w:t xml:space="preserve">56</w:t>
            </w:r>
            <w:r w:rsidDel="00000000" w:rsidR="00000000" w:rsidRPr="00000000">
              <w:rPr>
                <w:rtl w:val="0"/>
              </w:rPr>
            </w:r>
          </w:p>
        </w:tc>
        <w:tc>
          <w:tcPr/>
          <w:p w:rsidR="00000000" w:rsidDel="00000000" w:rsidP="00000000" w:rsidRDefault="00000000" w:rsidRPr="00000000" w14:paraId="0000009D">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9E">
            <w:pPr>
              <w:rPr/>
            </w:pPr>
            <w:r w:rsidDel="00000000" w:rsidR="00000000" w:rsidRPr="00000000">
              <w:rPr>
                <w:b w:val="0"/>
                <w:bCs w:val="0"/>
                <w:sz w:val="20"/>
                <w:szCs w:val="20"/>
                <w:rtl w:val="0"/>
              </w:rPr>
              <w:t xml:space="preserve">108 / 22,000 / 5,500</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b w:val="0"/>
                <w:bCs w:val="0"/>
                <w:sz w:val="20"/>
                <w:szCs w:val="20"/>
                <w:rtl w:val="0"/>
              </w:rPr>
              <w:t xml:space="preserve">S18</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0"/>
                <w:bCs w:val="0"/>
                <w:sz w:val="20"/>
                <w:szCs w:val="20"/>
                <w:rtl w:val="0"/>
              </w:rPr>
              <w:t xml:space="preserve">Miscellaneous Rare and Diagnostically Uncertain Conditions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0"/>
                <w:bCs w:val="0"/>
                <w:sz w:val="20"/>
                <w:szCs w:val="20"/>
                <w:rtl w:val="0"/>
              </w:rPr>
              <w:t xml:space="preserve">51</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0"/>
                <w:bCs w:val="0"/>
                <w:sz w:val="20"/>
                <w:szCs w:val="20"/>
                <w:rtl w:val="0"/>
              </w:rPr>
              <w:t xml:space="preserve">No</w:t>
            </w:r>
            <w:r w:rsidDel="00000000" w:rsidR="00000000" w:rsidRPr="00000000">
              <w:rPr>
                <w:rtl w:val="0"/>
              </w:rPr>
            </w:r>
          </w:p>
        </w:tc>
        <w:tc>
          <w:tcPr/>
          <w:p w:rsidR="00000000" w:rsidDel="00000000" w:rsidP="00000000" w:rsidRDefault="00000000" w:rsidRPr="00000000" w14:paraId="000000A3">
            <w:pPr>
              <w:rPr/>
            </w:pPr>
            <w:r w:rsidDel="00000000" w:rsidR="00000000" w:rsidRPr="00000000">
              <w:rPr>
                <w:b w:val="0"/>
                <w:bCs w:val="0"/>
                <w:sz w:val="20"/>
                <w:szCs w:val="20"/>
                <w:rtl w:val="0"/>
              </w:rPr>
              <w:t xml:space="preserve">114 / 22,000 / 5,500</w:t>
            </w:r>
            <w:r w:rsidDel="00000000" w:rsidR="00000000" w:rsidRPr="00000000">
              <w:rPr>
                <w:rtl w:val="0"/>
              </w:rPr>
            </w:r>
          </w:p>
        </w:tc>
      </w:tr>
    </w:tbl>
    <w:p w:rsidR="00000000" w:rsidDel="00000000" w:rsidP="00000000" w:rsidRDefault="00000000" w:rsidRPr="00000000" w14:paraId="000000A4">
      <w:pPr>
        <w:pStyle w:val="Heading1"/>
        <w:rPr/>
      </w:pPr>
      <w:r w:rsidDel="00000000" w:rsidR="00000000" w:rsidRPr="00000000">
        <w:rPr>
          <w:rtl w:val="0"/>
        </w:rPr>
        <w:t xml:space="preserve">6. Halt-Pathway (Phase-Gated) Groups</w:t>
      </w:r>
    </w:p>
    <w:p w:rsidR="00000000" w:rsidDel="00000000" w:rsidP="00000000" w:rsidRDefault="00000000" w:rsidRPr="00000000" w14:paraId="000000A5">
      <w:pPr>
        <w:spacing w:after="120" w:lineRule="auto"/>
        <w:rPr/>
      </w:pPr>
      <w:r w:rsidDel="00000000" w:rsidR="00000000" w:rsidRPr="00000000">
        <w:rPr>
          <w:b w:val="0"/>
          <w:bCs w:val="0"/>
          <w:i w:val="0"/>
          <w:iCs w:val="0"/>
          <w:rtl w:val="0"/>
        </w:rPr>
        <w:t xml:space="preserve">Two groups reuse the Knee's GROUP-WIDE phase-gated halt-pathway design (first established in the Knee's Infectious Conditions and Vascular Disorders wrappers): Phase 1 is a 100% deterministic urgent-referral red-flag pathway with minimal or no Protocol content; standard rehabilitation Protocol content only resumes once the red flag is excluded or treated. AS-BUILT: in both groups, whether a case is "cleared" is the hidden root-sampling variable decided FIRST, and Rehabilitation Phase is a deterministic CONSEQUENCE of it - not the other way around. Neither group carries any PROM fields at all (a schema-level decision, not a deferred one).</w:t>
      </w:r>
      <w:r w:rsidDel="00000000" w:rsidR="00000000" w:rsidRPr="00000000">
        <w:rPr>
          <w:rtl w:val="0"/>
        </w:rPr>
      </w:r>
    </w:p>
    <w:p w:rsidR="00000000" w:rsidDel="00000000" w:rsidP="00000000" w:rsidRDefault="00000000" w:rsidRPr="00000000" w14:paraId="000000A6">
      <w:pPr>
        <w:pStyle w:val="Heading3"/>
        <w:rPr/>
      </w:pPr>
      <w:r w:rsidDel="00000000" w:rsidR="00000000" w:rsidRPr="00000000">
        <w:rPr>
          <w:rtl w:val="0"/>
        </w:rPr>
        <w:t xml:space="preserve">S13 — Periprosthetic Joint Infection and Post-Arthroplasty Complications</w:t>
      </w:r>
    </w:p>
    <w:p w:rsidR="00000000" w:rsidDel="00000000" w:rsidP="00000000" w:rsidRDefault="00000000" w:rsidRPr="00000000" w14:paraId="000000A7">
      <w:pPr>
        <w:spacing w:after="120" w:lineRule="auto"/>
        <w:rPr/>
      </w:pPr>
      <w:r w:rsidDel="00000000" w:rsidR="00000000" w:rsidRPr="00000000">
        <w:rPr>
          <w:b w:val="0"/>
          <w:bCs w:val="0"/>
          <w:i w:val="0"/>
          <w:iCs w:val="0"/>
          <w:rtl w:val="0"/>
        </w:rPr>
        <w:t xml:space="preserve">Phase 1 (this wrapper) = deterministic urgent-referral red-flag pathway with minimal Protocol content (infection ruled in/out, surgical liaison referral). Phase 2-4 standard post-arthroplasty rehabilitation resumes under S12-style Protocol content only once Phase 1 clears the patient.</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b w:val="0"/>
          <w:bCs w:val="0"/>
          <w:i w:val="1"/>
          <w:iCs w:val="1"/>
          <w:rtl w:val="0"/>
        </w:rPr>
        <w:t xml:space="preserve">STRUCTURALLY REVERSED dependency direction (the project's first phase-gated/halt-pathway group, mirrors Knee W13/W16): whether a case is clinically "cleared" (infection excluded/treated AND prosthesis mechanically stable) is decided FIRST as the root variable; Rehabilitation Phase is a deterministic CONSEQUENCE (Phase 1 iff an unresolved red flag is present; Phase 2-4 iff cleared). Carries no PROM fields at all (schema-level, not deferred).</w:t>
      </w:r>
      <w:r w:rsidDel="00000000" w:rsidR="00000000" w:rsidRPr="00000000">
        <w:rPr>
          <w:rtl w:val="0"/>
        </w:rPr>
      </w:r>
    </w:p>
    <w:p w:rsidR="00000000" w:rsidDel="00000000" w:rsidP="00000000" w:rsidRDefault="00000000" w:rsidRPr="00000000" w14:paraId="000000A9">
      <w:pPr>
        <w:pStyle w:val="Heading3"/>
        <w:rPr/>
      </w:pPr>
      <w:r w:rsidDel="00000000" w:rsidR="00000000" w:rsidRPr="00000000">
        <w:rPr>
          <w:rtl w:val="0"/>
        </w:rPr>
        <w:t xml:space="preserve">S15 — Thoracic Outlet Syndrome - Vascular</w:t>
      </w:r>
    </w:p>
    <w:p w:rsidR="00000000" w:rsidDel="00000000" w:rsidP="00000000" w:rsidRDefault="00000000" w:rsidRPr="00000000" w14:paraId="000000AA">
      <w:pPr>
        <w:spacing w:after="120" w:lineRule="auto"/>
        <w:rPr/>
      </w:pPr>
      <w:r w:rsidDel="00000000" w:rsidR="00000000" w:rsidRPr="00000000">
        <w:rPr>
          <w:b w:val="0"/>
          <w:bCs w:val="0"/>
          <w:i w:val="0"/>
          <w:iCs w:val="0"/>
          <w:rtl w:val="0"/>
        </w:rPr>
        <w:t xml:space="preserve">Phase 1 (this wrapper) = deterministic urgent vascular-referral pathway; Protocol content is limited to referral/immobilisation guidance until vascular imaging excludes thrombosis/aneurysm.</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b w:val="0"/>
          <w:bCs w:val="0"/>
          <w:i w:val="1"/>
          <w:iCs w:val="1"/>
          <w:rtl w:val="0"/>
        </w:rPr>
        <w:t xml:space="preserve">The project's SECOND phase-gated/halt-pathway group, deliberately SIMPLER than S13's multi-field gate: "cleared" is the root variable, and BOTH Rehabilitation Phase AND the grading column (Doppler Patency) are direct, non-independently-sampled consequences of it - Patent is written deterministically for every cleared case, never with noise (the lesson learned from S13's first-run bug). Carries no PROM fields at all.</w:t>
      </w:r>
      <w:r w:rsidDel="00000000" w:rsidR="00000000" w:rsidRPr="00000000">
        <w:rPr>
          <w:rtl w:val="0"/>
        </w:rPr>
      </w:r>
    </w:p>
    <w:p w:rsidR="00000000" w:rsidDel="00000000" w:rsidP="00000000" w:rsidRDefault="00000000" w:rsidRPr="00000000" w14:paraId="000000AC">
      <w:pPr>
        <w:pStyle w:val="Heading3"/>
        <w:rPr/>
      </w:pPr>
      <w:r w:rsidDel="00000000" w:rsidR="00000000" w:rsidRPr="00000000">
        <w:rPr>
          <w:rtl w:val="0"/>
        </w:rPr>
        <w:t xml:space="preserve">A third, lighter-weight variant: S18 (Miscellaneous Rare and Diagnostically Uncertain Conditions)</w:t>
      </w:r>
    </w:p>
    <w:p w:rsidR="00000000" w:rsidDel="00000000" w:rsidP="00000000" w:rsidRDefault="00000000" w:rsidRPr="00000000" w14:paraId="000000AD">
      <w:pPr>
        <w:spacing w:after="120" w:lineRule="auto"/>
        <w:rPr/>
      </w:pPr>
      <w:r w:rsidDel="00000000" w:rsidR="00000000" w:rsidRPr="00000000">
        <w:rPr>
          <w:b w:val="0"/>
          <w:bCs w:val="0"/>
          <w:i w:val="0"/>
          <w:iCs w:val="0"/>
          <w:rtl w:val="0"/>
        </w:rPr>
        <w:t xml:space="preserve">S18's own phase_gated flag is False (it is not a group-wide halt group), but one of its 7 diagnoses - "Primary/metastatic tumour of proximal humerus or scapula (oncology referral pathway)" - is pinned to a DIAGNOSIS-SCOPED Phase-1-only constant with a dedicated 6-item referral-only Protocol template, while the other 6 diagnoses sample Rehabilitation Phase normally. This is deliberately simpler than S13/S15's group-wide gate: the halt applies to one diagnosis within the group, not to every case in it.</w:t>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8.1 Rehabilitation Phase construction patterns</w:t>
      </w:r>
    </w:p>
    <w:p w:rsidR="00000000" w:rsidDel="00000000" w:rsidP="00000000" w:rsidRDefault="00000000" w:rsidRPr="00000000" w14:paraId="000000AF">
      <w:pPr>
        <w:spacing w:after="120" w:lineRule="auto"/>
        <w:rPr/>
      </w:pPr>
      <w:r w:rsidDel="00000000" w:rsidR="00000000" w:rsidRPr="00000000">
        <w:rPr>
          <w:b w:val="0"/>
          <w:bCs w:val="0"/>
          <w:i w:val="0"/>
          <w:iCs w:val="0"/>
          <w:rtl w:val="0"/>
        </w:rPr>
        <w:t xml:space="preserve">Rehabilitation Phase is NOT constructed the same way in every group. Seven distinct patterns were used across the 18 groups, driven by what each group's schema and clinical logic actually required:</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phase_sampled_first_derived - Phase sampled first, elapsed-time field derived from a phase-consistent range (S01, S02, S08, S09, S16).</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sampled_direct - no numeric elapsed-time MRL field; Phase sampled directly via diagnosis-aware weights (S03, S04, S06, S07, S10, S11, S14, S17).</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stage_sampled_first_derived - a non-Phase root variable (Clinical Stage) sampled first; Phase and everything else derived from it (S05).</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week_banded - Post-Operative Week sampled first; Phase is a deterministic banding of that week (S12).</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halt_multifield - group-wide phase-gated halt; a multi-field "cleared" status decided first, Phase a deterministic consequence (S13).</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halt_singlefield - group-wide phase-gated halt, deliberately simpler than S13: a single authoritative field decides "cleared"; both Phase and the grading column are direct consequences (S15).</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diagnosis_scoped_constant - standard sampling for most diagnoses; one diagnosis gets a Phase-1-only constant (S18).</w:t>
      </w:r>
    </w:p>
    <w:p w:rsidR="00000000" w:rsidDel="00000000" w:rsidP="00000000" w:rsidRDefault="00000000" w:rsidRPr="00000000" w14:paraId="000000B7">
      <w:pPr>
        <w:pStyle w:val="Heading2"/>
        <w:rPr/>
      </w:pPr>
      <w:r w:rsidDel="00000000" w:rsidR="00000000" w:rsidRPr="00000000">
        <w:rPr>
          <w:rtl w:val="0"/>
        </w:rPr>
        <w:t xml:space="preserve">8.2 Special-case field validators (bug classes discovered during construction)</w:t>
      </w:r>
    </w:p>
    <w:p w:rsidR="00000000" w:rsidDel="00000000" w:rsidP="00000000" w:rsidRDefault="00000000" w:rsidRPr="00000000" w14:paraId="000000B8">
      <w:pPr>
        <w:spacing w:after="120" w:lineRule="auto"/>
        <w:rPr/>
      </w:pPr>
      <w:r w:rsidDel="00000000" w:rsidR="00000000" w:rsidRPr="00000000">
        <w:rPr>
          <w:b w:val="0"/>
          <w:bCs w:val="0"/>
          <w:i w:val="0"/>
          <w:iCs w:val="0"/>
          <w:rtl w:val="0"/>
        </w:rPr>
        <w:t xml:space="preserve">The generic field-validation parser (boolean -&gt; date-time -&gt; free text -&gt; categorical -&gt; numeric) was insufficient for 30 distinct fields across the 18 groups, each requiring a dedicated override function. These fall into recurring bug classes, not isolated one-offs: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Useless-placeholder bug - a field name matching /Grade|Classification|Staging/ falls through to a non-enumerable placeholder instead of its real value set (e.g. S04 Rockwood, S09 Allman, S10 Ideberg, S18 Osteonecrosis Staging).</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Name-mismatch bug - the MRL header carries an added parenthetical suffix the validator dict key lacks, while a differently-named Protocol-side grading column resolves cleanly (e.g. S04's "(Type I-VI)" suffix on the MRL Rockwood field).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Normal-reference-interval-not-clinical-domain bug - a numeric field's stated range documents the NORMAL interval, not the full pathological range (e.g. Acromiohumeral Distance, White Cell Count, Coracoclavicular Distance).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Combined-two-value-field bug - the numeric-bounds parser only captures the FIRST hyphenated range in a field whose range text actually encodes two numbers (e.g. Gestational Age/Birth Weight).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No-not-applicable/specify-token pattern - a categorical field has neither a catch-all nor a specify option, so a real value must always be recorded instead of a placeholder (e.g. several S17 paediatric history fields).</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Boolean-typed field needing a third state - a Y/N field needs a "Not Performed"/not-applicable third state the generic Boolean parser does not allow (e.g. S04's Diagnostic AC Joint Injection response).</w:t>
      </w:r>
    </w:p>
    <w:p w:rsidR="00000000" w:rsidDel="00000000" w:rsidP="00000000" w:rsidRDefault="00000000" w:rsidRPr="00000000" w14:paraId="000000BF">
      <w:pPr>
        <w:spacing w:after="120" w:lineRule="auto"/>
        <w:rPr/>
      </w:pPr>
      <w:r w:rsidDel="00000000" w:rsidR="00000000" w:rsidRPr="00000000">
        <w:rPr>
          <w:b w:val="0"/>
          <w:bCs w:val="0"/>
          <w:i w:val="0"/>
          <w:iCs w:val="0"/>
          <w:rtl w:val="0"/>
        </w:rPr>
        <w:t xml:space="preserve">Full per-field assignment (which of the 30 override functions applies to which field, in which of the 18 groups, and exactly what it checks) is in Shoulder_CDSS_Field_Rule_Logic_Library.xlsx, sheet 'Layer1_Field_Validators' - not duplicated here.</w:t>
      </w: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8.3 Grading/staging field MRL-Protocol relationship</w:t>
      </w:r>
    </w:p>
    <w:p w:rsidR="00000000" w:rsidDel="00000000" w:rsidP="00000000" w:rsidRDefault="00000000" w:rsidRPr="00000000" w14:paraId="000000C1">
      <w:pPr>
        <w:spacing w:after="120" w:lineRule="auto"/>
        <w:rPr/>
      </w:pPr>
      <w:r w:rsidDel="00000000" w:rsidR="00000000" w:rsidRPr="00000000">
        <w:rPr>
          <w:b w:val="0"/>
          <w:bCs w:val="0"/>
          <w:i w:val="0"/>
          <w:iCs w:val="0"/>
          <w:rtl w:val="0"/>
        </w:rPr>
        <w:t xml:space="preserve">Every group's Protocol sheet carries a group-specific grading/staging column (the {GRADING_SCALE} placeholder in the shared Protocol schema). Whether that exact field name ALSO appears on the MRL sheet is NOT consistent across groups - computed directly from the schema rather than assumed: 8 of 18 groups (S08, S09, S11, S12, S14, S15, S16, S17) coincidentally share the identical field name on both sheets; the remaining 10 groups have either a differently-named MRL-side counterpart (name-mismatch, requiring the dedicated validators in 8.2) or no MRL-side counterpart at all (S05, S13 - the grading concept is a hidden root-sampling variable, not a stored MRL field). Full group-by-group detail is in Shoulder_CDSS_Field_Interaction_Matrix.xlsx, sheet 'MRL_to_Protocol_Mapping'.</w:t>
      </w: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8.4 Independent validation results</w:t>
      </w:r>
    </w:p>
    <w:p w:rsidR="00000000" w:rsidDel="00000000" w:rsidP="00000000" w:rsidRDefault="00000000" w:rsidRPr="00000000" w14:paraId="000000C3">
      <w:pPr>
        <w:spacing w:after="120" w:lineRule="auto"/>
        <w:rPr/>
      </w:pPr>
      <w:r w:rsidDel="00000000" w:rsidR="00000000" w:rsidRPr="00000000">
        <w:rPr>
          <w:b w:val="0"/>
          <w:bCs w:val="0"/>
          <w:i w:val="0"/>
          <w:iCs w:val="0"/>
          <w:rtl w:val="0"/>
        </w:rPr>
        <w:t xml:space="preserve">Every one of the 18 groups' Golden Datasets was independently validated by its own from-scratch Python script (never trusting the generator's own bookkeeping): re-deriving every field check from the written workbook cells, re-checking every foreign key (MRL&lt;-&gt;Protocol, MRL&lt;-&gt;Experience Base), and re-checking every group-specific deterministic construction rule (phase/grading agreement, halt-gate consistency, composite-field internal consistency). Result: 0 contradictions found in all 18 groups, across 517,347 total rows and 97 named conditions.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cqfBcGGSrmJZfz2iBeyQbvnGPw==">CgMxLjA4AHIhMXZuSDZ4ZENQNUZHdWJicnR4YWkxYVpTaERPbnBWZzF5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2026-10-01T19:00:44.757Z</dcterms:created>
  <dc:creator>Un-named</dc:creator>
</cp:coreProperties>
</file>

<file path=docProps/custom.xml><?xml version="1.0" encoding="utf-8"?>
<Properties xmlns="http://schemas.openxmlformats.org/officeDocument/2006/custom-properties" xmlns:vt="http://schemas.openxmlformats.org/officeDocument/2006/docPropsVTypes"/>
</file>