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8"/>
          <w:szCs w:val="48"/>
        </w:rPr>
        <w:t xml:space="preserve">SMAART Shoulder CDSS</w:t>
      </w:r>
    </w:p>
    <w:p>
      <w:pPr>
        <w:spacing w:after="400"/>
      </w:pPr>
      <w:r>
        <w:rPr>
          <w:i/>
          <w:iCs/>
          <w:sz w:val="28"/>
          <w:szCs w:val="28"/>
        </w:rPr>
        <w:t xml:space="preserve">Workflow and Navigation Guide (v2.0)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Clinician-facing guide to using the S01-S18 wrapper workbooks.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v2.0 (2026-10-02): Section 7 added, pointing to the now-complete worked-example Golden Datasets.</w:t>
      </w:r>
    </w:p>
    <w:p>
      <w:pPr>
        <w:pStyle w:val="Heading1"/>
      </w:pPr>
      <w:r>
        <w:t xml:space="preserve">1. Who This Document Is For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Physiotherapists and clinicians entering, reviewing, or following up shoulder cases in the SMAART Shoulder CDSS. For the engineering-facing rule implementation, see Shoulder_CDSS_Field_Interaction_Implementation.docx.</w:t>
      </w:r>
    </w:p>
    <w:p>
      <w:pPr>
        <w:pStyle w:val="Heading1"/>
      </w:pPr>
      <w:r>
        <w:t xml:space="preserve">2. Intake Workflow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1 - Screen for red flags first, always. Consult Shoulder_CDSS_Wrapper_Routing_Map.xlsx, sheet 'Red Flag Routing', before opening any wrapper. Nine deterministic red-flag rules (SH-RF-01 through SH-RF-09) can redirect a case to an urgent-referral pathway regardless of the presenting complaint.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2 - Follow the Branch Flow Decision Points (Wrapper Routing Map, sheet 4) in order: fracture/dislocation screen -&gt; prior arthroplasty screen -&gt; prior non-arthroplasty surgery screen -&gt; vascular screen -&gt; capsular-pattern screen -&gt; instability screen -&gt; AC/SC-joint screen -&gt; neurological screen -&gt; paediatric/congenital screen -&gt; default mechanical/arthritic/scapular groups -&gt; S18 fallback.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3 - Open the matching group's wrapper workbook from Shoulder_Condition_Wrapper_Workbooks/ and complete the Medical Record Library sheet: Core block (A-M) first, then the group-specific mechanism/exam/imaging block, then Diagnosis and Red Flags.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4 - Record the group's PROMs (or, for S13/S15 Phase 1, skip PROMs entirely — they are deliberately absent until the halt pathway clears).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5 - Set Rehabilitation Phase. For the two phase-gated groups (S13, S15), Phase 1 must be explicitly cleared before Phase 2-4 content becomes available.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6 - Select the matching Protocol row using Diagnosis + the group's grading/staging column + Rehab Phase + Age range.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7 - At follow-up, complete the group-specific Follow_Up_* fields plus the shared Follow_Up_Balance and Stability and Return to Activities fields.</w:t>
      </w:r>
    </w:p>
    <w:p>
      <w:pPr>
        <w:pStyle w:val="Heading1"/>
      </w:pPr>
      <w:r>
        <w:t xml:space="preserve">3. Navigating Between Groups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Cross-references exist where a condition plausibly fits two groups. When in doubt, consult the Grouping Rationale index's Cross-references line for the group you are considering, or the Cross-Reference Index sheet in the Wrapper Routing Map. A condition is never entered as a primary case in two wrappers.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 presenting picture...</w:t>
            </w:r>
          </w:p>
        </w:tc>
        <w:tc>
          <w:tcPr>
            <w:tcW w:type="dxa" w:w="3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...consider this group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Painful arc, positive Empty/Full Can, weakness with normal passive ROM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S01 - Rotator Cuff and Biceps Tendon Pathology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Apprehension/relocation positive, recurrent dislocation history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S02 - Glenohumeral Instability and Labral Injuries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Painful arc with normal cuff strength, MRI excludes tear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S03 - Subacromial Impingement Syndrome and Bursitis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Localised AC or SC joint tenderness/deformity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S04 - AC Joint Pathology / S07 - SC Joint Pathology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Global capsular-pattern ROM loss, insidious, staged course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S05 - Adhesive Capsulitis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Crepitus, joint-space narrowing on X-ray, +/- serology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S06 - Glenohumeral Osteoarthritis and Inflammatory Arthropathy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trauma with deformity/neurovascular concern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S08/S09/S10 - Fracture groups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Scapular winging or abnormal scapular rhythm, no fracture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S11 - Scapular Dyskinesis and Periscapular Dysfunction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 recent non-arthroplasty shoulder surgery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S12 - Post-Surgical Rotator Cuff Repair and Stabilization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Documented arthroplasty with infection/instability/loosening signs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S13 - Periprosthetic Joint Infection and Post-Arthroplasty Complications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Positional arm symptoms with provocative-test positivity, C8-T1 pattern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S14 - Thoracic Outlet Syndrome - Neurogenic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limb swelling/pulse asymmetry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S15 - Thoracic Outlet Syndrome - Vascular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Isolated named-nerve motor/sensory deficit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S16 - Brachial Plexus and Peripheral Nerve Injuries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Birth-related or congenital presentation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S17 - Pediatric and Congenital Shoulder Conditions</w:t>
            </w:r>
          </w:p>
        </w:tc>
      </w:tr>
      <w:tr>
        <w:tc>
          <w:tcPr>
            <w:tcW w:type="dxa" w:w="54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of the above fit clearly</w:t>
            </w:r>
          </w:p>
        </w:tc>
        <w:tc>
          <w:tcPr>
            <w:tcW w:type="dxa" w:w="3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S18 - Miscellaneous Rare and Diagnostically Uncertain Conditions</w:t>
            </w:r>
          </w:p>
        </w:tc>
      </w:tr>
    </w:tbl>
    <w:p>
      <w:pPr>
        <w:pStyle w:val="Heading1"/>
      </w:pPr>
      <w:r>
        <w:t xml:space="preserve">4. Where Data Feeds the Experience Base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case that is corrected, escalated, or reclassified after an initial AI-suggested decision should be logged in the group's Experience Base sheet, following the same 29-field schema used at the Knee. This is what the Simulation Validation Layer (see the companion requirements document) reviews and adjudicates before a lesson is promoted into the Field Rule Logic Library.</w:t>
      </w:r>
    </w:p>
    <w:p>
      <w:pPr>
        <w:pStyle w:val="Heading1"/>
      </w:pPr>
      <w:r>
        <w:t xml:space="preserve">5. Common Navigation Errors to Avoid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enter a case into more than one group's Experience Base as a primary record — use the Cross-Reference Index instead.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populate Protocol rows for S13/S15 Phase 1 cases beyond referral/stabilisation guidance — standard exercise protocol content is out of scope until the red flag clears.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skip the Core (A-M) demographic block even for urgent-referral cases — it is required for every group, phase-gated or not.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S18, remember the referral-only Protocol template applies to one specific diagnosis only ("Primary/metastatic tumour of proximal humerus or scapula (oncology referral pathway)") — the other 6 diagnoses in S18 follow the group's standard (non-referral) Protocol selection logic.</w:t>
      </w:r>
    </w:p>
    <w:p>
      <w:pPr>
        <w:pStyle w:val="Heading1"/>
      </w:pPr>
      <w:r>
        <w:t xml:space="preserve">6. A Note on This Version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Earlier editions of this guide described the wrapper workbooks before any case data existed in them. That build is now complete.</w:t>
      </w:r>
    </w:p>
    <w:p>
      <w:pPr>
        <w:pStyle w:val="Heading1"/>
      </w:pPr>
      <w:r>
        <w:t xml:space="preserve">7. Worked Examples: the Golden Datasets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one of the 18 wrapper workbooks now ships with a companion "..._Golden_Dataset_SIMULATED.xlsx" file (in Shoulder_Condition_Wrapper_Workbooks/) and a matching "..._Field_Rule_Logic_Document.docx". These are NOT real patient data — every row is explicitly labelled SIMULATED and was constructed, then independently validated (0 contradictions), to exercise this workflow end-to-end before any real case is entered. They are useful to a clinician in two concrete ways: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a worked example of what a fully, correctly completed Medical Record Library / Protocol / Experience Base row looks like for this group, including which fields are expected to co-vary (e.g. Diagnosis with the grading/staging column, Rehabilitation Phase with the visible Protocol rows).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a reference for the group's own field-by-field valid-value specification (the companion Field Rule Logic Document), which is more detailed than the shared architecture documents because it is written per group.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Do not copy rows from a Golden Dataset into a real case record, and do not treat its 28,741-row-per-group average volume as a target for real intake — it exists to exercise the rules, not to seed the live Experience 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2026-10-01T19:02:19.482Z</dcterms:created>
  <dcterms:modified xsi:type="dcterms:W3CDTF">2026-10-01T19:02:19.483Z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