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S04 — Acromioclavicular (AC) Joint Pathology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SMAART Shoulder CDSS — companion validation-logic document to this group's wrapper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00000" w:space="4" w:sz="8" w:val="single"/>
          <w:left w:color="c00000" w:space="4" w:sz="8" w:val="single"/>
          <w:bottom w:color="c00000" w:space="4" w:sz="8" w:val="single"/>
          <w:right w:color="c00000" w:space="4" w:sz="8" w:val="single"/>
        </w:pBdr>
        <w:shd w:fill="fde9e7" w:val="clear"/>
        <w:spacing w:after="120" w:lineRule="auto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defines the field-by-field data-type and valid-range/valid-value specification for the S04 (Acromioclavicular (AC) Joint Pathology)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Conventions used throughout this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—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wrapper feeds the three-layer CDSS engine (see Shoulder_CDSS_Field_Rule_Logic_Library.xlsx and Shoulder_CDSS_Field_Interaction_Implementation.docx):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X-Ray_Rockwood Classification,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—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tblGridChange w:id="0">
          <w:tblGrid>
            <w:gridCol w:w="3000"/>
            <w:gridCol w:w="1500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Laterality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Left / Right / Bilateral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/ Posterior / Lateral (deltoid region) / Superior (AC/SC) / Diffuse / Radiating below elbow / Other (specify)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Sharp / Dull ache / Burning / Throbbing / Catching / Electric-shock-like / 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Pain_Intensity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Numeric Rating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Dominant Arm (Right/Left/Ambidextrous)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Right / Left / Ambidextrous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Affected Side Is Dominant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Episode(s) of Same Complaint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Aggravating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(overhead activity, lying on side, lifting, reaching behind 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Easing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(rest, sling, position, ice/heat, medication)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Night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Sleep Disturbance Due to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Smoking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 / Former / 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Cervical Spine Screen (Clear/Not Clear - referred-pain differential)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/ Not Clear (refer for cervical spine assessment)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Mechanism/Onset (direct fall on shoulder tip / chronic overuse e.g. weightlifting)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Direct fall on shoulder tip / Chronic overuse e.g. weightlifting / Other (specify)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Tenderness/Step Deformity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 (describe if Present)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Cross-Body Adduction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O'Brien's Test (AC-specific)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Compression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Piano Key 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X-Ray_Rockwood Classification (Type I-VI)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Type I / Type II / Type III / Type IV / Type V / Type VI, or 'Not applicable (non-traumatic)' for AC joint osteoarthritis and distal clavicle osteolysis (see Section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X-Ray_Coracoclavicular Distance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~11-13mm; &gt;25% increase vs contralateral side is consistent with Rockwood Type III or higher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Response to Diagnostic AC Joint Injection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 Flags / Precautions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recommended controlled vocabulary drawn from the Red Flag Master List (Section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 Analog Scale (VAS)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 or 1 decimal)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SPADI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ASES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/ Partial / Fail, with the specific functional test used (e.g. Overhead Reach, Apley Scratch Test) recorded in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Rehabilitation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 (see Section 9, Phase Logic, for this group's specific phase definitions)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Treatment Plan Mapping (Protocol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(foreign-key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or more existing Protocol IDs (format S04-P-###) separated by '; '. Each ID must exist in the Protocol sheet and match the case's Diagnosis, Rockwood scope, Management Pathway, Rehabilitation Phase and 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 / Follow-up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date-stamped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one entry per follow-up visit with a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Follow_Up_AC Joint Tenderness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Follow_Up_Cross-Body Adduction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Follow_Up_SPADI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Follow_Up_Balance and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/ Mild Deficit / Moderate Deficit / Severe Deficit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 to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return / Partial return (modified duties) / Not yet returned / 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Goals /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captured at intake and reviewed at each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Unstructured free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Encounter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2024-01-01 to 2026-08-15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 Since Onset (weeks)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Diagnostic Subtype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belong to the case's Diagnosis - [AC joint sprain] AC ligament sprain, joint stable (Rockwood I); AC ligament tear, CC ligaments intact (Rockwood II). [AC joint separation] AC and CC ligament disruption, clavicle superiorly displaced (Rockwood III); AC/CC disruption with inferior (subcoracoid) clavicular displacement (Rockwood VI); AC/CC disruption with marked superior displacement, deltotrapezial fascia detached (Rockwood V); AC/CC disruption with posterior clavicular displacement (Rockwood IV). [AC joint osteoarthritis] Inflammatory-arthropathy-associated AC osteoarthritis; Post-traumatic AC osteoarthritis (prior AC injury); Primary degenerative AC osteoarthritis. [Distal clavicle osteolysis] Atraumatic (weightlifter's) distal clavicle osteolysis; Post-traumatic distal clavicle osteolysis.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Management Pathway (Non-operative/Post-operative)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Non-operative / Post-operative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Index Procedure (current episode)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applicable (non-operative) or, for Post-operative cases - [AC joint sprain] none. [AC joint separation] AC joint reconstruction (CC ligament, tendon graft); Hook plate fixation; Open reduction and CC ligament reconstruction with deltotrapezial fascia repair; Suture-button (TightRope-type) CC stabilisation. [AC joint osteoarthritis] Arthroscopic distal clavicle excision (Mumford); Open distal clavicle excision (Mumford). [Distal clavicle osteolysis] Arthroscopic distal clavicle excision (Mumford); Open distal clavicle excision (Mumford).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Weeks Since 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weeks) or 'Not applicable'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0-36 for Post-operative cases; 'Not applicable' otherwise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 Findings (AC Joint, index imaging)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descriptors)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dislocation with &gt;100% increase in CC distance versus contralateral; AC dislocation; CC distance increased 25-100%; AC joint-space narrowing with marginal osteophytes; AC joint-space narrowing with subchondral sclerosis and cysts; Distal clavicle displaced beneath coracoid process; CC distance reduced; Distal clavicle displaced posteriorly into/through trapezius; AC dislocation; Distal clavicle osteopenia and tapering with cystic change; Distal clavicle resorption with subchondral cysts and widened AC joint space; Inferior (subcoracoid) clavicular displacement; CC distance reduced; Inferior distal-clavicle osteophytes with AC joint-space narrowing; Marked superior clavicular displacement; CC distance &gt;100% increase; Mild AC joint widening; CC distance within normal limits (&lt;25% increase); Normal AC joint alignment, soft-tissue swelling only; Normal AC joint alignment; no widening or displacement; Posterior clavicular displacement on axillary view; CC distance increased; Slight superior displacement of distal clavicle (&lt;half shaft width); CC distance near normal; Superior clavicular displacement with CC distance increased 25-100% versus contralateral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Diagnostic AC Injection Performed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Follow-up Interval (weeks)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1-12 (observed 1-8)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Constant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— Experience Base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tblGridChange w:id="0">
          <w:tblGrid>
            <w:gridCol w:w="3000"/>
            <w:gridCol w:w="1500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Diagnosis field of the source case, drawn from the Condition Master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Presenting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Clinical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 of key positive examination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Initial AI Decision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structured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routing/DDX/PHASE/PROTO rule path the engine initially followed for this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Wrong 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description of the erroneous action, or "None" if the initial pathway was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Minor / Moderate / Major / Critical (safety-relevant)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entry / Rule logic gap / Missing field / Ambiguous case / Reviewer disagreement / 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Correction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Fully effective / Partially effective / Not yet evaluated / 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 Decision (Gold Standard)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Accepted / Under Review / Adjudicated (3rd reviewer)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Diagnostic / Phase-Gating / Protocol-Selection / Red-Flag-Miss /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 / Impact of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Low / Moderate / High /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Cognitive Error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applicable / Anchoring / Premature closure / Availability bias / Confirmation bias / Base-rate neglect / Other (specify)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Contextual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never includes blocked-category personal details per this workbook's data-governance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Reflective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Extracted Lesson / Principle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written as a generalisable rule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Corrective Prompt / Rule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if promoted, must reference the affected rule ID in Shoulder_CDSS_Field_Rule_Logic_Library.xlsx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Confidence Score on 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(percentage)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Retrieval &amp; Indexing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(tag list)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Comma-separated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Follow-up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Outcome After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 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 8601 (YYYY-MM-DD hh:mm)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Diagnostic Subtype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value as the source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X-Ray_Rockwood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Type I-VI or 'Not applicable (non-traumatic)'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Rehabilitation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2 / 3 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Management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Non-operative / Post-operative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ID (Reference)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 key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or more existing Protocol IDs, separated by '; 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Erroneous Protocol ID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 key list) or 'None'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Existing Protocol IDs, or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Constant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— Protocol</w:t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tblGridChange w:id="0">
          <w:tblGrid>
            <w:gridCol w:w="3000"/>
            <w:gridCol w:w="1500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unique within the workbook, recommended format &lt;GroupID&gt;-P-&lt;sequence&gt;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category/Modality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Range of Motion / Strengthening / Manual Therapy / Modality (heat/ice/TENS) / Neuromuscular Control / Functional / Stretching / Patient Education / Support &amp; Immobilisation / Referral-Only (Phase 1 halt groups)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In-person / Telehealth / Home Exercise Programme / 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e.g. "18-65"; must be internally consistent (lower bound &lt;= upper bound) and should fall within the group's Typical Age Group 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X-Ray_Rockwood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Scope value: Type I-II / Type II / Type III-V / Type V / Type III-VI / Type IV / Type VI / Not applicable (non-traumatic). A protocol applies to every class inside its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Target Muscle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recommended controlled vocabulary drawn from this group's exam-field muscle names (e.g. supraspinatus, deltoid, serratus anterior)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Joint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Glenohumeral / Acromioclavicular / Sternoclavicular / Scapulothoracic / 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Isometric / Isotonic (concentric) / Isotonic (eccentric) / Isokinetic / Plyometric / Stretching / Neuromuscular / Mobility (ROM) / Not applicable (non-exercise) / Not applicable (referral-only)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specific named exercise or modality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Repetitions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0-50 per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Daily / Alternate days / 2-3x/week / Weekly / As-needed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Duration (hours per 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(decimal, hours)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0.0-2.0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days/week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Precautions/Contraindications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Equipment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Progression/Advancement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ideally phrased as an objective threshold (e.g. "pain &lt;=3/10 AND full passive ROM achieved")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Therapy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Therapy / Electrotherapy &amp; Physical Agents (Modality) / Manual Therapy / Patient Education &amp; Self-Management / Support &amp; Immobilisation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Sub-Classification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Cryotherapy; Education &amp; Self-Management; Electrotherapy; Functional / Sport-Work Specific; Joint Mobilisation; Laser (LLLT); Neuromuscular / Proprioceptive; ROM / Mobility; Sling/Immobilisation; Soft-Tissue Technique; Spinal/Thoracic Mobilisation; Strengthening; Stretching; Taping/Bracing; Thermotherapy; Ultrasound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Modality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Cryotherapy; IFT; Kinesio taping; LLLT; Moist heat pack; NMES; TENS; UST; Wax bath; Not applicable (for non-modality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Modality / Dosage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'Not applicable (see Repetitions/Sets/Frequency)' for exercise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Management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Non-operative / Post-operative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Core / Alternative - select one of group &lt;id&gt; (&lt;phase&gt;)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Constant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94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sprain (Rockwood Type I-II)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18-40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(fall on shoulder tip)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tenderness without visible step deformity; Rockwood I-II on X-ray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separation (Rockwood Type III-VI)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18-40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(fall on shoulder tip)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Visible/palpable step deformity, positive piano key sign; Rockwood III-VI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45-70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degenerative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Localised AC tenderness, positive cross-body adduction, X-ray joint-space narrowing/osteophytes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Distal clavicle osteolysis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20-40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(weightlifting/repetitive load)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pain with heavy pressing/overhead load; X-ray distal clavicle resorption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Protocol-sheet grading/staging column is: X-Ray_Rockwood Classification.</w:t>
      </w:r>
      <w:r w:rsidDel="00000000" w:rsidR="00000000" w:rsidRPr="00000000">
        <w:rPr>
          <w:rtl w:val="0"/>
        </w:rPr>
      </w:r>
    </w:p>
    <w:tbl>
      <w:tblPr>
        <w:tblStyle w:val="Table5"/>
        <w:tblW w:w="6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tblGridChange w:id="0">
          <w:tblGrid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Type I / II / III / IV / V / VI, and 'Not applicable (non-traumatic)' for AC joint osteoarthritis and distal clavicle osteolysis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—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— Free text; overhead-demand occupations should be flagged (relevant to S01, S03, S11, S14)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— Yes/No, then free text procedure name and approximate date if Yes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— Free text; recommend structured prompts (overhead activity, lying on side, lifting, reaching behind back)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— Free text; recommend structured prompts (rest, sling, position, ice/heat, medication)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— Free text; recommended controlled vocabulary drawn from the Red Flag Master List (Section 10)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— Free text, one entry per follow-up visit with a date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— Free text, captured at intake and reviewed at each follow-up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— Unstructured free text</w:t>
      </w:r>
    </w:p>
    <w:p w:rsidR="00000000" w:rsidDel="00000000" w:rsidP="00000000" w:rsidRDefault="00000000" w:rsidRPr="00000000" w14:paraId="000001BC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Standard four-phase progression, matching this group's Rehabilitation Phase field (Section 3) and Protocol Rehab Phase column (Section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1C2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Fields specific to a prior or planned procedure for this group: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Follow_Up_* field must be entered on the same valid-range/value-set basis as its baseline counterpart (Section 3), and is additionally subject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— this is a data-entry error, not evidence of exceptional improvement.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— regression can be genuine.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specific follow-up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Follow_Up_AC Joint Tenderness — Present / Absent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Follow_Up_Cross-Body Adduction — Present / Absent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Follow_Up_SPADI — 0-100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— Normal / Mild Deficit / Moderate Deficit / Severe Deficit</w:t>
      </w:r>
    </w:p>
    <w:p w:rsidR="00000000" w:rsidDel="00000000" w:rsidP="00000000" w:rsidRDefault="00000000" w:rsidRPr="00000000" w14:paraId="000001DC">
      <w:pPr>
        <w:pStyle w:val="Heading1"/>
        <w:rPr/>
      </w:pPr>
      <w:r w:rsidDel="00000000" w:rsidR="00000000" w:rsidRPr="00000000">
        <w:rPr>
          <w:rtl w:val="0"/>
        </w:rPr>
        <w:t xml:space="preserve">13. Va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Rehabilitation Phase distribution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MRL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Experience Base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6,173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1,269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8,206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1,652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7,655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5,466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1,116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Diagnostic Subtype coverage (MRL rows)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5160"/>
        <w:gridCol w:w="1500"/>
        <w:tblGridChange w:id="0">
          <w:tblGrid>
            <w:gridCol w:w="2700"/>
            <w:gridCol w:w="51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Diagnostic Subtype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MRL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sprain (Rockwood Type I-II)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ligament sprain, joint stable (Rockwood 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3,480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sprain (Rockwood Type I-II)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ligament tear, CC ligaments intact (Rockwood 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2,845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separation (Rockwood Type III-VI)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and CC ligament disruption, clavicle superiorly displaced (Rockwood III)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4,455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separation (Rockwood Type III-VI)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AC/CC disruption with inferior (subcoracoid) clavicular displacement (Rockwood 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separation (Rockwood Type III-VI)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AC/CC disruption with marked superior displacement, deltotrapezial fascia detached (Rockwood 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1,930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separation (Rockwood Type III-VI)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AC/CC disruption with posterior clavicular displacement (Rockwood IV)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Inflammatory-arthropathy-associated AC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Post-traumatic AC osteoarthritis (prior AC injury)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2,161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 joint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Primary degenerative AC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5,802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Distal clavicle osteolysis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Atraumatic (weightlifter's) distal clavicle osteolysis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3,563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Distal clavicle osteolysis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Post-traumatic distal clavicle osteolysis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1,387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Experience Base error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About 10% of Experience Base rows are graded-error entries (560 rows); the rest are concordant entries.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5,040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Phase-Gating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Protocol-Selection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Red-Flag-Miss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15.3 Field additions and vocabulary extensions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 /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MRL - added columns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 columns (yellow headers in the workbook): Encounter Date; Time Since Onset (weeks); Diagnostic Subtype; Management Pathway; Index Procedure; Weeks Since Surgery; X-Ray Findings (AC Joint, index imaging); Diagnostic AC Injection Performed (Y/N); Follow-up Interval (weeks); Data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Experience Base - added columns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 columns: Diagnostic Subtype; X-Ray_Rockwood Classification; Rehabilitation Phase; Management Pathway; Protocol ID (Reference); Erroneous Protocol ID (if any); Data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- added columns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 columns: Therapy Class; Sub-Classification; Modality Type; Modality / Dosage Parameters; Management Pathway; Protocol Role; Data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Rockwood value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MRL and Experience Base add 'Not applicable (non-traumatic)'; Protocol adds scope values (Type I-II, Type II, Type III-V, Type V, Type III-VI, Type IV, Type VI, Not applicable (non-traumatic)).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Treatment Plan Mapping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Holds a semicolon-separated list of Protocol IDs (Core rows plus one choice per Alternative group), not a single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category adds Stretching, Patient Education, Support &amp; Immobilisation; Exercise Type adds Mobility (ROM) and Not applicable (non-exercise).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zeros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Repetitions/Sets 0 also valid for Patient Education and Support &amp; Immobilisation rows; sling/brace duration logged at the 2.0 h cap.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Affected Side Is Dominant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when Laterality matches Dominant Arm or is Bilateral; No for unilateral cases in Ambidextrous patients.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Diagnostic injection 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'No' when no injection was performed; disambiguated by the added 'Diagnostic AC Injection Performed (Y/N)'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Index imaging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Rockwood class, CC distance and X-Ray Findings record the index (pre-operative / diagnostic) imaging, also for post-operative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Experience Base 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Severity uses 'Critical (safety-relevant)'; Severity / Impact of Error uses 'Critical'.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Experience Base field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Section 4 text said 29 fields; the table lists 30 (including Case ID). Corrected to 30 + 7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Unique within each sheet; the Experience Base deliberately re-uses MRL Case IDs as the join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age ranges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15.4 Cross-field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data was generated root-variables-first (Diagnosis and classification/stage, then pathway or phase, then time), and every other field was derived from those roots. The independent validator re-checks each rule below on the written cells.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Rockwood II-VI vs CC distance: Type I 10-14 mm; II 11-16.5; III 15-26; IV 15-28; V 26-45; VI 2-10; non-traumatic 10-14.5.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deformity is present in non-operative Rockwood III-V; the piano key sign is never Positive for Type I, Type II, osteoarthritis or osteolysis, and never Negative for non-operative III-V.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IV and Type VI are always Post-operative; AC sprain is always Non-operative; Index Procedure is matched to the diagnosis (Mumford excision only for osteoarthritis/osteolysis).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Non-operative phase windows (Time Since Onset): e.g. Type I P1 0-2 wk, P2 1-4, P3 3-8, P4 6-14; Type II P1 0-3, P2 2-6, P3 5-12, P4 8-20; Type III/V P1 0-4, P2 3-8, P3 6-14, P4 10-26 weeks.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Post-operative phase windows (Weeks Since Surgery): separation surgery P1 0-5, P2 6-11, P3 12-19, P4 20-36; distal clavicle excision P1 0-1, P2 2-5, P3 6-11, P4 12-24; Time Since Onset is never less than Weeks Since Surgery.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Onset band follows Time Since Onset for traumatic diagnoses; osteoarthritis and osteolysis are Insidious.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Night pain requires VAS &gt;= 2; sleep disturbance requires night pain; Pain_Intensity is within 1.5 points of VAS; Functional Test agrees with SPADI (Pass only if SPADI &lt;= 45; Fail only if SPADI &gt;= 25); SPADI and ASES move inversely.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/ co-morbidity links: diabetes, thyroid, rheumatoid, osteoporosis each carry a consistent medication; oral NSAIDs never appear with an anticoagulant or renal disease; corticosteroid injection history appears in both Previous Treatment and Medication History.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Precautions derive from the record: anticoagulant/antiplatelet, corticosteroid exposure, osteoporosis, diabetes, post-operative status, Rockwood VI neurovascular monitoring, and a 'Not Clear' cervical screen (also forced when pain radiates below the elbow).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Follow-up: SPADI improves unless a regression is documented in Progress / Follow-up Tracking and Notes; the progress text repeats the stored SPADI values.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 integrity: every Protocol ID exists; the plan contains all Core protocols of the matching diagnosis/class/pathway/phase cell and exactly one protocol from each Alternative group; no protocol comes from another cell; patient age lies inside each protocol's age range.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Base linkage: Case ID exists in the MRL; the eight demographic fields and Condition/Subtype/class/phase/pathway are copied exactly; the reference protocol set equals the case's plan; error rows carry a wrong action, severity, source and (for protocol/phase errors) an erroneous Protocol ID different from the reference.</w:t>
      </w:r>
    </w:p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15.5 Protocol library and protocol referencing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Protocols are created once, in the Protocol sheet, with IDs S04-P-001 to S04-P-118. The Medical Record Library (Treatment Plan Mapping) and the Experience Base (Protocol ID (Reference), Erroneous Protocol ID) refer to protocols by ID only; full protocol content is never repeated in either sheet.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Classification: Exercise Therapy (range of motion / mobility, stretching, strengthening, neuromuscular / proprioceptive, functional / sport-work specific), Electrotherapy &amp; Physical Agents (IFT, TENS, UST, wax bath, moist heat, cryotherapy, LLLT, NMES and taping), Manual Therapy (joint mobilisation, soft-tissue, spinal/thoracic), Patient Education &amp; Self-Management, and Support &amp; Immobilisation (sling, brace).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protocol is scoped by Diagnosis, Rockwood scope, Management Pathway and Rehab Phase, and is Core or one member of an Alternative group.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4360"/>
        <w:gridCol w:w="1600"/>
        <w:tblGridChange w:id="0">
          <w:tblGrid>
            <w:gridCol w:w="3400"/>
            <w:gridCol w:w="436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Therapy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Electrotherapy &amp; Physical Agents (Modality)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Cryotherapy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Electrotherapy &amp; Physical Agents (Modality)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Electrotherapy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Electrotherapy &amp; Physical Agents (Modality)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Laser (LLLT)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Electrotherapy &amp; Physical Agents (Modality)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Thermotherapy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Electrotherapy &amp; Physical Agents (Modality)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Ultrasound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/ Sport-Work Specific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Neuromuscular / Proprioceptive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ROM / Mobility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Strengthening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Stretching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Manual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Joint 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Manual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Soft-Tissue Technique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Manual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Spinal/Thoracic 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Education &amp; Self-Management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Education &amp; Self-Management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Support &amp; Immobilisation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Sling/Immobilisation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Support &amp; Immobilisation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Taping/Bracing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Modality type (electrotherapy / physical agents)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Cryotherapy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Kinesio taping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LLLT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Moist heat pack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Wax bath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15.6 Specification discrepancies found and how they were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 counts: the Section 4 text said 29 Experience Base fields while the table lists 30; the table was taken as correct.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Rockwood field for non-traumatic diagnoses: the template scale is Type I-VI only; 'Not applicable (non-traumatic)' was added for AC osteoarthritis and osteolysis rather than forcing an incorrect Rockwood grade.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 Rockwood column: the template implies one class per protocol row; scope values were introduced so one protocol can serve several classes.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S01 pilot generator files were not available when S04/S05 were built; the generation approach was rebuilt from the S01 description (root-variables-first, protocol IDs only, independent validator).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VCfKoKmfnJ9GGugPPlvVnFr2Mw==">CgMxLjA4AHIhMXdHaExpdWRIWVEwM0ROcElCNEU1NzJkdEtKNnVKNVdt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2026-09-29T18:07:38.497Z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