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S05 — Adhesive Capsulitis (Frozen Shoulder)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rPr/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Field Rule Logic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SMAART Shoulder CDSS — companion validation-logic document to this group's wrapper workbook.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Every value entered into this workbook must conform to the specification below. A value outside the stated range or value set is a data-entry error to be rejected at entry, not silently accepted, clipped, or corrected downstream — the Visual Analog Scale field is the reference example: a score of 11 or a negative number is invalid, never a valid extreme.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Purpose and Conventions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This document defines the field-by-field data-type and valid-range/valid-value specification for the S05 (Adhesive Capsulitis (Frozen Shoulder)) wrapper workbook: Medical Record Library, Experience Base, and Protocol sheets. It is the validation-logic companion to that workbook, mirroring the Field Rule Logic Document convention established for the Knee CDSS (one such document per condition-group wrapper).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Conventions used throughout this document: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Boolean fields accept exactly Yes or No (or Y/N in the workbook header) — no blank, no "maybe".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Numeric fields state an inclusive valid range; a value outside that range is rejected, not clamped to the nearest boundary.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Categorical fields state the exact permitted value set; free text beyond that set is only accepted where the field is explicitly marked "(specify)".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field with no meaningful discriminating value set is explicitly marked as free text, deliberately, rather than left unspecified.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2. Engine Outputs</w:t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This wrapper feeds the three-layer CDSS engine (see Shoulder_CDSS_Field_Rule_Logic_Library.xlsx and Shoulder_CDSS_Field_Interaction_Implementation.docx):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 1 (within-sheet validators) enforces every range/value-set specification in Sections 3-5 below.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 2 (cross-sheet event bus) propagates this group's Diagnosis, Clinical Stage (Freezing/Frozen/Thawing), and Rehabilitation Phase values from the Medical Record Library into the Protocol and Experience Base sheets.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 3 (DDX/PHASE/FINAL/PROTO rules) consumes the Diagnosis Logic (Section 6), Phase Logic (Section 9), and this group's Protocol Structure (Section 5) to select visible Protocol rows and lock the Diagnosis field.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3. Data-Type Specification — Medical Record Library</w:t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51 fields, in column order.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500"/>
        <w:gridCol w:w="2960"/>
        <w:gridCol w:w="1900"/>
        <w:tblGridChange w:id="0">
          <w:tblGrid>
            <w:gridCol w:w="3000"/>
            <w:gridCol w:w="1500"/>
            <w:gridCol w:w="2960"/>
            <w:gridCol w:w="1900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 Range /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Text (unique identifier)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text, must be unique within the workbook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System-generated or clinic-assigned; never reused.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(years)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 = neonate/birth-related presentation (S17 only). Cross-checked (not blocked) against the Condition Master List's Typical Age Group band for the entered Diagnosis.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Male / Female / Other / Prefer not to say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BMI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(kg/m^2)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10.0-60.0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One decimal place. Values outside 12-45 are flagged for re-confirmation, not blocked.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Co-morbidities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/ multi-select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list; recommended controlled vocabulary: Diabetes Mellitus, Thyroid Disease, Rheumatoid/Inflammatory Arthritis, Cardiac Disease, Renal Disease, Osteoporosis, Malignancy (specify), None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Medication History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text; anticoagulants/antiplatelets and corticosteroids should always be explicitly flagged if present (see Section 9)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Occupation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text; overhead-demand occupations should be flagged (relevant to S01, S03, S11, S14)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Activity 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Sedentary / Light / Moderate / Vigorous / Competitive Athlete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Laterality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Left / Right / Bilateral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Pain_Location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 / short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Anterior / Posterior / Lateral (deltoid region) / Superior (AC/SC) / Diffuse / Radiating below elbow / Other (specify)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Pain_Nature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Sharp / Dull ache / Burning / Throbbing / Catching / Electric-shock-like / Mixed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Pain_Intensity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(integer, Numeric Rating Scale)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 = no pain, 10 = worst pain imaginable. Same 0-10 convention as Visual Analog Scale (VAS) below. Values above 10 or below 0 are invalid and must be rejected at entry, not clipped.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Onset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 / short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Acute (&lt;2 weeks) / Subacute (2-12 weeks) / Chronic (&gt;12 weeks) / Insidious / Congenital-Developmental, further qualified by the group-specific onset field immediately below 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Dominant Arm (Right/Left/Ambidextrous)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Right / Left / Ambidextrous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Affected Side Is Dominant (Y/N)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Yes /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Derived field — should equal Yes only when Laterality matches Dominant Arm; a mismatch here that is not flagged is a data-entry error, not a valid combination (Bilateral laterality is the one exception).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Previous Shoulder Surgery - Any (Y/N, procedure/date if known)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Boolean + 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Yes/No, then free text procedure name and approximate date if 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Previous Episode(s) of Same Complaint (Y/N)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Yes /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Previous Treatment Received (physiotherapy/injection/surgery/none)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 (multi-select)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Physiotherapy / Corticosteroid Injection / Surgery / Medication only / None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Aggravating Factors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text; recommend structured prompts (overhead activity, lying on side, lifting, reaching behind back)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Easing Factors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text; recommend structured prompts (rest, sling, position, ice/heat, medication)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Night Pain (Y/N)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Yes /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 hallmark feature of rotator cuff pathology (S01), calcific tendinitis (S18), and a general oncological/infective red-flag when severe and unremitting (feeds Red Flag Master List, Section 10).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Sleep Disturbance Due to Pain (Y/N)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Yes /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Smoking 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Never / Former / Current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Relevant to tendon/bone healing prognosis, particularly S08/S09/S10 (fracture) and S12 (post-surgical) groups.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Cervical Spine Screen (Clear/Not Clear - referred-pain differential)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Clear / Not Clear (refer for cervical spine assessment)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"Not Clear" does not by itself exclude a shoulder diagnosis, but must be documented before Diagnosis is locked (Section 6).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Onset (insidious; staged freezing/frozen/thawing)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Insidious; staged freezing / Frozen / Thawing / Other (specify)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Valid values are the alternatives named directly in this field's own header.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Diabetes/Thyroid Status (risk factor screen)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 / 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Group-specific enumerated values or free text — see Section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Duration of Symptoms (months)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(weeks, unless otherwise specified)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0-260 (5 years)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Passive ROM Restriction (capsular pattern: ER &gt; Abduction &gt; IR)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(degrees), per motion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0-180 per motion (External Rotation, Abduction, Internal Rotation), recorded separately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"Capsular pattern" means the restriction is proportionally greatest in External Rotation, next in Abduction, least in Internal Rotation — record all three motions' degrees, not a single value.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Active ROM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(degrees)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Upper bound depends on the specific motion (flexion/abduction up to 180 deg; external/internal rotation typically 0-90 deg) - record the motion-specific normal ceiling alongside the value.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End-Feel (capsular)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Normal (firm capsular) / Empty (pain-limited) / Hard (bony block) / Boggy (effusion) / Springy Block (mechanical block)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Scapulohumeral Rhythm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Present / Absent (describe if Present)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MRI/Arthrography_Capsular Thickening (if performed; usually a clinical diagnosis)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Not performed (clinical diagnosis) / Performed - Thickening Present / Performed - No Significant Finding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Contralateral Shoulder History (Y/N - bilateral involvement common)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Yes /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Bilateral involvement is common in adhesive capsulitis (~20-30% of cases go on to affect the contralateral shoulder).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Other Risk Factors (cardiac surgery/Parkinson's disease/prolonged immobilisation)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Cardiac surgery / Parkinson's disease / Prolonged immobilisation / Other (specify)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Valid values are the alternatives named directly in this field's own header.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Diagnosis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 (controlled vocabulary)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Must be one of the named conditions listed for this group in the Shoulder_CDSS_Condition_Master_List.csv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Free-text "Other/Unclassified" routes the case to S18 workflow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Red Flags / Precautions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/ multi-select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text; recommended controlled vocabulary drawn from the Red Flag Master List (Section 10)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Visual Analog Scale (VAS)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(integer or 1 decimal)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 = no pain, 10 = worst pain imaginable. This is the canonical example: a value of 11 or higher, or a negative value, is a data-entry error and must be rejected by the Layer 1 validator, never silently accepted or capped.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SPADI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100 = worst disability (Shoulder Pain and Disability Index).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Shoulder Pain and Disability Index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Synonymous with SPADI where used as a standalone field label; 100 = worst.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DASH 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100 = worst disability (Disabilities of the Arm, Shoulder and Hand).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Functional 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 / numeric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Pass / Partial / Fail, with the specific functional test used (e.g. Overhead Reach, Apley Scratch Test) recorded in Notes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Generalised upper-limb substitute for the Knee's 6MWT/TUG and Sit-to-Stand fields (documented deviation, see Grouping Rationale index).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Rehabilitation Phase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Phase 1 / Phase 2 / Phase 3 / Phase 4 (see Section 9, Phase Logic, for this group's specific phase definitions)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Treatment Plan Mapping (Protocol ID)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Text (foreign key)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Must match an existing Protocol ID in this workbook's Protocol sheet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Progress / Follow-up Tracking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/ date-stamped 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text, one entry per follow-up visit with a 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Follow_Up_Passive ROM (ER/Abduction/IR)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(degrees)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Same joint-motion-specific ceiling as the baseline ROM field; a follow-up value exceeding the baseline field's plausible normal ceiling is a data-entry error, not an improvement.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Follow_Up_SPADI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Same instrument and range as the baseline SPADI.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Follow_Up_Clinical Stage (freezing/frozen/thawing)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Freezing / Frozen / Thawing / Other (specify)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Valid values are the alternatives named directly in this field's own header.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Follow_Up_Balance and Stability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Normal / Mild Deficit / Moderate Deficit / Severe Deficit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Return to Activities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Full return / Partial return (modified duties) / Not yet returned / Not applicable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Patient Goals / Expectations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text, captured at intake and reviewed at each follow-up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Unstructured 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pStyle w:val="Heading1"/>
        <w:rPr/>
      </w:pPr>
      <w:r w:rsidDel="00000000" w:rsidR="00000000" w:rsidRPr="00000000">
        <w:rPr>
          <w:rtl w:val="0"/>
        </w:rPr>
        <w:t xml:space="preserve">4. Data-Type Specification — Experience Base</w:t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29 fields, identical schema across all 18 groups (see Shoulder_Condition_Grouping_Rationale_and_Index.md, Shared Structure Confirmation).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500"/>
        <w:gridCol w:w="2960"/>
        <w:gridCol w:w="1900"/>
        <w:tblGridChange w:id="0">
          <w:tblGrid>
            <w:gridCol w:w="3000"/>
            <w:gridCol w:w="1500"/>
            <w:gridCol w:w="2960"/>
            <w:gridCol w:w="1900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 Range /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Text (unique identifier)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text, must be unique within the workbook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System-generated or clinic-assigned; never reused.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(years)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 = neonate/birth-related presentation (S17 only). Cross-checked (not blocked) against the Condition Master List's Typical Age Group band for the entered Diagnosis.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Male / Female / Other / Prefer not to say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BMI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(kg/m^2)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10.0-60.0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One decimal place. Values outside 12-45 are flagged for re-confirmation, not blocked.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Co-morbidities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/ multi-select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list; recommended controlled vocabulary: Diabetes Mellitus, Thyroid Disease, Rheumatoid/Inflammatory Arthritis, Cardiac Disease, Renal Disease, Osteoporosis, Malignancy (specify), None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Medication History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text; anticoagulants/antiplatelets and corticosteroids should always be explicitly flagged if present (see Section 9)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Occupation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text; overhead-demand occupations should be flagged (relevant to S01, S03, S11, S14)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Activity 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Sedentary / Light / Moderate / Vigorous / Competitive Athlete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 (controlled vocabulary)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Must match the Diagnosis field of the source case, drawn from the Condition Master List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Presenting Symptoms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Clinical Findings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summary of key positive examination findings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Initial AI Decision Pathway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/ structured 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The routing/DDX/PHASE/PROTO rule path the engine initially followed for this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Wrong Action Taken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description of the erroneous action, or "None" if the initial pathway was correct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Error Severity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None / Minor / Moderate / Major / Critical (safety-relevant)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Error Source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Data entry / Rule logic gap / Missing field / Ambiguous case / Reviewer disagreement / Not applicable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Correction Effectiveness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Fully effective / Partially effective / Not yet evaluated / Not applicable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Correct Decision (Gold Standard)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Accepted / Under Review / Adjudicated (3rd reviewer) / Rejected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Error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None / Diagnostic / Phase-Gating / Protocol-Selection / Red-Flag-Miss /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Severity / Impact of Error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None / Low / Moderate / High / Critical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Cognitive Error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Not applicable / Anchoring / Premature closure / Availability bias / Confirmation bias / Base-rate neglect / Other (specify)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Contextual Factors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text; never includes blocked-category personal details per this workbook's data-governance policy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Reflective Analysis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Extracted Lesson / Principle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text, written as a generalisable rule statement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Corrective Prompt / Rule Update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text; if promoted, must reference the affected rule ID in Shoulder_CDSS_Field_Rule_Logic_Library.xlsx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Confidence Score on Lesson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(percentage)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Retrieval &amp; Indexing Tags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(tag list)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Comma-separated tags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Follow-up Actions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Outcome After Correction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Timestamp Last Updated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Date-time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ISO 8601 (YYYY-MM-DD hh:mm)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pStyle w:val="Heading1"/>
        <w:rPr/>
      </w:pPr>
      <w:r w:rsidDel="00000000" w:rsidR="00000000" w:rsidRPr="00000000">
        <w:rPr>
          <w:rtl w:val="0"/>
        </w:rPr>
        <w:t xml:space="preserve">5. Data-Type Specification — Protocol</w:t>
      </w:r>
    </w:p>
    <w:p w:rsidR="00000000" w:rsidDel="00000000" w:rsidP="00000000" w:rsidRDefault="00000000" w:rsidRPr="00000000" w14:paraId="00000162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21 fields. Column F (grading/staging) is this group's own scale: Clinical Stage (Freezing/Frozen/Thawing).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500"/>
        <w:gridCol w:w="2960"/>
        <w:gridCol w:w="1900"/>
        <w:tblGridChange w:id="0">
          <w:tblGrid>
            <w:gridCol w:w="3000"/>
            <w:gridCol w:w="1500"/>
            <w:gridCol w:w="2960"/>
            <w:gridCol w:w="1900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 Range /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Protocol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Text (unique identifier)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text, unique within the workbook, recommended format &lt;GroupID&gt;-P-&lt;sequence&gt;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Exercise category/Modality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Range of Motion / Strengthening / Manual Therapy / Modality (heat/ice/TENS) / Neuromuscular Control / Functional / Referral-Only (Phase 1 halt groups)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Delivery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In-person / Telehealth / Home Exercise Programme / Hybrid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Age range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Text (range)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e.g. "18-65"; must be internally consistent (lower bound &lt;= upper bound) and should fall within the group's Typical Age Group band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Diagnosis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 (controlled vocabulary)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Must be one of the named conditions listed for this group in the Shoulder_CDSS_Condition_Master_List.csv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Free-text "Other/Unclassified" routes the case to S18 workflow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Clinical Stage (Freezing/Frozen/Thawing)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Freezing / Frozen / Thawing / Resolved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Rehab Phase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Phase 1 / Phase 2 / Phase 3 / Phase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Must match the values used in the MRL's Rehabilitation Phase field for this group.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Target Muscle Group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/ 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text, recommended controlled vocabulary drawn from this group's exam-field muscle names (e.g. supraspinatus, deltoid, serratus anterior)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Joint Focus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Glenohumeral / Acromioclavicular / Sternoclavicular / Scapulothoracic / Combined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Exercise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Isometric / Isotonic (concentric) / Isotonic (eccentric) / Isokinetic / Plyometric / Stretching / Neuromuscular / Not applicable (referral-only)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Exercise/modality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text, specific named exercise or modality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Repetitions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(integer)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0-50 per set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 is valid only for Referral-Only/Manual-Therapy-Only/Modality-Only rows.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(integer)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Daily / Alternate days / 2-3x/week / Weekly / As-needed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Session/day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(integer)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Duration (hours per session)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(decimal, hours)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0.0-2.0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days/week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(integer)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total weeks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(integer)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1-52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Precautions/Contraindications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Equipment Needed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Progression/Advancement Criteria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text, ideally phrased as an objective threshold (e.g. "pain &lt;=3/10 AND full passive ROM achieved")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pStyle w:val="Heading1"/>
        <w:rPr/>
      </w:pPr>
      <w:r w:rsidDel="00000000" w:rsidR="00000000" w:rsidRPr="00000000">
        <w:rPr>
          <w:rtl w:val="0"/>
        </w:rPr>
        <w:t xml:space="preserve">6. Diagnosis Logic (DDX)</w:t>
      </w:r>
    </w:p>
    <w:p w:rsidR="00000000" w:rsidDel="00000000" w:rsidP="00000000" w:rsidRDefault="00000000" w:rsidRPr="00000000" w14:paraId="000001BC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Differential diagnosis is keyed to the Key Differentiating Feature of each named condition in this group (source of truth: Shoulder_CDSS_Condition_Master_List.csv). The Diagnosis field (Section 3) may only be set to one of these values, or routed to S18 if none applies.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500"/>
        <w:gridCol w:w="1900"/>
        <w:gridCol w:w="3760"/>
        <w:tblGridChange w:id="0">
          <w:tblGrid>
            <w:gridCol w:w="2200"/>
            <w:gridCol w:w="1500"/>
            <w:gridCol w:w="1900"/>
            <w:gridCol w:w="3760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Typical 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Onset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Differentiating Feature (DDX rule body)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Primary (idiopathic) adhesive capsulitis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40-60 yrs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Insidious, staged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Global passive ROM restriction, capsular pattern (ER most restricted), no imaging abnormality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Secondary adhesive capsulitis (diabetic)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40-65 yrs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Insidious, staged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As above plus known diabetes; typically more severe and prolonged course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Secondary adhesive capsulitis (post-traumatic/post-surgical)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35-65 yrs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Insidious following trauma/surgery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Capsular-pattern restriction developing weeks-months after an index injury or procedure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pStyle w:val="Heading1"/>
        <w:rPr/>
      </w:pPr>
      <w:r w:rsidDel="00000000" w:rsidR="00000000" w:rsidRPr="00000000">
        <w:rPr>
          <w:rtl w:val="0"/>
        </w:rPr>
        <w:t xml:space="preserve">7. Grading/Staging Scale</w:t>
      </w:r>
    </w:p>
    <w:p w:rsidR="00000000" w:rsidDel="00000000" w:rsidP="00000000" w:rsidRDefault="00000000" w:rsidRPr="00000000" w14:paraId="000001CE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This group's Protocol-sheet grading/staging column is: Clinical Stage (Freezing/Frozen/Thawing).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360"/>
        <w:gridCol w:w="3000"/>
        <w:tblGridChange w:id="0">
          <w:tblGrid>
            <w:gridCol w:w="2000"/>
            <w:gridCol w:w="4360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 Range /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Freezing / Frozen / Thawing / Resolved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pStyle w:val="Heading1"/>
        <w:rPr/>
      </w:pPr>
      <w:r w:rsidDel="00000000" w:rsidR="00000000" w:rsidRPr="00000000">
        <w:rPr>
          <w:rtl w:val="0"/>
        </w:rPr>
        <w:t xml:space="preserve">8. Descriptive and Free-Text Field Conventions</w:t>
      </w:r>
    </w:p>
    <w:p w:rsidR="00000000" w:rsidDel="00000000" w:rsidP="00000000" w:rsidRDefault="00000000" w:rsidRPr="00000000" w14:paraId="000001D6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The following Medical Record Library fields are intentionally free text rather than categorical, because they capture narrative or highly case-specific information that does not reduce to a fixed value set: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Co-morbidities — Free text list; recommended controlled vocabulary: Diabetes Mellitus, Thyroid Disease, Rheumatoid/Inflammatory Arthritis, Cardiac Disease, Renal Disease, Osteoporosis, Malignancy (specify), None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Medication History — Free text; anticoagulants/antiplatelets and corticosteroids should always be explicitly flagged if present (see Section 9)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Occupation — Free text; overhead-demand occupations should be flagged (relevant to S01, S03, S11, S14)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Previous Shoulder Surgery - Any (Y/N, procedure/date if known) — Yes/No, then free text procedure name and approximate date if Yes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Aggravating Factors — Free text; recommend structured prompts (overhead activity, lying on side, lifting, reaching behind back)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Easing Factors — Free text; recommend structured prompts (rest, sling, position, ice/heat, medication)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Diabetes/Thyroid Status (risk factor screen) — Group-specific enumerated values or free text — see Section 6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 Flags / Precautions — Free text; recommended controlled vocabulary drawn from the Red Flag Master List (Section 10)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Progress / Follow-up Tracking — Free text, one entry per follow-up visit with a date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Patient Goals / Expectations — Free text, captured at intake and reviewed at each follow-up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Notes — Unstructured free text</w:t>
      </w:r>
    </w:p>
    <w:p w:rsidR="00000000" w:rsidDel="00000000" w:rsidP="00000000" w:rsidRDefault="00000000" w:rsidRPr="00000000" w14:paraId="000001E2">
      <w:pPr>
        <w:pStyle w:val="Heading1"/>
        <w:rPr/>
      </w:pPr>
      <w:r w:rsidDel="00000000" w:rsidR="00000000" w:rsidRPr="00000000">
        <w:rPr>
          <w:rtl w:val="0"/>
        </w:rPr>
        <w:t xml:space="preserve">9. Phase Logic</w:t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Standard four-phase progression, matching this group's Rehabilitation Phase field (Section 3) and Protocol Rehab Phase column (Section 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Phase 1 - Acute/protective: pain and irritability control, protect healing/repaired structures.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Phase 2 - Early mobilisation: restore passive then active range of motion within protocol-permitted limits.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Phase 3 - Strengthening: progressive resistance targeting this group's target muscle groups.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Phase 4 - Return to activity: functional and sport/occupation-specific loading and discharge criteria.</w:t>
      </w:r>
    </w:p>
    <w:p w:rsidR="00000000" w:rsidDel="00000000" w:rsidP="00000000" w:rsidRDefault="00000000" w:rsidRPr="00000000" w14:paraId="000001E8">
      <w:pPr>
        <w:pStyle w:val="Heading1"/>
        <w:rPr/>
      </w:pPr>
      <w:r w:rsidDel="00000000" w:rsidR="00000000" w:rsidRPr="00000000">
        <w:rPr>
          <w:rtl w:val="0"/>
        </w:rPr>
        <w:t xml:space="preserve">10. Red Flag Master List</w:t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No group-specific deterministic red flag is defined for this group beyond the shared Core-block red-flag screen (Red Flags/Precautions field, Section 3) and the general Cervical Spine Screen. See Shoulder_CDSS_Wrapper_Routing_Map.xlsx, sheet 'Red Flag Routing', for the full nine-rule red-flag set that can redirect a case into this group (e.g. SH-RF-05 for a suspected neoplastic process presenting anywhere in the shoulder girdle).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1"/>
        <w:rPr/>
      </w:pPr>
      <w:r w:rsidDel="00000000" w:rsidR="00000000" w:rsidRPr="00000000">
        <w:rPr>
          <w:rtl w:val="0"/>
        </w:rPr>
        <w:t xml:space="preserve">11. Structural and Operative Fields</w:t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Fields specific to a prior or planned procedure for this group: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500"/>
        <w:gridCol w:w="2960"/>
        <w:gridCol w:w="1900"/>
        <w:tblGridChange w:id="0">
          <w:tblGrid>
            <w:gridCol w:w="3000"/>
            <w:gridCol w:w="1500"/>
            <w:gridCol w:w="2960"/>
            <w:gridCol w:w="1900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 Range /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Previous Shoulder Surgery - Any (Y/N, procedure/date if known)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Boolean + 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Yes/No, then free text procedure name and approximate date if 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Previous Treatment Received (physiotherapy/injection/surgery/none)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 (multi-select)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Physiotherapy / Corticosteroid Injection / Surgery / Medication only / None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Other Risk Factors (cardiac surgery/Parkinson's disease/prolonged immobilisation)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Cardiac surgery / Parkinson's disease / Prolonged immobilisation / Other (specify)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Valid values are the alternatives named directly in this field's own header.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C">
      <w:pPr>
        <w:pStyle w:val="Heading1"/>
        <w:rPr/>
      </w:pPr>
      <w:r w:rsidDel="00000000" w:rsidR="00000000" w:rsidRPr="00000000">
        <w:rPr>
          <w:rtl w:val="0"/>
        </w:rPr>
        <w:t xml:space="preserve">12. Follow-up Consistency Rules</w:t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Every Follow_Up_* field must be entered on the same valid-range/value-set basis as its baseline counterpart (Section 3), and is additionally subject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follow-up numeric value may not exceed the instrument's own maximum (e.g. Follow_Up_ASES may not exceed 100) — this is a data-entry error, not evidence of exceptional improvement.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follow-up value that regresses (worsens) without a corresponding note in Progress/Follow-up Tracking or Notes is flagged for clinician review, not blocked outright — regression can be genuine.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Rehabilitation Phase may not advance (e.g. Phase 1 to Phase 3) without passing through the intervening phase in a prior follow-up entry, except where a documented clinical reason overrides this (e.g. rapid recovery confirmed on imaging).</w:t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This group's specific follow-up 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Follow_Up_Passive ROM (ER/Abduction/IR) — 0-180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Follow_Up_SPADI — 0-100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Follow_Up_Clinical Stage (freezing/frozen/thawing) — Freezing / Frozen / Thawing / Other (specify)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Follow_Up_Balance and Stability — Normal / Mild Deficit / Moderate Deficit / Severe Deficit</w:t>
      </w:r>
    </w:p>
    <w:p w:rsidR="00000000" w:rsidDel="00000000" w:rsidP="00000000" w:rsidRDefault="00000000" w:rsidRPr="00000000" w14:paraId="00000206">
      <w:pPr>
        <w:pStyle w:val="Heading1"/>
        <w:rPr/>
      </w:pPr>
      <w:r w:rsidDel="00000000" w:rsidR="00000000" w:rsidRPr="00000000">
        <w:rPr>
          <w:rtl w:val="0"/>
        </w:rPr>
        <w:t xml:space="preserve">13. Validation Log</w:t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This wrapper workbook currently ships header-only (0 data rows) — no clinical case data, Experience Base rows, or Protocol rows have been fabricated at this stage, consistent with the "construction, not audit" method used across the SMAART CDSS project: real cases are sampled and validated only once data collection begins.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Once real or simulated case data is entered, this section is to be updated with: the independent post-generation validation script run against this specification, the number of rows validated, and the count of contradictions found (target: 0, matching the Knee W01-W17 wrappers' validation standard).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1"/>
        <w:rPr/>
      </w:pPr>
      <w:r w:rsidDel="00000000" w:rsidR="00000000" w:rsidRPr="00000000">
        <w:rPr>
          <w:rtl w:val="0"/>
        </w:rPr>
        <w:t xml:space="preserve">14. Open Items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Golden Dataset (populated case data) generation for this group has not yet started — out of scope until separately requested, per the current project phase.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Local controlled-vocabulary fields marked "(specify)" in Sections 3-5 should be reviewed against this clinic's actual documentation habits before go-live and tightened to a fixed list where possible.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fGaODfAnwlNP+KetqOk0mXrz5Q==">CgMxLjA4AHIhMWNqc1NXQWVhTFctOUlhOEJWM1RpaEI3Mkl2TGwyZl9r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2026-09-29T18:07:38.548Z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