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S08 — Proximal Humerus Fractures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Field Rule Logic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SMAART Shoulder CDSS — companion validation-logic document to this group's wrapper workbook.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Purpose and Conventions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document defines the field-by-field data-type and valid-range/valid-value specification for the S08 (Proximal Humerus Fractures)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Conventions used throughout this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fields accept exactly Yes or No (or Y/N in the workbook header) — no blank, no "maybe".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Numeric fields state an inclusive valid range; a value outside that range is rejected, not clamped to the nearest boundary.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 fields state the exact permitted value set; free text beyond that set is only accepted where the field is explicitly marked "(specify)".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field with no meaningful discriminating value set is explicitly marked as free text, deliberately, rather than left unspecified.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Engine Outputs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wrapper feeds the three-layer CDSS engine (see Shoulder_CDSS_Field_Rule_Logic_Library.xlsx and Shoulder_CDSS_Field_Interaction_Implementation.docx):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1 (within-sheet validators) enforces every range/value-set specification in Sections 3-5 below.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2 (cross-sheet event bus) propagates this group's Diagnosis, X-Ray_Neer Classification, and Rehabilitation Phase values from the Medical Record Library into the Protocol and Experience Base sheets.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Data-Type Specification — Medical Record Library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54 fields, in column order.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Laterality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Left / Right / Bilateral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Anterior / Posterior / Lateral (deltoid region) / Superior (AC/SC) / Diffuse / Radiating below elbow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Sharp / Dull ache / Burning / Throbbing / Catching / Electric-shock-like / Mixed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Pain_Intensity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(integer, Numeric Rating Scale)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Dominant Arm (Right/Left/Ambidextrous)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Right / Left / Ambidextrous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Affected Side Is Dominant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Episode(s) of Same Complaint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Aggravating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(overhead activity, lying on side, lifting, reaching behind back)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Easing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(rest, sling, position, ice/heat, medication)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Night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Sleep Disturbance Due to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Smoking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Never / Former / 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Relevant to tendon/bone healing prognosis, particularly S08/S09/S10 (fracture) and S12 (post-surgical) 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Cervical Spine Screen (Clear/Not Clear - referred-pain differential)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/ Not Clear (refer for cervical spine assessment)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"Not Clear" does not by itself exclude a shoulder diagnosis, but must be documented before Diagnosis is locked (Section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Mechanism/Onset (fall on outstretched arm / direct trauma / pathological)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Fall on outstretched arm / Direct trauma / Pathological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 Since Injury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(weeks, unless otherwise specified)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0-260 (5 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Neer Classification (1-4 part)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Group-specific enumerated scale — see Section 5 (Grading/Staging Scale) for this group's exact valid 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Neurovascular Status (axillary nerve/axillary artery)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Intact / Impaired - Nerve (axillary) / Impaired - Vascular (axillary artery) / Impaired - Combined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Skin Integrity (open vs closed)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Open / Closed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Gross Deformity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 (describe if Present)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Weight-Bearing/Movement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 (describe if Present)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X-Ray_Neer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1-part / 2-part / 3-part / 4-part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CT_Fracture Fragment Displacement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(mm) / 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Displacement in mm, or Non-Displaced / Displaced (&gt;=1cm or &gt;45 deg angulation is the operative threshold most commonly applied)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Mechanism Energy (Low/High)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Low / High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Pre-Injury Functional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Independent, full activity / Independent, limited activity / Requires walking aid/assistance / Fully dependent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Particularly relevant to elderly fragility-fracture prognosis (S08).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Osteoporosis/Bone Density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Group-specific enumerated values or free text — see Section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Anticoagulant/Antiplatelet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No; if Yes, name the agent(s)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Relevant to pre-operative bleeding-risk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Red Flags / Precautions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recommended controlled vocabulary drawn from the Red Flag Master List (Section 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Visual Analog Scale (VAS)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 or 1 decimal)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worst disability (Disabilities of the Arm, Shoulder and Hand).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Oxford Shoulder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48 = best; 12 items scored 0-4 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Functional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/ Partial / Fail, with the specific functional test used (e.g. Overhead Reach, Apley Scratch Test) recorded in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Generalised upper-limb substitute for the Knee's 6MWT/TUG and Sit-to-Stand fields (documented deviation, see Grouping Rationale index).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Rehabilitation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 (see Section 9, Phase Logic, for this group's specific phase definitions)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Treatment Plan Mapping (Protocol 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(foreign 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an existing Protocol ID in this workbook's Protocol 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 / Follow-up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date-stamped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one entry per follow-up visit with a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Follow_Up_Fracture Healing (Radiographic)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United / Delayed Union / Non-Union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Radiographic assessment at the scheduled follow-up interval.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joint-motion-specific ceiling as the baseline ROM field; a follow-up value exceeding the baseline field's plausible normal ceiling is a data-entry error, not an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Follow_Up_Neurovascular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Intact / Impaired (describe)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Follow_Up_DASH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instrument and range as the baseline DASH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Follow_Up_Balance and 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/ Mild Deficit / Moderate Deficit / Severe Deficit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Return to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 return / Partial return (modified duties) / Not yet returned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Patient Goals /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captured at intake and reviewed at each follow-up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Unstructured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4. Data-Type Specification — Experience Base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29 fields, identical schema across all 18 groups (see Shoulder_Condition_Grouping_Rationale_and_Index.md, Shared Structure Confirmation).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Diagnosis field of the source case, drawn from the Condition Master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Presenting Symptoms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Clinical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 of key positive examination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Initial AI Decision Pathway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structured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routing/DDX/PHASE/PROTO rule path the engine initially followed for this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Wrong 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description of the erroneous action, or "None" if the initial pathway was 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Minor / Moderate / Major / Critical (safety-relevant)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entry / Rule logic gap / Missing field / Ambiguous case / Reviewer disagreement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Correction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Fully effective / Partially effective / Not yet evaluated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 Decision (Gold Standard)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Accepted / Under Review / Adjudicated (3rd reviewer)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Diagnostic / Phase-Gating / Protocol-Selection / Red-Flag-Miss /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Severity / Impact of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Low / Moderate / High / Critical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Cognitive Error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applicable / Anchoring / Premature closure / Availability bias / Confirmation bias / Base-rate neglect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Contextual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never includes blocked-category personal details per this workbook's data-governance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Reflective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Extracted Lesson / Principle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written as a generalisable rule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Corrective Prompt / Rule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if promoted, must reference the affected rule ID in Shoulder_CDSS_Field_Rule_Logic_Library.xlsx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Confidence Score on 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(percentage)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Retrieval &amp; Indexing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(tag list)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Comma-separated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Follow-up 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Outcome After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Timestamp 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Date-time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 8601 (YYYY-MM-DD hh:mm)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5. Data-Type Specification — Protocol</w:t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21 fields. Column F (grading/staging) is this group's own scale: X-Ray_Neer Classification.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unique within the workbook, recommended format &lt;GroupID&gt;-P-&lt;sequence&gt;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category/Modality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Range of Motion / Strengthening / Manual Therapy / Modality (heat/ice/TENS) / Neuromuscular Control / Functional / Patient Education / Referral-Only (Phase 1 halt groups)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Delivery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In-person / Telehealth / Home Exercise Programme / Hybrid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(range)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e.g. "18-65"; must be internally consistent (lower bound &lt;= upper bound) and should fall within the group's Typical Age Group band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X-Ray_Neer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1-part / 2-part / 3-part / 4-part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values used in the MRL's Rehabilitation Phase field for this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Target Muscle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recommended controlled vocabulary drawn from this group's exam-field muscle names (e.g. supraspinatus, deltoid, serratus anterior)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Joint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Glenohumeral / Acromioclavicular / Sternoclavicular / Scapulothoracic / Combined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Isometric / Isotonic (concentric) / Isotonic (eccentric) / Isokinetic / Plyometric / Stretching / Neuromuscular / Functional / Not applicable (referral-only)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specific named exercise or modality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Repetitions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0-50 per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is valid only for Referral-Only/Manual-Therapy-Only/Modality-Only rows.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Daily / Alternate days / 2-3x/week / Weekly / As-needed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Session/day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Duration (hours per session)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(decimal, hours)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0.0-2.0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days/week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Precautions/Contraindications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Equipment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Progression/Advancement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ideally phrased as an objective threshold (e.g. "pain &lt;=3/10 AND full passive ROM achieved")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tl w:val="0"/>
        </w:rPr>
        <w:t xml:space="preserve">6. Diagnosis Logic (DDX)</w:t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900"/>
        <w:gridCol w:w="3760"/>
        <w:tblGridChange w:id="0">
          <w:tblGrid>
            <w:gridCol w:w="2200"/>
            <w:gridCol w:w="1500"/>
            <w:gridCol w:w="19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Differentiating Feature (DDX rule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Neer 2-part proximal humerus fracture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60-85 yrs (osteoporotic) or 18-40 yrs (high-energy)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Single fracture line through surgical/anatomical neck or tuberosity on X-ray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Neer 3-part proximal humerus fracture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60-85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 (fall)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Three displaced fracture segments on X-ray/CT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Neer 4-part proximal humerus fracture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65-85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 (fall)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Four displaced fracture segments, high avascular-necrosis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Greater tuberosity avulsion fracture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40-65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 (often with dislocation)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Isolated tuberosity fragment displacement &gt;5mm on X-ray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Humeral head-splitting fracture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40-70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high-energy traumatic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Articular surface fracture through the humeral head on 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Pathological proximal humerus fracture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50-80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Atraumatic or low-energy trauma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Fracture through a pre-existing lytic/blastic lesion on imaging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tl w:val="0"/>
        </w:rPr>
        <w:t xml:space="preserve">7. Grading/Staging Scale</w:t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Protocol-sheet grading/staging column is: X-Ray_Neer Classification.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1-part / 2-part / 3-part / 4-part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pStyle w:val="Heading1"/>
        <w:rPr/>
      </w:pPr>
      <w:r w:rsidDel="00000000" w:rsidR="00000000" w:rsidRPr="00000000">
        <w:rPr>
          <w:rtl w:val="0"/>
        </w:rPr>
        <w:t xml:space="preserve">8. Descriptive and Free-Text Field Conventions</w:t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Medication History — Free text; anticoagulants/antiplatelets and corticosteroids should always be explicitly flagged if present (see Section 9)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 — Free text; overhead-demand occupations should be flagged (relevant to S01, S03, S11, S14)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Shoulder Surgery - Any (Y/N, procedure/date if known) — Yes/No, then free text procedure name and approximate date if Yes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Aggravating Factors — Free text; recommend structured prompts (overhead activity, lying on side, lifting, reaching behind back)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Easing Factors — Free text; recommend structured prompts (rest, sling, position, ice/heat, medication)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Osteoporosis/Bone Density Status — Group-specific enumerated values or free text — see Section 6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Anticoagulant/Antiplatelet Use — Yes / No; if Yes, name the agent(s)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Flags / Precautions — Free text; recommended controlled vocabulary drawn from the Red Flag Master List (Section 10)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 / Follow-up Tracking — Free text, one entry per follow-up visit with a date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Goals / Expectations — Free text, captured at intake and reviewed at each follow-up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Notes — Unstructured free text</w:t>
      </w:r>
    </w:p>
    <w:p w:rsidR="00000000" w:rsidDel="00000000" w:rsidP="00000000" w:rsidRDefault="00000000" w:rsidRPr="00000000" w14:paraId="000001FB">
      <w:pPr>
        <w:pStyle w:val="Heading1"/>
        <w:rPr/>
      </w:pPr>
      <w:r w:rsidDel="00000000" w:rsidR="00000000" w:rsidRPr="00000000">
        <w:rPr>
          <w:rtl w:val="0"/>
        </w:rPr>
        <w:t xml:space="preserve">9. Phase Logic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Standard four-phase progression, matching this group's Rehabilitation Phase field (Section 3) and Protocol Rehab Phase column (Section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1 - Acute/protective: pain and irritability control, protect healing/repaired structures.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2 - Early mobilisation: restore passive then active range of motion within protocol-permitted limits.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3 - Strengthening: progressive resistance targeting this group's target muscle groups.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4 - Return to activity: functional and sport/occupation-specific loading and discharge criteria.</w:t>
      </w:r>
    </w:p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rtl w:val="0"/>
        </w:rPr>
        <w:t xml:space="preserve">10. Red Flag Master List</w:t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Red flags that route directly to or through this group (full list in Shoulder_CDSS_Wrapper_Routing_Map.xlsx, sheet 'Red Flag Routing'):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160"/>
        <w:gridCol w:w="1800"/>
        <w:tblGridChange w:id="0">
          <w:tblGrid>
            <w:gridCol w:w="1400"/>
            <w:gridCol w:w="616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Flag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SH-RF-07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Open fracture or neurovascular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pStyle w:val="Heading1"/>
        <w:rPr/>
      </w:pPr>
      <w:r w:rsidDel="00000000" w:rsidR="00000000" w:rsidRPr="00000000">
        <w:rPr>
          <w:rtl w:val="0"/>
        </w:rPr>
        <w:t xml:space="preserve">11. Structural and Operative Fields</w:t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Fields specific to a prior or planned procedure for this group: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pStyle w:val="Heading1"/>
        <w:rPr/>
      </w:pPr>
      <w:r w:rsidDel="00000000" w:rsidR="00000000" w:rsidRPr="00000000">
        <w:rPr>
          <w:rtl w:val="0"/>
        </w:rPr>
        <w:t xml:space="preserve">12. Follow-up Consistency Rules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Follow_Up_* field must be entered on the same valid-range/value-set basis as its baseline counterpart (Section 3), and is additionally subject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numeric value may not exceed the instrument's own maximum (e.g. Follow_Up_ASES may not exceed 100) — this is a data-entry error, not evidence of exceptional improvement.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value that regresses (worsens) without a corresponding note in Progress/Follow-up Tracking or Notes is flagged for clinician review, not blocked outright — regression can be genuine.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specific follow-up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Follow_Up_Fracture Healing (Radiographic) — United / Delayed Union / Non-Union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Follow_Up_ROM — 0-180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Follow_Up_Neurovascular Status — Intact / Impaired (describe)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Follow_Up_DASH — 0-100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Follow_Up_Balance and Stability — Normal / Mild Deficit / Moderate Deficit / Severe Deficit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ROPJD3ZPTUzADC/xKbH2DqaLg==">CgMxLjA4AHIhMWVUYV9rT1lZaW5ZcHY5Z1FGcGxmU2ZkeEFERjl3ZVFU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2026-09-29T19:19:27.487Z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