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48"/>
          <w:szCs w:val="48"/>
        </w:rPr>
        <w:t xml:space="preserve">S11 — Scapular Dyskinesis and Periscapular Muscle Dysfunction</w:t>
      </w:r>
    </w:p>
    <w:p>
      <w:pPr>
        <w:spacing w:after="400"/>
      </w:pPr>
      <w:r>
        <w:rPr>
          <w:i/>
          <w:iCs/>
          <w:sz w:val="28"/>
          <w:szCs w:val="28"/>
        </w:rPr>
        <w:t xml:space="preserve">Field Rule Logic Document</w:t>
      </w:r>
    </w:p>
    <w:p>
      <w:pPr>
        <w:spacing w:after="120"/>
      </w:pPr>
      <w:r>
        <w:rPr>
          <w:b w:val="false"/>
          <w:bCs w:val="false"/>
          <w:i w:val="false"/>
          <w:iCs w:val="false"/>
        </w:rPr>
        <w:t xml:space="preserve">SMAART Shoulder CDSS — companion validation-logic document to this group's wrapper workbook.</w:t>
      </w:r>
    </w:p>
    <w:p>
      <w:pPr>
        <w:spacing w:after="120"/>
      </w:pPr>
      <w:r>
        <w:rPr>
          <w:b w:val="false"/>
          <w:bCs w:val="false"/>
          <w:i w:val="false"/>
          <w:iCs w:val="false"/>
        </w:rPr>
        <w:t xml:space="preserve">Every value entered into this workbook must conform to the specification below. A value outside the stated range or value set is a data-entry error to be rejected at entry, not silently accepted, clipped, or corrected downstream — the Visual Analog Scale field is the reference example: a score of 11 or a negative number is invalid, never a valid extreme.</w:t>
      </w:r>
    </w:p>
    <w:p>
      <w:pPr>
        <w:pStyle w:val="Heading1"/>
      </w:pPr>
      <w:r>
        <w:t xml:space="preserve">1. Purpose and Conventions</w:t>
      </w:r>
    </w:p>
    <w:p>
      <w:pPr>
        <w:spacing w:after="120"/>
      </w:pPr>
      <w:r>
        <w:rPr>
          <w:b w:val="false"/>
          <w:bCs w:val="false"/>
          <w:i w:val="false"/>
          <w:iCs w:val="false"/>
        </w:rPr>
        <w:t xml:space="preserve">This document defines the field-by-field data-type and valid-range/valid-value specification for the S11 (Scapular Dyskinesis and Periscapular Muscle Dysfunction) wrapper workbook: Medical Record Library, Experience Base, and Protocol sheets. It is the validation-logic companion to that workbook, mirroring the Field Rule Logic Document convention established for the Knee CDSS (one such document per condition-group wrapper).</w:t>
      </w:r>
    </w:p>
    <w:p>
      <w:pPr>
        <w:spacing w:after="120"/>
      </w:pPr>
      <w:r>
        <w:rPr>
          <w:b w:val="false"/>
          <w:bCs w:val="false"/>
          <w:i w:val="false"/>
          <w:iCs w:val="false"/>
        </w:rPr>
        <w:t xml:space="preserve">Conventions used throughout this document:</w:t>
      </w:r>
    </w:p>
    <w:p>
      <w:pPr>
        <w:pStyle w:val="ListParagraph"/>
        <w:numPr>
          <w:ilvl w:val="0"/>
          <w:numId w:val="1"/>
        </w:numPr>
        <w:spacing w:after="60"/>
      </w:pPr>
      <w:r>
        <w:t xml:space="preserve">Boolean fields accept exactly Yes or No (or Y/N in the workbook header) — no blank, no "maybe".</w:t>
      </w:r>
    </w:p>
    <w:p>
      <w:pPr>
        <w:pStyle w:val="ListParagraph"/>
        <w:numPr>
          <w:ilvl w:val="0"/>
          <w:numId w:val="1"/>
        </w:numPr>
        <w:spacing w:after="60"/>
      </w:pPr>
      <w:r>
        <w:t xml:space="preserve">Numeric fields state an inclusive valid range; a value outside that range is rejected, not clamped to the nearest boundary.</w:t>
      </w:r>
    </w:p>
    <w:p>
      <w:pPr>
        <w:pStyle w:val="ListParagraph"/>
        <w:numPr>
          <w:ilvl w:val="0"/>
          <w:numId w:val="1"/>
        </w:numPr>
        <w:spacing w:after="60"/>
      </w:pPr>
      <w:r>
        <w:t xml:space="preserve">Categorical fields state the exact permitted value set; free text beyond that set is only accepted where the field is explicitly marked "(specify)".</w:t>
      </w:r>
    </w:p>
    <w:p>
      <w:pPr>
        <w:pStyle w:val="ListParagraph"/>
        <w:numPr>
          <w:ilvl w:val="0"/>
          <w:numId w:val="1"/>
        </w:numPr>
        <w:spacing w:after="60"/>
      </w:pPr>
      <w:r>
        <w:t xml:space="preserve">A field with no meaningful discriminating value set is explicitly marked as free text, deliberately, rather than left unspecified.</w:t>
      </w:r>
    </w:p>
    <w:p>
      <w:pPr>
        <w:pStyle w:val="Heading1"/>
      </w:pPr>
      <w:r>
        <w:t xml:space="preserve">2. Engine Outputs</w:t>
      </w:r>
    </w:p>
    <w:p>
      <w:pPr>
        <w:spacing w:after="120"/>
      </w:pPr>
      <w:r>
        <w:rPr>
          <w:b w:val="false"/>
          <w:bCs w:val="false"/>
          <w:i w:val="false"/>
          <w:iCs w:val="false"/>
        </w:rPr>
        <w:t xml:space="preserve">This wrapper feeds the three-layer CDSS engine (see Shoulder_CDSS_Field_Rule_Logic_Library.xlsx and Shoulder_CDSS_Field_Interaction_Implementation.docx):</w:t>
      </w:r>
    </w:p>
    <w:p>
      <w:pPr>
        <w:pStyle w:val="ListParagraph"/>
        <w:numPr>
          <w:ilvl w:val="0"/>
          <w:numId w:val="1"/>
        </w:numPr>
        <w:spacing w:after="60"/>
      </w:pPr>
      <w:r>
        <w:t xml:space="preserve">Layer 1 (within-sheet validators) enforces every range/value-set specification in Sections 3-5 below.</w:t>
      </w:r>
    </w:p>
    <w:p>
      <w:pPr>
        <w:pStyle w:val="ListParagraph"/>
        <w:numPr>
          <w:ilvl w:val="0"/>
          <w:numId w:val="1"/>
        </w:numPr>
        <w:spacing w:after="60"/>
      </w:pPr>
      <w:r>
        <w:t xml:space="preserve">Layer 2 (cross-sheet event bus) propagates this group's Diagnosis, Scapular Dyskinesis Test Grade, and Rehabilitation Phase values from the Medical Record Library into the Protocol and Experience Base sheets.</w:t>
      </w:r>
    </w:p>
    <w:p>
      <w:pPr>
        <w:pStyle w:val="ListParagraph"/>
        <w:numPr>
          <w:ilvl w:val="0"/>
          <w:numId w:val="1"/>
        </w:numPr>
        <w:spacing w:after="60"/>
      </w:pPr>
      <w:r>
        <w:t xml:space="preserve">Layer 3 (DDX/PHASE/FINAL/PROTO rules) consumes the Diagnosis Logic (Section 6), Phase Logic (Section 9), and this group's Protocol Structure (Section 5) to select visible Protocol rows and lock the Diagnosis field.</w:t>
      </w:r>
    </w:p>
    <w:p>
      <w:pPr>
        <w:pStyle w:val="Heading1"/>
      </w:pPr>
      <w:r>
        <w:t xml:space="preserve">3. Data-Type Specification — Medical Record Library</w:t>
      </w:r>
    </w:p>
    <w:p>
      <w:pPr>
        <w:spacing w:after="120"/>
      </w:pPr>
      <w:r>
        <w:rPr>
          <w:b w:val="false"/>
          <w:bCs w:val="false"/>
          <w:i w:val="false"/>
          <w:iCs w:val="false"/>
        </w:rPr>
        <w:t xml:space="preserve">50 fields, in column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960"/>
        <w:gridCol w:w="1900"/>
      </w:tblGrid>
      <w:tr>
        <w:trPr>
          <w:tblHeader/>
        </w:trPr>
        <w:tc>
          <w:tcPr>
            <w:tcW w:type="dxa" w:w="3000"/>
            <w:shd w:fill="2F5597" w:color="auto" w:val="clear"/>
          </w:tcPr>
          <w:p>
            <w:r>
              <w:rPr>
                <w:b/>
                <w:bCs/>
                <w:color w:val="FFFFFF"/>
                <w:sz w:val="20"/>
                <w:szCs w:val="20"/>
              </w:rPr>
              <w:t xml:space="preserve">Field</w:t>
            </w:r>
          </w:p>
        </w:tc>
        <w:tc>
          <w:tcPr>
            <w:tcW w:type="dxa" w:w="1500"/>
            <w:shd w:fill="2F5597" w:color="auto" w:val="clear"/>
          </w:tcPr>
          <w:p>
            <w:r>
              <w:rPr>
                <w:b/>
                <w:bCs/>
                <w:color w:val="FFFFFF"/>
                <w:sz w:val="20"/>
                <w:szCs w:val="20"/>
              </w:rPr>
              <w:t xml:space="preserve">Data Type</w:t>
            </w:r>
          </w:p>
        </w:tc>
        <w:tc>
          <w:tcPr>
            <w:tcW w:type="dxa" w:w="2960"/>
            <w:shd w:fill="2F5597" w:color="auto" w:val="clear"/>
          </w:tcPr>
          <w:p>
            <w:r>
              <w:rPr>
                <w:b/>
                <w:bCs/>
                <w:color w:val="FFFFFF"/>
                <w:sz w:val="20"/>
                <w:szCs w:val="20"/>
              </w:rPr>
              <w:t xml:space="preserve">Valid Range / Values</w:t>
            </w:r>
          </w:p>
        </w:tc>
        <w:tc>
          <w:tcPr>
            <w:tcW w:type="dxa" w:w="1900"/>
            <w:shd w:fill="2F5597" w:color="auto" w:val="clear"/>
          </w:tcPr>
          <w:p>
            <w:r>
              <w:rPr>
                <w:b/>
                <w:bCs/>
                <w:color w:val="FFFFFF"/>
                <w:sz w:val="20"/>
                <w:szCs w:val="20"/>
              </w:rPr>
              <w:t xml:space="preserve">Notes</w:t>
            </w:r>
          </w:p>
        </w:tc>
      </w:tr>
      <w:tr>
        <w:tc>
          <w:tcPr>
            <w:tcW w:type="dxa" w:w="3000"/>
          </w:tcPr>
          <w:p>
            <w:r>
              <w:rPr>
                <w:b w:val="false"/>
                <w:bCs w:val="false"/>
                <w:sz w:val="20"/>
                <w:szCs w:val="20"/>
              </w:rPr>
              <w:t xml:space="preserve">Case ID</w:t>
            </w:r>
          </w:p>
        </w:tc>
        <w:tc>
          <w:tcPr>
            <w:tcW w:type="dxa" w:w="1500"/>
          </w:tcPr>
          <w:p>
            <w:r>
              <w:rPr>
                <w:b w:val="false"/>
                <w:bCs w:val="false"/>
                <w:sz w:val="20"/>
                <w:szCs w:val="20"/>
              </w:rPr>
              <w:t xml:space="preserve">Text (unique identifier)</w:t>
            </w:r>
          </w:p>
        </w:tc>
        <w:tc>
          <w:tcPr>
            <w:tcW w:type="dxa" w:w="2960"/>
          </w:tcPr>
          <w:p>
            <w:r>
              <w:rPr>
                <w:b w:val="false"/>
                <w:bCs w:val="false"/>
                <w:sz w:val="20"/>
                <w:szCs w:val="20"/>
              </w:rPr>
              <w:t xml:space="preserve">Free text, must be unique within the workbook</w:t>
            </w:r>
          </w:p>
        </w:tc>
        <w:tc>
          <w:tcPr>
            <w:tcW w:type="dxa" w:w="1900"/>
          </w:tcPr>
          <w:p>
            <w:r>
              <w:rPr>
                <w:b w:val="false"/>
                <w:bCs w:val="false"/>
                <w:sz w:val="20"/>
                <w:szCs w:val="20"/>
              </w:rPr>
              <w:t xml:space="preserve">System-generated or clinic-assigned; never reused.</w:t>
            </w:r>
          </w:p>
        </w:tc>
      </w:tr>
      <w:tr>
        <w:tc>
          <w:tcPr>
            <w:tcW w:type="dxa" w:w="3000"/>
          </w:tcPr>
          <w:p>
            <w:r>
              <w:rPr>
                <w:b w:val="false"/>
                <w:bCs w:val="false"/>
                <w:sz w:val="20"/>
                <w:szCs w:val="20"/>
              </w:rPr>
              <w:t xml:space="preserve">Age</w:t>
            </w:r>
          </w:p>
        </w:tc>
        <w:tc>
          <w:tcPr>
            <w:tcW w:type="dxa" w:w="1500"/>
          </w:tcPr>
          <w:p>
            <w:r>
              <w:rPr>
                <w:b w:val="false"/>
                <w:bCs w:val="false"/>
                <w:sz w:val="20"/>
                <w:szCs w:val="20"/>
              </w:rPr>
              <w:t xml:space="preserve">Numeric (years)</w:t>
            </w:r>
          </w:p>
        </w:tc>
        <w:tc>
          <w:tcPr>
            <w:tcW w:type="dxa" w:w="2960"/>
          </w:tcPr>
          <w:p>
            <w:r>
              <w:rPr>
                <w:b w:val="false"/>
                <w:bCs w:val="false"/>
                <w:sz w:val="20"/>
                <w:szCs w:val="20"/>
              </w:rPr>
              <w:t xml:space="preserve">0-120</w:t>
            </w:r>
          </w:p>
        </w:tc>
        <w:tc>
          <w:tcPr>
            <w:tcW w:type="dxa" w:w="1900"/>
          </w:tcPr>
          <w:p>
            <w:r>
              <w:rPr>
                <w:b w:val="false"/>
                <w:bCs w:val="false"/>
                <w:sz w:val="20"/>
                <w:szCs w:val="20"/>
              </w:rPr>
              <w:t xml:space="preserve">0 = neonate/birth-related presentation (S17 only). Cross-checked (not blocked) against the Condition Master List's Typical Age Group band for the entered Diagnosis.</w:t>
            </w:r>
          </w:p>
        </w:tc>
      </w:tr>
      <w:tr>
        <w:tc>
          <w:tcPr>
            <w:tcW w:type="dxa" w:w="3000"/>
          </w:tcPr>
          <w:p>
            <w:r>
              <w:rPr>
                <w:b w:val="false"/>
                <w:bCs w:val="false"/>
                <w:sz w:val="20"/>
                <w:szCs w:val="20"/>
              </w:rPr>
              <w:t xml:space="preserve">Gender</w:t>
            </w:r>
          </w:p>
        </w:tc>
        <w:tc>
          <w:tcPr>
            <w:tcW w:type="dxa" w:w="1500"/>
          </w:tcPr>
          <w:p>
            <w:r>
              <w:rPr>
                <w:b w:val="false"/>
                <w:bCs w:val="false"/>
                <w:sz w:val="20"/>
                <w:szCs w:val="20"/>
              </w:rPr>
              <w:t xml:space="preserve">Categorical</w:t>
            </w:r>
          </w:p>
        </w:tc>
        <w:tc>
          <w:tcPr>
            <w:tcW w:type="dxa" w:w="2960"/>
          </w:tcPr>
          <w:p>
            <w:r>
              <w:rPr>
                <w:b w:val="false"/>
                <w:bCs w:val="false"/>
                <w:sz w:val="20"/>
                <w:szCs w:val="20"/>
              </w:rPr>
              <w:t xml:space="preserve">Male / Female / Other / Prefer not to say</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BMI</w:t>
            </w:r>
          </w:p>
        </w:tc>
        <w:tc>
          <w:tcPr>
            <w:tcW w:type="dxa" w:w="1500"/>
          </w:tcPr>
          <w:p>
            <w:r>
              <w:rPr>
                <w:b w:val="false"/>
                <w:bCs w:val="false"/>
                <w:sz w:val="20"/>
                <w:szCs w:val="20"/>
              </w:rPr>
              <w:t xml:space="preserve">Numeric (kg/m^2)</w:t>
            </w:r>
          </w:p>
        </w:tc>
        <w:tc>
          <w:tcPr>
            <w:tcW w:type="dxa" w:w="2960"/>
          </w:tcPr>
          <w:p>
            <w:r>
              <w:rPr>
                <w:b w:val="false"/>
                <w:bCs w:val="false"/>
                <w:sz w:val="20"/>
                <w:szCs w:val="20"/>
              </w:rPr>
              <w:t xml:space="preserve">10.0-60.0</w:t>
            </w:r>
          </w:p>
        </w:tc>
        <w:tc>
          <w:tcPr>
            <w:tcW w:type="dxa" w:w="1900"/>
          </w:tcPr>
          <w:p>
            <w:r>
              <w:rPr>
                <w:b w:val="false"/>
                <w:bCs w:val="false"/>
                <w:sz w:val="20"/>
                <w:szCs w:val="20"/>
              </w:rPr>
              <w:t xml:space="preserve">One decimal place. Values outside 12-45 are flagged for re-confirmation, not blocked.</w:t>
            </w:r>
          </w:p>
        </w:tc>
      </w:tr>
      <w:tr>
        <w:tc>
          <w:tcPr>
            <w:tcW w:type="dxa" w:w="3000"/>
          </w:tcPr>
          <w:p>
            <w:r>
              <w:rPr>
                <w:b w:val="false"/>
                <w:bCs w:val="false"/>
                <w:sz w:val="20"/>
                <w:szCs w:val="20"/>
              </w:rPr>
              <w:t xml:space="preserve">Co-morbidities</w:t>
            </w:r>
          </w:p>
        </w:tc>
        <w:tc>
          <w:tcPr>
            <w:tcW w:type="dxa" w:w="1500"/>
          </w:tcPr>
          <w:p>
            <w:r>
              <w:rPr>
                <w:b w:val="false"/>
                <w:bCs w:val="false"/>
                <w:sz w:val="20"/>
                <w:szCs w:val="20"/>
              </w:rPr>
              <w:t xml:space="preserve">Free text / multi-select</w:t>
            </w:r>
          </w:p>
        </w:tc>
        <w:tc>
          <w:tcPr>
            <w:tcW w:type="dxa" w:w="2960"/>
          </w:tcPr>
          <w:p>
            <w:r>
              <w:rPr>
                <w:b w:val="false"/>
                <w:bCs w:val="false"/>
                <w:sz w:val="20"/>
                <w:szCs w:val="20"/>
              </w:rPr>
              <w:t xml:space="preserve">Free text list; recommended controlled vocabulary: Diabetes Mellitus, Thyroid Disease, Rheumatoid/Inflammatory Arthritis, Cardiac Disease, Renal Disease, Osteoporosis, Malignancy (specify), None</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Medication History</w:t>
            </w:r>
          </w:p>
        </w:tc>
        <w:tc>
          <w:tcPr>
            <w:tcW w:type="dxa" w:w="1500"/>
          </w:tcPr>
          <w:p>
            <w:r>
              <w:rPr>
                <w:b w:val="false"/>
                <w:bCs w:val="false"/>
                <w:sz w:val="20"/>
                <w:szCs w:val="20"/>
              </w:rPr>
              <w:t xml:space="preserve">Free text</w:t>
            </w:r>
          </w:p>
        </w:tc>
        <w:tc>
          <w:tcPr>
            <w:tcW w:type="dxa" w:w="2960"/>
          </w:tcPr>
          <w:p>
            <w:r>
              <w:rPr>
                <w:b w:val="false"/>
                <w:bCs w:val="false"/>
                <w:sz w:val="20"/>
                <w:szCs w:val="20"/>
              </w:rPr>
              <w:t xml:space="preserve">Free text; anticoagulants/antiplatelets and corticosteroids should always be explicitly flagged if present (see Section 9)</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Occupation</w:t>
            </w:r>
          </w:p>
        </w:tc>
        <w:tc>
          <w:tcPr>
            <w:tcW w:type="dxa" w:w="1500"/>
          </w:tcPr>
          <w:p>
            <w:r>
              <w:rPr>
                <w:b w:val="false"/>
                <w:bCs w:val="false"/>
                <w:sz w:val="20"/>
                <w:szCs w:val="20"/>
              </w:rPr>
              <w:t xml:space="preserve">Free text</w:t>
            </w:r>
          </w:p>
        </w:tc>
        <w:tc>
          <w:tcPr>
            <w:tcW w:type="dxa" w:w="2960"/>
          </w:tcPr>
          <w:p>
            <w:r>
              <w:rPr>
                <w:b w:val="false"/>
                <w:bCs w:val="false"/>
                <w:sz w:val="20"/>
                <w:szCs w:val="20"/>
              </w:rPr>
              <w:t xml:space="preserve">Free text; overhead-demand occupations should be flagged (relevant to S01, S03, S11, S14)</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Activity Level</w:t>
            </w:r>
          </w:p>
        </w:tc>
        <w:tc>
          <w:tcPr>
            <w:tcW w:type="dxa" w:w="1500"/>
          </w:tcPr>
          <w:p>
            <w:r>
              <w:rPr>
                <w:b w:val="false"/>
                <w:bCs w:val="false"/>
                <w:sz w:val="20"/>
                <w:szCs w:val="20"/>
              </w:rPr>
              <w:t xml:space="preserve">Categorical</w:t>
            </w:r>
          </w:p>
        </w:tc>
        <w:tc>
          <w:tcPr>
            <w:tcW w:type="dxa" w:w="2960"/>
          </w:tcPr>
          <w:p>
            <w:r>
              <w:rPr>
                <w:b w:val="false"/>
                <w:bCs w:val="false"/>
                <w:sz w:val="20"/>
                <w:szCs w:val="20"/>
              </w:rPr>
              <w:t xml:space="preserve">Sedentary / Light / Moderate / Vigorous / Competitive Athlete</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Laterality</w:t>
            </w:r>
          </w:p>
        </w:tc>
        <w:tc>
          <w:tcPr>
            <w:tcW w:type="dxa" w:w="1500"/>
          </w:tcPr>
          <w:p>
            <w:r>
              <w:rPr>
                <w:b w:val="false"/>
                <w:bCs w:val="false"/>
                <w:sz w:val="20"/>
                <w:szCs w:val="20"/>
              </w:rPr>
              <w:t xml:space="preserve">Categorical</w:t>
            </w:r>
          </w:p>
        </w:tc>
        <w:tc>
          <w:tcPr>
            <w:tcW w:type="dxa" w:w="2960"/>
          </w:tcPr>
          <w:p>
            <w:r>
              <w:rPr>
                <w:b w:val="false"/>
                <w:bCs w:val="false"/>
                <w:sz w:val="20"/>
                <w:szCs w:val="20"/>
              </w:rPr>
              <w:t xml:space="preserve">Left / Right / Bilateral</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Pain_Location</w:t>
            </w:r>
          </w:p>
        </w:tc>
        <w:tc>
          <w:tcPr>
            <w:tcW w:type="dxa" w:w="1500"/>
          </w:tcPr>
          <w:p>
            <w:r>
              <w:rPr>
                <w:b w:val="false"/>
                <w:bCs w:val="false"/>
                <w:sz w:val="20"/>
                <w:szCs w:val="20"/>
              </w:rPr>
              <w:t xml:space="preserve">Categorical / short text</w:t>
            </w:r>
          </w:p>
        </w:tc>
        <w:tc>
          <w:tcPr>
            <w:tcW w:type="dxa" w:w="2960"/>
          </w:tcPr>
          <w:p>
            <w:r>
              <w:rPr>
                <w:b w:val="false"/>
                <w:bCs w:val="false"/>
                <w:sz w:val="20"/>
                <w:szCs w:val="20"/>
              </w:rPr>
              <w:t xml:space="preserve">Anterior / Posterior / Lateral (deltoid region) / Superior (AC/SC) / Diffuse / Radiating below elbow / Other (specify)</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Pain_Nature</w:t>
            </w:r>
          </w:p>
        </w:tc>
        <w:tc>
          <w:tcPr>
            <w:tcW w:type="dxa" w:w="1500"/>
          </w:tcPr>
          <w:p>
            <w:r>
              <w:rPr>
                <w:b w:val="false"/>
                <w:bCs w:val="false"/>
                <w:sz w:val="20"/>
                <w:szCs w:val="20"/>
              </w:rPr>
              <w:t xml:space="preserve">Categorical</w:t>
            </w:r>
          </w:p>
        </w:tc>
        <w:tc>
          <w:tcPr>
            <w:tcW w:type="dxa" w:w="2960"/>
          </w:tcPr>
          <w:p>
            <w:r>
              <w:rPr>
                <w:b w:val="false"/>
                <w:bCs w:val="false"/>
                <w:sz w:val="20"/>
                <w:szCs w:val="20"/>
              </w:rPr>
              <w:t xml:space="preserve">Sharp / Dull ache / Burning / Throbbing / Catching / Electric-shock-like / Mixed</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Pain_Intensity</w:t>
            </w:r>
          </w:p>
        </w:tc>
        <w:tc>
          <w:tcPr>
            <w:tcW w:type="dxa" w:w="1500"/>
          </w:tcPr>
          <w:p>
            <w:r>
              <w:rPr>
                <w:b w:val="false"/>
                <w:bCs w:val="false"/>
                <w:sz w:val="20"/>
                <w:szCs w:val="20"/>
              </w:rPr>
              <w:t xml:space="preserve">Numeric (integer, Numeric Rating Scale)</w:t>
            </w:r>
          </w:p>
        </w:tc>
        <w:tc>
          <w:tcPr>
            <w:tcW w:type="dxa" w:w="2960"/>
          </w:tcPr>
          <w:p>
            <w:r>
              <w:rPr>
                <w:b w:val="false"/>
                <w:bCs w:val="false"/>
                <w:sz w:val="20"/>
                <w:szCs w:val="20"/>
              </w:rPr>
              <w:t xml:space="preserve">0-10</w:t>
            </w:r>
          </w:p>
        </w:tc>
        <w:tc>
          <w:tcPr>
            <w:tcW w:type="dxa" w:w="1900"/>
          </w:tcPr>
          <w:p>
            <w:r>
              <w:rPr>
                <w:b w:val="false"/>
                <w:bCs w:val="false"/>
                <w:sz w:val="20"/>
                <w:szCs w:val="20"/>
              </w:rPr>
              <w:t xml:space="preserve">0 = no pain, 10 = worst pain imaginable. Same 0-10 convention as Visual Analog Scale (VAS) below. Values above 10 or below 0 are invalid and must be rejected at entry, not clipped.</w:t>
            </w:r>
          </w:p>
        </w:tc>
      </w:tr>
      <w:tr>
        <w:tc>
          <w:tcPr>
            <w:tcW w:type="dxa" w:w="3000"/>
          </w:tcPr>
          <w:p>
            <w:r>
              <w:rPr>
                <w:b w:val="false"/>
                <w:bCs w:val="false"/>
                <w:sz w:val="20"/>
                <w:szCs w:val="20"/>
              </w:rPr>
              <w:t xml:space="preserve">Onset</w:t>
            </w:r>
          </w:p>
        </w:tc>
        <w:tc>
          <w:tcPr>
            <w:tcW w:type="dxa" w:w="1500"/>
          </w:tcPr>
          <w:p>
            <w:r>
              <w:rPr>
                <w:b w:val="false"/>
                <w:bCs w:val="false"/>
                <w:sz w:val="20"/>
                <w:szCs w:val="20"/>
              </w:rPr>
              <w:t xml:space="preserve">Categorical / short text</w:t>
            </w:r>
          </w:p>
        </w:tc>
        <w:tc>
          <w:tcPr>
            <w:tcW w:type="dxa" w:w="2960"/>
          </w:tcPr>
          <w:p>
            <w:r>
              <w:rPr>
                <w:b w:val="false"/>
                <w:bCs w:val="false"/>
                <w:sz w:val="20"/>
                <w:szCs w:val="20"/>
              </w:rPr>
              <w:t xml:space="preserve">Acute (&lt;2 weeks) / Subacute (2-12 weeks) / Chronic (&gt;12 weeks) / Insidious / Congenital-Developmental, further qualified by the group-specific onset field immediately below it</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Dominant Arm (Right/Left/Ambidextrous)</w:t>
            </w:r>
          </w:p>
        </w:tc>
        <w:tc>
          <w:tcPr>
            <w:tcW w:type="dxa" w:w="1500"/>
          </w:tcPr>
          <w:p>
            <w:r>
              <w:rPr>
                <w:b w:val="false"/>
                <w:bCs w:val="false"/>
                <w:sz w:val="20"/>
                <w:szCs w:val="20"/>
              </w:rPr>
              <w:t xml:space="preserve">Categorical</w:t>
            </w:r>
          </w:p>
        </w:tc>
        <w:tc>
          <w:tcPr>
            <w:tcW w:type="dxa" w:w="2960"/>
          </w:tcPr>
          <w:p>
            <w:r>
              <w:rPr>
                <w:b w:val="false"/>
                <w:bCs w:val="false"/>
                <w:sz w:val="20"/>
                <w:szCs w:val="20"/>
              </w:rPr>
              <w:t xml:space="preserve">Right / Left / Ambidextrous</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Affected Side Is Dominant (Y/N)</w:t>
            </w:r>
          </w:p>
        </w:tc>
        <w:tc>
          <w:tcPr>
            <w:tcW w:type="dxa" w:w="1500"/>
          </w:tcPr>
          <w:p>
            <w:r>
              <w:rPr>
                <w:b w:val="false"/>
                <w:bCs w:val="false"/>
                <w:sz w:val="20"/>
                <w:szCs w:val="20"/>
              </w:rPr>
              <w:t xml:space="preserve">Boolean</w:t>
            </w:r>
          </w:p>
        </w:tc>
        <w:tc>
          <w:tcPr>
            <w:tcW w:type="dxa" w:w="2960"/>
          </w:tcPr>
          <w:p>
            <w:r>
              <w:rPr>
                <w:b w:val="false"/>
                <w:bCs w:val="false"/>
                <w:sz w:val="20"/>
                <w:szCs w:val="20"/>
              </w:rPr>
              <w:t xml:space="preserve">Yes / No</w:t>
            </w:r>
          </w:p>
        </w:tc>
        <w:tc>
          <w:tcPr>
            <w:tcW w:type="dxa" w:w="1900"/>
          </w:tcPr>
          <w:p>
            <w:r>
              <w:rPr>
                <w:b w:val="false"/>
                <w:bCs w:val="false"/>
                <w:sz w:val="20"/>
                <w:szCs w:val="20"/>
              </w:rPr>
              <w:t xml:space="preserve">Derived field — should equal Yes only when Laterality matches Dominant Arm; a mismatch here that is not flagged is a data-entry error, not a valid combination (Bilateral laterality is the one exception).</w:t>
            </w:r>
          </w:p>
        </w:tc>
      </w:tr>
      <w:tr>
        <w:tc>
          <w:tcPr>
            <w:tcW w:type="dxa" w:w="3000"/>
          </w:tcPr>
          <w:p>
            <w:r>
              <w:rPr>
                <w:b w:val="false"/>
                <w:bCs w:val="false"/>
                <w:sz w:val="20"/>
                <w:szCs w:val="20"/>
              </w:rPr>
              <w:t xml:space="preserve">Previous Shoulder Surgery - Any (Y/N, procedure/date if known)</w:t>
            </w:r>
          </w:p>
        </w:tc>
        <w:tc>
          <w:tcPr>
            <w:tcW w:type="dxa" w:w="1500"/>
          </w:tcPr>
          <w:p>
            <w:r>
              <w:rPr>
                <w:b w:val="false"/>
                <w:bCs w:val="false"/>
                <w:sz w:val="20"/>
                <w:szCs w:val="20"/>
              </w:rPr>
              <w:t xml:space="preserve">Boolean + free text</w:t>
            </w:r>
          </w:p>
        </w:tc>
        <w:tc>
          <w:tcPr>
            <w:tcW w:type="dxa" w:w="2960"/>
          </w:tcPr>
          <w:p>
            <w:r>
              <w:rPr>
                <w:b w:val="false"/>
                <w:bCs w:val="false"/>
                <w:sz w:val="20"/>
                <w:szCs w:val="20"/>
              </w:rPr>
              <w:t xml:space="preserve">Yes/No, then free text procedure name and approximate date if Yes</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Previous Episode(s) of Same Complaint (Y/N)</w:t>
            </w:r>
          </w:p>
        </w:tc>
        <w:tc>
          <w:tcPr>
            <w:tcW w:type="dxa" w:w="1500"/>
          </w:tcPr>
          <w:p>
            <w:r>
              <w:rPr>
                <w:b w:val="false"/>
                <w:bCs w:val="false"/>
                <w:sz w:val="20"/>
                <w:szCs w:val="20"/>
              </w:rPr>
              <w:t xml:space="preserve">Boolean</w:t>
            </w:r>
          </w:p>
        </w:tc>
        <w:tc>
          <w:tcPr>
            <w:tcW w:type="dxa" w:w="2960"/>
          </w:tcPr>
          <w:p>
            <w:r>
              <w:rPr>
                <w:b w:val="false"/>
                <w:bCs w:val="false"/>
                <w:sz w:val="20"/>
                <w:szCs w:val="20"/>
              </w:rPr>
              <w:t xml:space="preserve">Yes / No</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Previous Treatment Received (physiotherapy/injection/surgery/none)</w:t>
            </w:r>
          </w:p>
        </w:tc>
        <w:tc>
          <w:tcPr>
            <w:tcW w:type="dxa" w:w="1500"/>
          </w:tcPr>
          <w:p>
            <w:r>
              <w:rPr>
                <w:b w:val="false"/>
                <w:bCs w:val="false"/>
                <w:sz w:val="20"/>
                <w:szCs w:val="20"/>
              </w:rPr>
              <w:t xml:space="preserve">Categorical (multi-select)</w:t>
            </w:r>
          </w:p>
        </w:tc>
        <w:tc>
          <w:tcPr>
            <w:tcW w:type="dxa" w:w="2960"/>
          </w:tcPr>
          <w:p>
            <w:r>
              <w:rPr>
                <w:b w:val="false"/>
                <w:bCs w:val="false"/>
                <w:sz w:val="20"/>
                <w:szCs w:val="20"/>
              </w:rPr>
              <w:t xml:space="preserve">Physiotherapy / Corticosteroid Injection / Surgery / Medication only / None</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Aggravating Factors</w:t>
            </w:r>
          </w:p>
        </w:tc>
        <w:tc>
          <w:tcPr>
            <w:tcW w:type="dxa" w:w="1500"/>
          </w:tcPr>
          <w:p>
            <w:r>
              <w:rPr>
                <w:b w:val="false"/>
                <w:bCs w:val="false"/>
                <w:sz w:val="20"/>
                <w:szCs w:val="20"/>
              </w:rPr>
              <w:t xml:space="preserve">Free text</w:t>
            </w:r>
          </w:p>
        </w:tc>
        <w:tc>
          <w:tcPr>
            <w:tcW w:type="dxa" w:w="2960"/>
          </w:tcPr>
          <w:p>
            <w:r>
              <w:rPr>
                <w:b w:val="false"/>
                <w:bCs w:val="false"/>
                <w:sz w:val="20"/>
                <w:szCs w:val="20"/>
              </w:rPr>
              <w:t xml:space="preserve">Free text; recommend structured prompts (overhead activity, lying on side, lifting, reaching behind back)</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Easing Factors</w:t>
            </w:r>
          </w:p>
        </w:tc>
        <w:tc>
          <w:tcPr>
            <w:tcW w:type="dxa" w:w="1500"/>
          </w:tcPr>
          <w:p>
            <w:r>
              <w:rPr>
                <w:b w:val="false"/>
                <w:bCs w:val="false"/>
                <w:sz w:val="20"/>
                <w:szCs w:val="20"/>
              </w:rPr>
              <w:t xml:space="preserve">Free text</w:t>
            </w:r>
          </w:p>
        </w:tc>
        <w:tc>
          <w:tcPr>
            <w:tcW w:type="dxa" w:w="2960"/>
          </w:tcPr>
          <w:p>
            <w:r>
              <w:rPr>
                <w:b w:val="false"/>
                <w:bCs w:val="false"/>
                <w:sz w:val="20"/>
                <w:szCs w:val="20"/>
              </w:rPr>
              <w:t xml:space="preserve">Free text; recommend structured prompts (rest, sling, position, ice/heat, medication)</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Night Pain (Y/N)</w:t>
            </w:r>
          </w:p>
        </w:tc>
        <w:tc>
          <w:tcPr>
            <w:tcW w:type="dxa" w:w="1500"/>
          </w:tcPr>
          <w:p>
            <w:r>
              <w:rPr>
                <w:b w:val="false"/>
                <w:bCs w:val="false"/>
                <w:sz w:val="20"/>
                <w:szCs w:val="20"/>
              </w:rPr>
              <w:t xml:space="preserve">Boolean</w:t>
            </w:r>
          </w:p>
        </w:tc>
        <w:tc>
          <w:tcPr>
            <w:tcW w:type="dxa" w:w="2960"/>
          </w:tcPr>
          <w:p>
            <w:r>
              <w:rPr>
                <w:b w:val="false"/>
                <w:bCs w:val="false"/>
                <w:sz w:val="20"/>
                <w:szCs w:val="20"/>
              </w:rPr>
              <w:t xml:space="preserve">Yes / No</w:t>
            </w:r>
          </w:p>
        </w:tc>
        <w:tc>
          <w:tcPr>
            <w:tcW w:type="dxa" w:w="1900"/>
          </w:tcPr>
          <w:p>
            <w:r>
              <w:rPr>
                <w:b w:val="false"/>
                <w:bCs w:val="false"/>
                <w:sz w:val="20"/>
                <w:szCs w:val="20"/>
              </w:rPr>
              <w:t xml:space="preserve">A hallmark feature of rotator cuff pathology (S01), calcific tendinitis (S18), and a general oncological/infective red-flag when severe and unremitting (feeds Red Flag Master List, Section 10).</w:t>
            </w:r>
          </w:p>
        </w:tc>
      </w:tr>
      <w:tr>
        <w:tc>
          <w:tcPr>
            <w:tcW w:type="dxa" w:w="3000"/>
          </w:tcPr>
          <w:p>
            <w:r>
              <w:rPr>
                <w:b w:val="false"/>
                <w:bCs w:val="false"/>
                <w:sz w:val="20"/>
                <w:szCs w:val="20"/>
              </w:rPr>
              <w:t xml:space="preserve">Sleep Disturbance Due to Pain (Y/N)</w:t>
            </w:r>
          </w:p>
        </w:tc>
        <w:tc>
          <w:tcPr>
            <w:tcW w:type="dxa" w:w="1500"/>
          </w:tcPr>
          <w:p>
            <w:r>
              <w:rPr>
                <w:b w:val="false"/>
                <w:bCs w:val="false"/>
                <w:sz w:val="20"/>
                <w:szCs w:val="20"/>
              </w:rPr>
              <w:t xml:space="preserve">Boolean</w:t>
            </w:r>
          </w:p>
        </w:tc>
        <w:tc>
          <w:tcPr>
            <w:tcW w:type="dxa" w:w="2960"/>
          </w:tcPr>
          <w:p>
            <w:r>
              <w:rPr>
                <w:b w:val="false"/>
                <w:bCs w:val="false"/>
                <w:sz w:val="20"/>
                <w:szCs w:val="20"/>
              </w:rPr>
              <w:t xml:space="preserve">Yes / No</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Smoking Status</w:t>
            </w:r>
          </w:p>
        </w:tc>
        <w:tc>
          <w:tcPr>
            <w:tcW w:type="dxa" w:w="1500"/>
          </w:tcPr>
          <w:p>
            <w:r>
              <w:rPr>
                <w:b w:val="false"/>
                <w:bCs w:val="false"/>
                <w:sz w:val="20"/>
                <w:szCs w:val="20"/>
              </w:rPr>
              <w:t xml:space="preserve">Categorical</w:t>
            </w:r>
          </w:p>
        </w:tc>
        <w:tc>
          <w:tcPr>
            <w:tcW w:type="dxa" w:w="2960"/>
          </w:tcPr>
          <w:p>
            <w:r>
              <w:rPr>
                <w:b w:val="false"/>
                <w:bCs w:val="false"/>
                <w:sz w:val="20"/>
                <w:szCs w:val="20"/>
              </w:rPr>
              <w:t xml:space="preserve">Never / Former / Current</w:t>
            </w:r>
          </w:p>
        </w:tc>
        <w:tc>
          <w:tcPr>
            <w:tcW w:type="dxa" w:w="1900"/>
          </w:tcPr>
          <w:p>
            <w:r>
              <w:rPr>
                <w:b w:val="false"/>
                <w:bCs w:val="false"/>
                <w:sz w:val="20"/>
                <w:szCs w:val="20"/>
              </w:rPr>
              <w:t xml:space="preserve">Relevant to tendon/bone healing prognosis, particularly S08/S09/S10 (fracture) and S12 (post-surgical) groups.</w:t>
            </w:r>
          </w:p>
        </w:tc>
      </w:tr>
      <w:tr>
        <w:tc>
          <w:tcPr>
            <w:tcW w:type="dxa" w:w="3000"/>
          </w:tcPr>
          <w:p>
            <w:r>
              <w:rPr>
                <w:b w:val="false"/>
                <w:bCs w:val="false"/>
                <w:sz w:val="20"/>
                <w:szCs w:val="20"/>
              </w:rPr>
              <w:t xml:space="preserve">Cervical Spine Screen (Clear/Not Clear - referred-pain differential)</w:t>
            </w:r>
          </w:p>
        </w:tc>
        <w:tc>
          <w:tcPr>
            <w:tcW w:type="dxa" w:w="1500"/>
          </w:tcPr>
          <w:p>
            <w:r>
              <w:rPr>
                <w:b w:val="false"/>
                <w:bCs w:val="false"/>
                <w:sz w:val="20"/>
                <w:szCs w:val="20"/>
              </w:rPr>
              <w:t xml:space="preserve">Categorical</w:t>
            </w:r>
          </w:p>
        </w:tc>
        <w:tc>
          <w:tcPr>
            <w:tcW w:type="dxa" w:w="2960"/>
          </w:tcPr>
          <w:p>
            <w:r>
              <w:rPr>
                <w:b w:val="false"/>
                <w:bCs w:val="false"/>
                <w:sz w:val="20"/>
                <w:szCs w:val="20"/>
              </w:rPr>
              <w:t xml:space="preserve">Clear / Not Clear (refer for cervical spine assessment)</w:t>
            </w:r>
          </w:p>
        </w:tc>
        <w:tc>
          <w:tcPr>
            <w:tcW w:type="dxa" w:w="1900"/>
          </w:tcPr>
          <w:p>
            <w:r>
              <w:rPr>
                <w:b w:val="false"/>
                <w:bCs w:val="false"/>
                <w:sz w:val="20"/>
                <w:szCs w:val="20"/>
              </w:rPr>
              <w:t xml:space="preserve">"Not Clear" does not by itself exclude a shoulder diagnosis, but must be documented before Diagnosis is locked (Section 6).</w:t>
            </w:r>
          </w:p>
        </w:tc>
      </w:tr>
      <w:tr>
        <w:tc>
          <w:tcPr>
            <w:tcW w:type="dxa" w:w="3000"/>
          </w:tcPr>
          <w:p>
            <w:r>
              <w:rPr>
                <w:b w:val="false"/>
                <w:bCs w:val="false"/>
                <w:sz w:val="20"/>
                <w:szCs w:val="20"/>
              </w:rPr>
              <w:t xml:space="preserve">Onset (insidious; often overhead athlete)</w:t>
            </w:r>
          </w:p>
        </w:tc>
        <w:tc>
          <w:tcPr>
            <w:tcW w:type="dxa" w:w="1500"/>
          </w:tcPr>
          <w:p>
            <w:r>
              <w:rPr>
                <w:b w:val="false"/>
                <w:bCs w:val="false"/>
                <w:sz w:val="20"/>
                <w:szCs w:val="20"/>
              </w:rPr>
              <w:t xml:space="preserve">Categorical</w:t>
            </w:r>
          </w:p>
        </w:tc>
        <w:tc>
          <w:tcPr>
            <w:tcW w:type="dxa" w:w="2960"/>
          </w:tcPr>
          <w:p>
            <w:r>
              <w:rPr>
                <w:b w:val="false"/>
                <w:bCs w:val="false"/>
                <w:sz w:val="20"/>
                <w:szCs w:val="20"/>
              </w:rPr>
              <w:t xml:space="preserve">Insidious - overhead athlete / Insidious - non-athlete / Acute-on-chronic</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Sport/Occupation Overhead Demand</w:t>
            </w:r>
          </w:p>
        </w:tc>
        <w:tc>
          <w:tcPr>
            <w:tcW w:type="dxa" w:w="1500"/>
          </w:tcPr>
          <w:p>
            <w:r>
              <w:rPr>
                <w:b w:val="false"/>
                <w:bCs w:val="false"/>
                <w:sz w:val="20"/>
                <w:szCs w:val="20"/>
              </w:rPr>
              <w:t xml:space="preserve">Categorical</w:t>
            </w:r>
          </w:p>
        </w:tc>
        <w:tc>
          <w:tcPr>
            <w:tcW w:type="dxa" w:w="2960"/>
          </w:tcPr>
          <w:p>
            <w:r>
              <w:rPr>
                <w:b w:val="false"/>
                <w:bCs w:val="false"/>
                <w:sz w:val="20"/>
                <w:szCs w:val="20"/>
              </w:rPr>
              <w:t xml:space="preserve">None / Low / Moderate / High (competitive overhead athlete or occupational overhead labour)</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Scapular Dyskinesis Test (Lateral Scapular Slide Test)</w:t>
            </w:r>
          </w:p>
        </w:tc>
        <w:tc>
          <w:tcPr>
            <w:tcW w:type="dxa" w:w="1500"/>
          </w:tcPr>
          <w:p>
            <w:r>
              <w:rPr>
                <w:b w:val="false"/>
                <w:bCs w:val="false"/>
                <w:sz w:val="20"/>
                <w:szCs w:val="20"/>
              </w:rPr>
              <w:t xml:space="preserve">Categorical</w:t>
            </w:r>
          </w:p>
        </w:tc>
        <w:tc>
          <w:tcPr>
            <w:tcW w:type="dxa" w:w="2960"/>
          </w:tcPr>
          <w:p>
            <w:r>
              <w:rPr>
                <w:b w:val="false"/>
                <w:bCs w:val="false"/>
                <w:sz w:val="20"/>
                <w:szCs w:val="20"/>
              </w:rPr>
              <w:t xml:space="preserve">Positive / Negative / Equivocal / Not Performed</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Scapular Assistance Test</w:t>
            </w:r>
          </w:p>
        </w:tc>
        <w:tc>
          <w:tcPr>
            <w:tcW w:type="dxa" w:w="1500"/>
          </w:tcPr>
          <w:p>
            <w:r>
              <w:rPr>
                <w:b w:val="false"/>
                <w:bCs w:val="false"/>
                <w:sz w:val="20"/>
                <w:szCs w:val="20"/>
              </w:rPr>
              <w:t xml:space="preserve">Categorical</w:t>
            </w:r>
          </w:p>
        </w:tc>
        <w:tc>
          <w:tcPr>
            <w:tcW w:type="dxa" w:w="2960"/>
          </w:tcPr>
          <w:p>
            <w:r>
              <w:rPr>
                <w:b w:val="false"/>
                <w:bCs w:val="false"/>
                <w:sz w:val="20"/>
                <w:szCs w:val="20"/>
              </w:rPr>
              <w:t xml:space="preserve">Positive / Negative / Equivocal / Not Performed</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Scapular Retraction Test</w:t>
            </w:r>
          </w:p>
        </w:tc>
        <w:tc>
          <w:tcPr>
            <w:tcW w:type="dxa" w:w="1500"/>
          </w:tcPr>
          <w:p>
            <w:r>
              <w:rPr>
                <w:b w:val="false"/>
                <w:bCs w:val="false"/>
                <w:sz w:val="20"/>
                <w:szCs w:val="20"/>
              </w:rPr>
              <w:t xml:space="preserve">Categorical</w:t>
            </w:r>
          </w:p>
        </w:tc>
        <w:tc>
          <w:tcPr>
            <w:tcW w:type="dxa" w:w="2960"/>
          </w:tcPr>
          <w:p>
            <w:r>
              <w:rPr>
                <w:b w:val="false"/>
                <w:bCs w:val="false"/>
                <w:sz w:val="20"/>
                <w:szCs w:val="20"/>
              </w:rPr>
              <w:t xml:space="preserve">Positive / Negative / Equivocal / Not Performed</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Winging Pattern (medial/lateral)</w:t>
            </w:r>
          </w:p>
        </w:tc>
        <w:tc>
          <w:tcPr>
            <w:tcW w:type="dxa" w:w="1500"/>
          </w:tcPr>
          <w:p>
            <w:r>
              <w:rPr>
                <w:b w:val="false"/>
                <w:bCs w:val="false"/>
                <w:sz w:val="20"/>
                <w:szCs w:val="20"/>
              </w:rPr>
              <w:t xml:space="preserve">Categorical</w:t>
            </w:r>
          </w:p>
        </w:tc>
        <w:tc>
          <w:tcPr>
            <w:tcW w:type="dxa" w:w="2960"/>
          </w:tcPr>
          <w:p>
            <w:r>
              <w:rPr>
                <w:b w:val="false"/>
                <w:bCs w:val="false"/>
                <w:sz w:val="20"/>
                <w:szCs w:val="20"/>
              </w:rPr>
              <w:t xml:space="preserve">Medial / Lateral / Other (specify)</w:t>
            </w:r>
          </w:p>
        </w:tc>
        <w:tc>
          <w:tcPr>
            <w:tcW w:type="dxa" w:w="1900"/>
          </w:tcPr>
          <w:p>
            <w:r>
              <w:rPr>
                <w:b w:val="false"/>
                <w:bCs w:val="false"/>
                <w:sz w:val="20"/>
                <w:szCs w:val="20"/>
              </w:rPr>
              <w:t xml:space="preserve">Valid values are the alternatives named directly in this field's own header.</w:t>
            </w:r>
          </w:p>
        </w:tc>
      </w:tr>
      <w:tr>
        <w:tc>
          <w:tcPr>
            <w:tcW w:type="dxa" w:w="3000"/>
          </w:tcPr>
          <w:p>
            <w:r>
              <w:rPr>
                <w:b w:val="false"/>
                <w:bCs w:val="false"/>
                <w:sz w:val="20"/>
                <w:szCs w:val="20"/>
              </w:rPr>
              <w:t xml:space="preserve">Pectoralis Minor Length Test</w:t>
            </w:r>
          </w:p>
        </w:tc>
        <w:tc>
          <w:tcPr>
            <w:tcW w:type="dxa" w:w="1500"/>
          </w:tcPr>
          <w:p>
            <w:r>
              <w:rPr>
                <w:b w:val="false"/>
                <w:bCs w:val="false"/>
                <w:sz w:val="20"/>
                <w:szCs w:val="20"/>
              </w:rPr>
              <w:t xml:space="preserve">Categorical</w:t>
            </w:r>
          </w:p>
        </w:tc>
        <w:tc>
          <w:tcPr>
            <w:tcW w:type="dxa" w:w="2960"/>
          </w:tcPr>
          <w:p>
            <w:r>
              <w:rPr>
                <w:b w:val="false"/>
                <w:bCs w:val="false"/>
                <w:sz w:val="20"/>
                <w:szCs w:val="20"/>
              </w:rPr>
              <w:t xml:space="preserve">Positive / Negative / Equivocal / Not Performed</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Periscapular Muscle Strength (MMT - serratus anterior, trapezius, rhomboids)</w:t>
            </w:r>
          </w:p>
        </w:tc>
        <w:tc>
          <w:tcPr>
            <w:tcW w:type="dxa" w:w="1500"/>
          </w:tcPr>
          <w:p>
            <w:r>
              <w:rPr>
                <w:b w:val="false"/>
                <w:bCs w:val="false"/>
                <w:sz w:val="20"/>
                <w:szCs w:val="20"/>
              </w:rPr>
              <w:t xml:space="preserve">Numeric (ordinal, MRC/Oxford scale)</w:t>
            </w:r>
          </w:p>
        </w:tc>
        <w:tc>
          <w:tcPr>
            <w:tcW w:type="dxa" w:w="2960"/>
          </w:tcPr>
          <w:p>
            <w:r>
              <w:rPr>
                <w:b w:val="false"/>
                <w:bCs w:val="false"/>
                <w:sz w:val="20"/>
                <w:szCs w:val="20"/>
              </w:rPr>
              <w:t xml:space="preserve">0-5</w:t>
            </w:r>
          </w:p>
        </w:tc>
        <w:tc>
          <w:tcPr>
            <w:tcW w:type="dxa" w:w="1900"/>
          </w:tcPr>
          <w:p>
            <w:r>
              <w:rPr>
                <w:b w:val="false"/>
                <w:bCs w:val="false"/>
                <w:sz w:val="20"/>
                <w:szCs w:val="20"/>
              </w:rPr>
              <w:t xml:space="preserve">0 = no contraction, 5 = normal power against full resistance.</w:t>
            </w:r>
          </w:p>
        </w:tc>
      </w:tr>
      <w:tr>
        <w:tc>
          <w:tcPr>
            <w:tcW w:type="dxa" w:w="3000"/>
          </w:tcPr>
          <w:p>
            <w:r>
              <w:rPr>
                <w:b w:val="false"/>
                <w:bCs w:val="false"/>
                <w:sz w:val="20"/>
                <w:szCs w:val="20"/>
              </w:rPr>
              <w:t xml:space="preserve">EMG/Nerve Conduction Study (if nerve-related winging suspected)</w:t>
            </w:r>
          </w:p>
        </w:tc>
        <w:tc>
          <w:tcPr>
            <w:tcW w:type="dxa" w:w="1500"/>
          </w:tcPr>
          <w:p>
            <w:r>
              <w:rPr>
                <w:b w:val="false"/>
                <w:bCs w:val="false"/>
                <w:sz w:val="20"/>
                <w:szCs w:val="20"/>
              </w:rPr>
              <w:t xml:space="preserve">Categorical</w:t>
            </w:r>
          </w:p>
        </w:tc>
        <w:tc>
          <w:tcPr>
            <w:tcW w:type="dxa" w:w="2960"/>
          </w:tcPr>
          <w:p>
            <w:r>
              <w:rPr>
                <w:b w:val="false"/>
                <w:bCs w:val="false"/>
                <w:sz w:val="20"/>
                <w:szCs w:val="20"/>
              </w:rPr>
              <w:t xml:space="preserve">Present / Absent (describe if Present)</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Kibler Classification (Type I/II/III Scapular Dyskinesis)</w:t>
            </w:r>
          </w:p>
        </w:tc>
        <w:tc>
          <w:tcPr>
            <w:tcW w:type="dxa" w:w="1500"/>
          </w:tcPr>
          <w:p>
            <w:r>
              <w:rPr>
                <w:b w:val="false"/>
                <w:bCs w:val="false"/>
                <w:sz w:val="20"/>
                <w:szCs w:val="20"/>
              </w:rPr>
              <w:t xml:space="preserve">Categorical</w:t>
            </w:r>
          </w:p>
        </w:tc>
        <w:tc>
          <w:tcPr>
            <w:tcW w:type="dxa" w:w="2960"/>
          </w:tcPr>
          <w:p>
            <w:r>
              <w:rPr>
                <w:b w:val="false"/>
                <w:bCs w:val="false"/>
                <w:sz w:val="20"/>
                <w:szCs w:val="20"/>
              </w:rPr>
              <w:t xml:space="preserve">Type I / II / III Scapular Dyskinesis / Other (specify)</w:t>
            </w:r>
          </w:p>
        </w:tc>
        <w:tc>
          <w:tcPr>
            <w:tcW w:type="dxa" w:w="1900"/>
          </w:tcPr>
          <w:p>
            <w:r>
              <w:rPr>
                <w:b w:val="false"/>
                <w:bCs w:val="false"/>
                <w:sz w:val="20"/>
                <w:szCs w:val="20"/>
              </w:rPr>
              <w:t xml:space="preserve">Valid values are the alternatives named directly in this field's own header.</w:t>
            </w:r>
          </w:p>
        </w:tc>
      </w:tr>
      <w:tr>
        <w:tc>
          <w:tcPr>
            <w:tcW w:type="dxa" w:w="3000"/>
          </w:tcPr>
          <w:p>
            <w:r>
              <w:rPr>
                <w:b w:val="false"/>
                <w:bCs w:val="false"/>
                <w:sz w:val="20"/>
                <w:szCs w:val="20"/>
              </w:rPr>
              <w:t xml:space="preserve">Diagnosis</w:t>
            </w:r>
          </w:p>
        </w:tc>
        <w:tc>
          <w:tcPr>
            <w:tcW w:type="dxa" w:w="1500"/>
          </w:tcPr>
          <w:p>
            <w:r>
              <w:rPr>
                <w:b w:val="false"/>
                <w:bCs w:val="false"/>
                <w:sz w:val="20"/>
                <w:szCs w:val="20"/>
              </w:rPr>
              <w:t xml:space="preserve">Categorical (controlled vocabulary)</w:t>
            </w:r>
          </w:p>
        </w:tc>
        <w:tc>
          <w:tcPr>
            <w:tcW w:type="dxa" w:w="2960"/>
          </w:tcPr>
          <w:p>
            <w:r>
              <w:rPr>
                <w:b w:val="false"/>
                <w:bCs w:val="false"/>
                <w:sz w:val="20"/>
                <w:szCs w:val="20"/>
              </w:rPr>
              <w:t xml:space="preserve">Must be one of the named conditions listed for this group in the Shoulder_CDSS_Condition_Master_List.csv</w:t>
            </w:r>
          </w:p>
        </w:tc>
        <w:tc>
          <w:tcPr>
            <w:tcW w:type="dxa" w:w="1900"/>
          </w:tcPr>
          <w:p>
            <w:r>
              <w:rPr>
                <w:b w:val="false"/>
                <w:bCs w:val="false"/>
                <w:sz w:val="20"/>
                <w:szCs w:val="20"/>
              </w:rPr>
              <w:t xml:space="preserve">Free-text "Other/Unclassified" routes the case to S18 workflow review.</w:t>
            </w:r>
          </w:p>
        </w:tc>
      </w:tr>
      <w:tr>
        <w:tc>
          <w:tcPr>
            <w:tcW w:type="dxa" w:w="3000"/>
          </w:tcPr>
          <w:p>
            <w:r>
              <w:rPr>
                <w:b w:val="false"/>
                <w:bCs w:val="false"/>
                <w:sz w:val="20"/>
                <w:szCs w:val="20"/>
              </w:rPr>
              <w:t xml:space="preserve">Red Flags / Precautions</w:t>
            </w:r>
          </w:p>
        </w:tc>
        <w:tc>
          <w:tcPr>
            <w:tcW w:type="dxa" w:w="1500"/>
          </w:tcPr>
          <w:p>
            <w:r>
              <w:rPr>
                <w:b w:val="false"/>
                <w:bCs w:val="false"/>
                <w:sz w:val="20"/>
                <w:szCs w:val="20"/>
              </w:rPr>
              <w:t xml:space="preserve">Free text / multi-select</w:t>
            </w:r>
          </w:p>
        </w:tc>
        <w:tc>
          <w:tcPr>
            <w:tcW w:type="dxa" w:w="2960"/>
          </w:tcPr>
          <w:p>
            <w:r>
              <w:rPr>
                <w:b w:val="false"/>
                <w:bCs w:val="false"/>
                <w:sz w:val="20"/>
                <w:szCs w:val="20"/>
              </w:rPr>
              <w:t xml:space="preserve">Free text; recommended controlled vocabulary drawn from the Red Flag Master List (Section 10)</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Visual Analog Scale (VAS)</w:t>
            </w:r>
          </w:p>
        </w:tc>
        <w:tc>
          <w:tcPr>
            <w:tcW w:type="dxa" w:w="1500"/>
          </w:tcPr>
          <w:p>
            <w:r>
              <w:rPr>
                <w:b w:val="false"/>
                <w:bCs w:val="false"/>
                <w:sz w:val="20"/>
                <w:szCs w:val="20"/>
              </w:rPr>
              <w:t xml:space="preserve">Numeric (integer or 1 decimal)</w:t>
            </w:r>
          </w:p>
        </w:tc>
        <w:tc>
          <w:tcPr>
            <w:tcW w:type="dxa" w:w="2960"/>
          </w:tcPr>
          <w:p>
            <w:r>
              <w:rPr>
                <w:b w:val="false"/>
                <w:bCs w:val="false"/>
                <w:sz w:val="20"/>
                <w:szCs w:val="20"/>
              </w:rPr>
              <w:t xml:space="preserve">0-10</w:t>
            </w:r>
          </w:p>
        </w:tc>
        <w:tc>
          <w:tcPr>
            <w:tcW w:type="dxa" w:w="1900"/>
          </w:tcPr>
          <w:p>
            <w:r>
              <w:rPr>
                <w:b w:val="false"/>
                <w:bCs w:val="false"/>
                <w:sz w:val="20"/>
                <w:szCs w:val="20"/>
              </w:rPr>
              <w:t xml:space="preserve">0 = no pain, 10 = worst pain imaginable. This is the canonical example: a value of 11 or higher, or a negative value, is a data-entry error and must be rejected by the Layer 1 validator, never silently accepted or capped.</w:t>
            </w:r>
          </w:p>
        </w:tc>
      </w:tr>
      <w:tr>
        <w:tc>
          <w:tcPr>
            <w:tcW w:type="dxa" w:w="3000"/>
          </w:tcPr>
          <w:p>
            <w:r>
              <w:rPr>
                <w:b w:val="false"/>
                <w:bCs w:val="false"/>
                <w:sz w:val="20"/>
                <w:szCs w:val="20"/>
              </w:rPr>
              <w:t xml:space="preserve">SPADI</w:t>
            </w:r>
          </w:p>
        </w:tc>
        <w:tc>
          <w:tcPr>
            <w:tcW w:type="dxa" w:w="1500"/>
          </w:tcPr>
          <w:p>
            <w:r>
              <w:rPr>
                <w:b w:val="false"/>
                <w:bCs w:val="false"/>
                <w:sz w:val="20"/>
                <w:szCs w:val="20"/>
              </w:rPr>
              <w:t xml:space="preserve">Numeric (%)</w:t>
            </w:r>
          </w:p>
        </w:tc>
        <w:tc>
          <w:tcPr>
            <w:tcW w:type="dxa" w:w="2960"/>
          </w:tcPr>
          <w:p>
            <w:r>
              <w:rPr>
                <w:b w:val="false"/>
                <w:bCs w:val="false"/>
                <w:sz w:val="20"/>
                <w:szCs w:val="20"/>
              </w:rPr>
              <w:t xml:space="preserve">0-100</w:t>
            </w:r>
          </w:p>
        </w:tc>
        <w:tc>
          <w:tcPr>
            <w:tcW w:type="dxa" w:w="1900"/>
          </w:tcPr>
          <w:p>
            <w:r>
              <w:rPr>
                <w:b w:val="false"/>
                <w:bCs w:val="false"/>
                <w:sz w:val="20"/>
                <w:szCs w:val="20"/>
              </w:rPr>
              <w:t xml:space="preserve">100 = worst disability (Shoulder Pain and Disability Index).</w:t>
            </w:r>
          </w:p>
        </w:tc>
      </w:tr>
      <w:tr>
        <w:tc>
          <w:tcPr>
            <w:tcW w:type="dxa" w:w="3000"/>
          </w:tcPr>
          <w:p>
            <w:r>
              <w:rPr>
                <w:b w:val="false"/>
                <w:bCs w:val="false"/>
                <w:sz w:val="20"/>
                <w:szCs w:val="20"/>
              </w:rPr>
              <w:t xml:space="preserve">Scapular Dyskinesis Test Grade</w:t>
            </w:r>
          </w:p>
        </w:tc>
        <w:tc>
          <w:tcPr>
            <w:tcW w:type="dxa" w:w="1500"/>
          </w:tcPr>
          <w:p>
            <w:r>
              <w:rPr>
                <w:b w:val="false"/>
                <w:bCs w:val="false"/>
                <w:sz w:val="20"/>
                <w:szCs w:val="20"/>
              </w:rPr>
              <w:t xml:space="preserve">Categorical</w:t>
            </w:r>
          </w:p>
        </w:tc>
        <w:tc>
          <w:tcPr>
            <w:tcW w:type="dxa" w:w="2960"/>
          </w:tcPr>
          <w:p>
            <w:r>
              <w:rPr>
                <w:b w:val="false"/>
                <w:bCs w:val="false"/>
                <w:sz w:val="20"/>
                <w:szCs w:val="20"/>
              </w:rPr>
              <w:t xml:space="preserve">Normal / Dyskinesis Present (Subtle) / Dyskinesis Present (Obvious)</w:t>
            </w:r>
          </w:p>
        </w:tc>
        <w:tc>
          <w:tcPr>
            <w:tcW w:type="dxa" w:w="1900"/>
          </w:tcPr>
          <w:p>
            <w:r>
              <w:rPr>
                <w:b w:val="false"/>
                <w:bCs w:val="false"/>
                <w:sz w:val="20"/>
                <w:szCs w:val="20"/>
              </w:rPr>
              <w:t xml:space="preserve">Kibler visual observation grading.</w:t>
            </w:r>
          </w:p>
        </w:tc>
      </w:tr>
      <w:tr>
        <w:tc>
          <w:tcPr>
            <w:tcW w:type="dxa" w:w="3000"/>
          </w:tcPr>
          <w:p>
            <w:r>
              <w:rPr>
                <w:b w:val="false"/>
                <w:bCs w:val="false"/>
                <w:sz w:val="20"/>
                <w:szCs w:val="20"/>
              </w:rPr>
              <w:t xml:space="preserve">Functional Test</w:t>
            </w:r>
          </w:p>
        </w:tc>
        <w:tc>
          <w:tcPr>
            <w:tcW w:type="dxa" w:w="1500"/>
          </w:tcPr>
          <w:p>
            <w:r>
              <w:rPr>
                <w:b w:val="false"/>
                <w:bCs w:val="false"/>
                <w:sz w:val="20"/>
                <w:szCs w:val="20"/>
              </w:rPr>
              <w:t xml:space="preserve">Categorical / numeric</w:t>
            </w:r>
          </w:p>
        </w:tc>
        <w:tc>
          <w:tcPr>
            <w:tcW w:type="dxa" w:w="2960"/>
          </w:tcPr>
          <w:p>
            <w:r>
              <w:rPr>
                <w:b w:val="false"/>
                <w:bCs w:val="false"/>
                <w:sz w:val="20"/>
                <w:szCs w:val="20"/>
              </w:rPr>
              <w:t xml:space="preserve">Pass / Partial / Fail, with the specific functional test used (e.g. Overhead Reach, Apley Scratch Test) recorded in Notes</w:t>
            </w:r>
          </w:p>
        </w:tc>
        <w:tc>
          <w:tcPr>
            <w:tcW w:type="dxa" w:w="1900"/>
          </w:tcPr>
          <w:p>
            <w:r>
              <w:rPr>
                <w:b w:val="false"/>
                <w:bCs w:val="false"/>
                <w:sz w:val="20"/>
                <w:szCs w:val="20"/>
              </w:rPr>
              <w:t xml:space="preserve">Generalised upper-limb substitute for the Knee's 6MWT/TUG and Sit-to-Stand fields (documented deviation, see Grouping Rationale index).</w:t>
            </w:r>
          </w:p>
        </w:tc>
      </w:tr>
      <w:tr>
        <w:tc>
          <w:tcPr>
            <w:tcW w:type="dxa" w:w="3000"/>
          </w:tcPr>
          <w:p>
            <w:r>
              <w:rPr>
                <w:b w:val="false"/>
                <w:bCs w:val="false"/>
                <w:sz w:val="20"/>
                <w:szCs w:val="20"/>
              </w:rPr>
              <w:t xml:space="preserve">Rehabilitation Phase</w:t>
            </w:r>
          </w:p>
        </w:tc>
        <w:tc>
          <w:tcPr>
            <w:tcW w:type="dxa" w:w="1500"/>
          </w:tcPr>
          <w:p>
            <w:r>
              <w:rPr>
                <w:b w:val="false"/>
                <w:bCs w:val="false"/>
                <w:sz w:val="20"/>
                <w:szCs w:val="20"/>
              </w:rPr>
              <w:t xml:space="preserve">Categorical</w:t>
            </w:r>
          </w:p>
        </w:tc>
        <w:tc>
          <w:tcPr>
            <w:tcW w:type="dxa" w:w="2960"/>
          </w:tcPr>
          <w:p>
            <w:r>
              <w:rPr>
                <w:b w:val="false"/>
                <w:bCs w:val="false"/>
                <w:sz w:val="20"/>
                <w:szCs w:val="20"/>
              </w:rPr>
              <w:t xml:space="preserve">Phase 1 / Phase 2 / Phase 3 / Phase 4 (see Section 9, Phase Logic, for this group's specific phase definitions)</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Treatment Plan Mapping (Protocol ID)</w:t>
            </w:r>
          </w:p>
        </w:tc>
        <w:tc>
          <w:tcPr>
            <w:tcW w:type="dxa" w:w="1500"/>
          </w:tcPr>
          <w:p>
            <w:r>
              <w:rPr>
                <w:b w:val="false"/>
                <w:bCs w:val="false"/>
                <w:sz w:val="20"/>
                <w:szCs w:val="20"/>
              </w:rPr>
              <w:t xml:space="preserve">Text (foreign key)</w:t>
            </w:r>
          </w:p>
        </w:tc>
        <w:tc>
          <w:tcPr>
            <w:tcW w:type="dxa" w:w="2960"/>
          </w:tcPr>
          <w:p>
            <w:r>
              <w:rPr>
                <w:b w:val="false"/>
                <w:bCs w:val="false"/>
                <w:sz w:val="20"/>
                <w:szCs w:val="20"/>
              </w:rPr>
              <w:t xml:space="preserve">Must match an existing Protocol ID in this workbook's Protocol sheet</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Progress / Follow-up Tracking</w:t>
            </w:r>
          </w:p>
        </w:tc>
        <w:tc>
          <w:tcPr>
            <w:tcW w:type="dxa" w:w="1500"/>
          </w:tcPr>
          <w:p>
            <w:r>
              <w:rPr>
                <w:b w:val="false"/>
                <w:bCs w:val="false"/>
                <w:sz w:val="20"/>
                <w:szCs w:val="20"/>
              </w:rPr>
              <w:t xml:space="preserve">Free text / date-stamped log</w:t>
            </w:r>
          </w:p>
        </w:tc>
        <w:tc>
          <w:tcPr>
            <w:tcW w:type="dxa" w:w="2960"/>
          </w:tcPr>
          <w:p>
            <w:r>
              <w:rPr>
                <w:b w:val="false"/>
                <w:bCs w:val="false"/>
                <w:sz w:val="20"/>
                <w:szCs w:val="20"/>
              </w:rPr>
              <w:t xml:space="preserve">Free text, one entry per follow-up visit with a date</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Follow_Up_Scapular Dyskinesis Grade</w:t>
            </w:r>
          </w:p>
        </w:tc>
        <w:tc>
          <w:tcPr>
            <w:tcW w:type="dxa" w:w="1500"/>
          </w:tcPr>
          <w:p>
            <w:r>
              <w:rPr>
                <w:b w:val="false"/>
                <w:bCs w:val="false"/>
                <w:sz w:val="20"/>
                <w:szCs w:val="20"/>
              </w:rPr>
              <w:t xml:space="preserve">Categorical</w:t>
            </w:r>
          </w:p>
        </w:tc>
        <w:tc>
          <w:tcPr>
            <w:tcW w:type="dxa" w:w="2960"/>
          </w:tcPr>
          <w:p>
            <w:r>
              <w:rPr>
                <w:b w:val="false"/>
                <w:bCs w:val="false"/>
                <w:sz w:val="20"/>
                <w:szCs w:val="20"/>
              </w:rPr>
              <w:t xml:space="preserve">Normal / Dyskinesis Present (Subtle) / Dyskinesis Present (Obvious)</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Follow_Up_Periscapular Strength</w:t>
            </w:r>
          </w:p>
        </w:tc>
        <w:tc>
          <w:tcPr>
            <w:tcW w:type="dxa" w:w="1500"/>
          </w:tcPr>
          <w:p>
            <w:r>
              <w:rPr>
                <w:b w:val="false"/>
                <w:bCs w:val="false"/>
                <w:sz w:val="20"/>
                <w:szCs w:val="20"/>
              </w:rPr>
              <w:t xml:space="preserve">Numeric (ordinal, MRC/Oxford scale)</w:t>
            </w:r>
          </w:p>
        </w:tc>
        <w:tc>
          <w:tcPr>
            <w:tcW w:type="dxa" w:w="2960"/>
          </w:tcPr>
          <w:p>
            <w:r>
              <w:rPr>
                <w:b w:val="false"/>
                <w:bCs w:val="false"/>
                <w:sz w:val="20"/>
                <w:szCs w:val="20"/>
              </w:rPr>
              <w:t xml:space="preserve">0-5</w:t>
            </w:r>
          </w:p>
        </w:tc>
        <w:tc>
          <w:tcPr>
            <w:tcW w:type="dxa" w:w="1900"/>
          </w:tcPr>
          <w:p>
            <w:r>
              <w:rPr>
                <w:b w:val="false"/>
                <w:bCs w:val="false"/>
                <w:sz w:val="20"/>
                <w:szCs w:val="20"/>
              </w:rPr>
              <w:t xml:space="preserve">Same 0-5 grading as the baseline strength/MMT field.</w:t>
            </w:r>
          </w:p>
        </w:tc>
      </w:tr>
      <w:tr>
        <w:tc>
          <w:tcPr>
            <w:tcW w:type="dxa" w:w="3000"/>
          </w:tcPr>
          <w:p>
            <w:r>
              <w:rPr>
                <w:b w:val="false"/>
                <w:bCs w:val="false"/>
                <w:sz w:val="20"/>
                <w:szCs w:val="20"/>
              </w:rPr>
              <w:t xml:space="preserve">Follow_Up_SPADI</w:t>
            </w:r>
          </w:p>
        </w:tc>
        <w:tc>
          <w:tcPr>
            <w:tcW w:type="dxa" w:w="1500"/>
          </w:tcPr>
          <w:p>
            <w:r>
              <w:rPr>
                <w:b w:val="false"/>
                <w:bCs w:val="false"/>
                <w:sz w:val="20"/>
                <w:szCs w:val="20"/>
              </w:rPr>
              <w:t xml:space="preserve">Numeric (%)</w:t>
            </w:r>
          </w:p>
        </w:tc>
        <w:tc>
          <w:tcPr>
            <w:tcW w:type="dxa" w:w="2960"/>
          </w:tcPr>
          <w:p>
            <w:r>
              <w:rPr>
                <w:b w:val="false"/>
                <w:bCs w:val="false"/>
                <w:sz w:val="20"/>
                <w:szCs w:val="20"/>
              </w:rPr>
              <w:t xml:space="preserve">0-100</w:t>
            </w:r>
          </w:p>
        </w:tc>
        <w:tc>
          <w:tcPr>
            <w:tcW w:type="dxa" w:w="1900"/>
          </w:tcPr>
          <w:p>
            <w:r>
              <w:rPr>
                <w:b w:val="false"/>
                <w:bCs w:val="false"/>
                <w:sz w:val="20"/>
                <w:szCs w:val="20"/>
              </w:rPr>
              <w:t xml:space="preserve">Same instrument and range as the baseline SPADI.</w:t>
            </w:r>
          </w:p>
        </w:tc>
      </w:tr>
      <w:tr>
        <w:tc>
          <w:tcPr>
            <w:tcW w:type="dxa" w:w="3000"/>
          </w:tcPr>
          <w:p>
            <w:r>
              <w:rPr>
                <w:b w:val="false"/>
                <w:bCs w:val="false"/>
                <w:sz w:val="20"/>
                <w:szCs w:val="20"/>
              </w:rPr>
              <w:t xml:space="preserve">Follow_Up_Balance and Stability</w:t>
            </w:r>
          </w:p>
        </w:tc>
        <w:tc>
          <w:tcPr>
            <w:tcW w:type="dxa" w:w="1500"/>
          </w:tcPr>
          <w:p>
            <w:r>
              <w:rPr>
                <w:b w:val="false"/>
                <w:bCs w:val="false"/>
                <w:sz w:val="20"/>
                <w:szCs w:val="20"/>
              </w:rPr>
              <w:t xml:space="preserve">Categorical</w:t>
            </w:r>
          </w:p>
        </w:tc>
        <w:tc>
          <w:tcPr>
            <w:tcW w:type="dxa" w:w="2960"/>
          </w:tcPr>
          <w:p>
            <w:r>
              <w:rPr>
                <w:b w:val="false"/>
                <w:bCs w:val="false"/>
                <w:sz w:val="20"/>
                <w:szCs w:val="20"/>
              </w:rPr>
              <w:t xml:space="preserve">Normal / Mild Deficit / Moderate Deficit / Severe Deficit</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Return to Activities</w:t>
            </w:r>
          </w:p>
        </w:tc>
        <w:tc>
          <w:tcPr>
            <w:tcW w:type="dxa" w:w="1500"/>
          </w:tcPr>
          <w:p>
            <w:r>
              <w:rPr>
                <w:b w:val="false"/>
                <w:bCs w:val="false"/>
                <w:sz w:val="20"/>
                <w:szCs w:val="20"/>
              </w:rPr>
              <w:t xml:space="preserve">Categorical</w:t>
            </w:r>
          </w:p>
        </w:tc>
        <w:tc>
          <w:tcPr>
            <w:tcW w:type="dxa" w:w="2960"/>
          </w:tcPr>
          <w:p>
            <w:r>
              <w:rPr>
                <w:b w:val="false"/>
                <w:bCs w:val="false"/>
                <w:sz w:val="20"/>
                <w:szCs w:val="20"/>
              </w:rPr>
              <w:t xml:space="preserve">Full return / Partial return (modified duties) / Not yet returned / Not applicable</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Patient Goals / Expectations</w:t>
            </w:r>
          </w:p>
        </w:tc>
        <w:tc>
          <w:tcPr>
            <w:tcW w:type="dxa" w:w="1500"/>
          </w:tcPr>
          <w:p>
            <w:r>
              <w:rPr>
                <w:b w:val="false"/>
                <w:bCs w:val="false"/>
                <w:sz w:val="20"/>
                <w:szCs w:val="20"/>
              </w:rPr>
              <w:t xml:space="preserve">Free text</w:t>
            </w:r>
          </w:p>
        </w:tc>
        <w:tc>
          <w:tcPr>
            <w:tcW w:type="dxa" w:w="2960"/>
          </w:tcPr>
          <w:p>
            <w:r>
              <w:rPr>
                <w:b w:val="false"/>
                <w:bCs w:val="false"/>
                <w:sz w:val="20"/>
                <w:szCs w:val="20"/>
              </w:rPr>
              <w:t xml:space="preserve">Free text, captured at intake and reviewed at each follow-up</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Notes</w:t>
            </w:r>
          </w:p>
        </w:tc>
        <w:tc>
          <w:tcPr>
            <w:tcW w:type="dxa" w:w="1500"/>
          </w:tcPr>
          <w:p>
            <w:r>
              <w:rPr>
                <w:b w:val="false"/>
                <w:bCs w:val="false"/>
                <w:sz w:val="20"/>
                <w:szCs w:val="20"/>
              </w:rPr>
              <w:t xml:space="preserve">Free text</w:t>
            </w:r>
          </w:p>
        </w:tc>
        <w:tc>
          <w:tcPr>
            <w:tcW w:type="dxa" w:w="2960"/>
          </w:tcPr>
          <w:p>
            <w:r>
              <w:rPr>
                <w:b w:val="false"/>
                <w:bCs w:val="false"/>
                <w:sz w:val="20"/>
                <w:szCs w:val="20"/>
              </w:rPr>
              <w:t xml:space="preserve">Unstructured free text</w:t>
            </w:r>
          </w:p>
        </w:tc>
        <w:tc>
          <w:tcPr>
            <w:tcW w:type="dxa" w:w="1900"/>
          </w:tcPr>
          <w:p>
            <w:r>
              <w:rPr>
                <w:b w:val="false"/>
                <w:bCs w:val="false"/>
                <w:sz w:val="20"/>
                <w:szCs w:val="20"/>
              </w:rPr>
              <w:t xml:space="preserve">-</w:t>
            </w:r>
          </w:p>
        </w:tc>
      </w:tr>
    </w:tbl>
    <w:p>
      <w:pPr>
        <w:pStyle w:val="Heading1"/>
      </w:pPr>
      <w:r>
        <w:t xml:space="preserve">4. Data-Type Specification — Experience Base</w:t>
      </w:r>
    </w:p>
    <w:p>
      <w:pPr>
        <w:spacing w:after="120"/>
      </w:pPr>
      <w:r>
        <w:rPr>
          <w:b w:val="false"/>
          <w:bCs w:val="false"/>
          <w:i w:val="false"/>
          <w:iCs w:val="false"/>
        </w:rPr>
        <w:t xml:space="preserve">29 fields, identical schema across all 18 groups (see Shoulder_Condition_Grouping_Rationale_and_Index.md, Shared Structure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960"/>
        <w:gridCol w:w="1900"/>
      </w:tblGrid>
      <w:tr>
        <w:trPr>
          <w:tblHeader/>
        </w:trPr>
        <w:tc>
          <w:tcPr>
            <w:tcW w:type="dxa" w:w="3000"/>
            <w:shd w:fill="2F5597" w:color="auto" w:val="clear"/>
          </w:tcPr>
          <w:p>
            <w:r>
              <w:rPr>
                <w:b/>
                <w:bCs/>
                <w:color w:val="FFFFFF"/>
                <w:sz w:val="20"/>
                <w:szCs w:val="20"/>
              </w:rPr>
              <w:t xml:space="preserve">Field</w:t>
            </w:r>
          </w:p>
        </w:tc>
        <w:tc>
          <w:tcPr>
            <w:tcW w:type="dxa" w:w="1500"/>
            <w:shd w:fill="2F5597" w:color="auto" w:val="clear"/>
          </w:tcPr>
          <w:p>
            <w:r>
              <w:rPr>
                <w:b/>
                <w:bCs/>
                <w:color w:val="FFFFFF"/>
                <w:sz w:val="20"/>
                <w:szCs w:val="20"/>
              </w:rPr>
              <w:t xml:space="preserve">Data Type</w:t>
            </w:r>
          </w:p>
        </w:tc>
        <w:tc>
          <w:tcPr>
            <w:tcW w:type="dxa" w:w="2960"/>
            <w:shd w:fill="2F5597" w:color="auto" w:val="clear"/>
          </w:tcPr>
          <w:p>
            <w:r>
              <w:rPr>
                <w:b/>
                <w:bCs/>
                <w:color w:val="FFFFFF"/>
                <w:sz w:val="20"/>
                <w:szCs w:val="20"/>
              </w:rPr>
              <w:t xml:space="preserve">Valid Range / Values</w:t>
            </w:r>
          </w:p>
        </w:tc>
        <w:tc>
          <w:tcPr>
            <w:tcW w:type="dxa" w:w="1900"/>
            <w:shd w:fill="2F5597" w:color="auto" w:val="clear"/>
          </w:tcPr>
          <w:p>
            <w:r>
              <w:rPr>
                <w:b/>
                <w:bCs/>
                <w:color w:val="FFFFFF"/>
                <w:sz w:val="20"/>
                <w:szCs w:val="20"/>
              </w:rPr>
              <w:t xml:space="preserve">Notes</w:t>
            </w:r>
          </w:p>
        </w:tc>
      </w:tr>
      <w:tr>
        <w:tc>
          <w:tcPr>
            <w:tcW w:type="dxa" w:w="3000"/>
          </w:tcPr>
          <w:p>
            <w:r>
              <w:rPr>
                <w:b w:val="false"/>
                <w:bCs w:val="false"/>
                <w:sz w:val="20"/>
                <w:szCs w:val="20"/>
              </w:rPr>
              <w:t xml:space="preserve">Case ID</w:t>
            </w:r>
          </w:p>
        </w:tc>
        <w:tc>
          <w:tcPr>
            <w:tcW w:type="dxa" w:w="1500"/>
          </w:tcPr>
          <w:p>
            <w:r>
              <w:rPr>
                <w:b w:val="false"/>
                <w:bCs w:val="false"/>
                <w:sz w:val="20"/>
                <w:szCs w:val="20"/>
              </w:rPr>
              <w:t xml:space="preserve">Text (unique identifier)</w:t>
            </w:r>
          </w:p>
        </w:tc>
        <w:tc>
          <w:tcPr>
            <w:tcW w:type="dxa" w:w="2960"/>
          </w:tcPr>
          <w:p>
            <w:r>
              <w:rPr>
                <w:b w:val="false"/>
                <w:bCs w:val="false"/>
                <w:sz w:val="20"/>
                <w:szCs w:val="20"/>
              </w:rPr>
              <w:t xml:space="preserve">Free text, must be unique within the workbook</w:t>
            </w:r>
          </w:p>
        </w:tc>
        <w:tc>
          <w:tcPr>
            <w:tcW w:type="dxa" w:w="1900"/>
          </w:tcPr>
          <w:p>
            <w:r>
              <w:rPr>
                <w:b w:val="false"/>
                <w:bCs w:val="false"/>
                <w:sz w:val="20"/>
                <w:szCs w:val="20"/>
              </w:rPr>
              <w:t xml:space="preserve">System-generated or clinic-assigned; never reused.</w:t>
            </w:r>
          </w:p>
        </w:tc>
      </w:tr>
      <w:tr>
        <w:tc>
          <w:tcPr>
            <w:tcW w:type="dxa" w:w="3000"/>
          </w:tcPr>
          <w:p>
            <w:r>
              <w:rPr>
                <w:b w:val="false"/>
                <w:bCs w:val="false"/>
                <w:sz w:val="20"/>
                <w:szCs w:val="20"/>
              </w:rPr>
              <w:t xml:space="preserve">Age</w:t>
            </w:r>
          </w:p>
        </w:tc>
        <w:tc>
          <w:tcPr>
            <w:tcW w:type="dxa" w:w="1500"/>
          </w:tcPr>
          <w:p>
            <w:r>
              <w:rPr>
                <w:b w:val="false"/>
                <w:bCs w:val="false"/>
                <w:sz w:val="20"/>
                <w:szCs w:val="20"/>
              </w:rPr>
              <w:t xml:space="preserve">Numeric (years)</w:t>
            </w:r>
          </w:p>
        </w:tc>
        <w:tc>
          <w:tcPr>
            <w:tcW w:type="dxa" w:w="2960"/>
          </w:tcPr>
          <w:p>
            <w:r>
              <w:rPr>
                <w:b w:val="false"/>
                <w:bCs w:val="false"/>
                <w:sz w:val="20"/>
                <w:szCs w:val="20"/>
              </w:rPr>
              <w:t xml:space="preserve">0-120</w:t>
            </w:r>
          </w:p>
        </w:tc>
        <w:tc>
          <w:tcPr>
            <w:tcW w:type="dxa" w:w="1900"/>
          </w:tcPr>
          <w:p>
            <w:r>
              <w:rPr>
                <w:b w:val="false"/>
                <w:bCs w:val="false"/>
                <w:sz w:val="20"/>
                <w:szCs w:val="20"/>
              </w:rPr>
              <w:t xml:space="preserve">0 = neonate/birth-related presentation (S17 only). Cross-checked (not blocked) against the Condition Master List's Typical Age Group band for the entered Diagnosis.</w:t>
            </w:r>
          </w:p>
        </w:tc>
      </w:tr>
      <w:tr>
        <w:tc>
          <w:tcPr>
            <w:tcW w:type="dxa" w:w="3000"/>
          </w:tcPr>
          <w:p>
            <w:r>
              <w:rPr>
                <w:b w:val="false"/>
                <w:bCs w:val="false"/>
                <w:sz w:val="20"/>
                <w:szCs w:val="20"/>
              </w:rPr>
              <w:t xml:space="preserve">Gender</w:t>
            </w:r>
          </w:p>
        </w:tc>
        <w:tc>
          <w:tcPr>
            <w:tcW w:type="dxa" w:w="1500"/>
          </w:tcPr>
          <w:p>
            <w:r>
              <w:rPr>
                <w:b w:val="false"/>
                <w:bCs w:val="false"/>
                <w:sz w:val="20"/>
                <w:szCs w:val="20"/>
              </w:rPr>
              <w:t xml:space="preserve">Categorical</w:t>
            </w:r>
          </w:p>
        </w:tc>
        <w:tc>
          <w:tcPr>
            <w:tcW w:type="dxa" w:w="2960"/>
          </w:tcPr>
          <w:p>
            <w:r>
              <w:rPr>
                <w:b w:val="false"/>
                <w:bCs w:val="false"/>
                <w:sz w:val="20"/>
                <w:szCs w:val="20"/>
              </w:rPr>
              <w:t xml:space="preserve">Male / Female / Other / Prefer not to say</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BMI</w:t>
            </w:r>
          </w:p>
        </w:tc>
        <w:tc>
          <w:tcPr>
            <w:tcW w:type="dxa" w:w="1500"/>
          </w:tcPr>
          <w:p>
            <w:r>
              <w:rPr>
                <w:b w:val="false"/>
                <w:bCs w:val="false"/>
                <w:sz w:val="20"/>
                <w:szCs w:val="20"/>
              </w:rPr>
              <w:t xml:space="preserve">Numeric (kg/m^2)</w:t>
            </w:r>
          </w:p>
        </w:tc>
        <w:tc>
          <w:tcPr>
            <w:tcW w:type="dxa" w:w="2960"/>
          </w:tcPr>
          <w:p>
            <w:r>
              <w:rPr>
                <w:b w:val="false"/>
                <w:bCs w:val="false"/>
                <w:sz w:val="20"/>
                <w:szCs w:val="20"/>
              </w:rPr>
              <w:t xml:space="preserve">10.0-60.0</w:t>
            </w:r>
          </w:p>
        </w:tc>
        <w:tc>
          <w:tcPr>
            <w:tcW w:type="dxa" w:w="1900"/>
          </w:tcPr>
          <w:p>
            <w:r>
              <w:rPr>
                <w:b w:val="false"/>
                <w:bCs w:val="false"/>
                <w:sz w:val="20"/>
                <w:szCs w:val="20"/>
              </w:rPr>
              <w:t xml:space="preserve">One decimal place. Values outside 12-45 are flagged for re-confirmation, not blocked.</w:t>
            </w:r>
          </w:p>
        </w:tc>
      </w:tr>
      <w:tr>
        <w:tc>
          <w:tcPr>
            <w:tcW w:type="dxa" w:w="3000"/>
          </w:tcPr>
          <w:p>
            <w:r>
              <w:rPr>
                <w:b w:val="false"/>
                <w:bCs w:val="false"/>
                <w:sz w:val="20"/>
                <w:szCs w:val="20"/>
              </w:rPr>
              <w:t xml:space="preserve">Co-morbidities</w:t>
            </w:r>
          </w:p>
        </w:tc>
        <w:tc>
          <w:tcPr>
            <w:tcW w:type="dxa" w:w="1500"/>
          </w:tcPr>
          <w:p>
            <w:r>
              <w:rPr>
                <w:b w:val="false"/>
                <w:bCs w:val="false"/>
                <w:sz w:val="20"/>
                <w:szCs w:val="20"/>
              </w:rPr>
              <w:t xml:space="preserve">Free text / multi-select</w:t>
            </w:r>
          </w:p>
        </w:tc>
        <w:tc>
          <w:tcPr>
            <w:tcW w:type="dxa" w:w="2960"/>
          </w:tcPr>
          <w:p>
            <w:r>
              <w:rPr>
                <w:b w:val="false"/>
                <w:bCs w:val="false"/>
                <w:sz w:val="20"/>
                <w:szCs w:val="20"/>
              </w:rPr>
              <w:t xml:space="preserve">Free text list; recommended controlled vocabulary: Diabetes Mellitus, Thyroid Disease, Rheumatoid/Inflammatory Arthritis, Cardiac Disease, Renal Disease, Osteoporosis, Malignancy (specify), None</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Medication History</w:t>
            </w:r>
          </w:p>
        </w:tc>
        <w:tc>
          <w:tcPr>
            <w:tcW w:type="dxa" w:w="1500"/>
          </w:tcPr>
          <w:p>
            <w:r>
              <w:rPr>
                <w:b w:val="false"/>
                <w:bCs w:val="false"/>
                <w:sz w:val="20"/>
                <w:szCs w:val="20"/>
              </w:rPr>
              <w:t xml:space="preserve">Free text</w:t>
            </w:r>
          </w:p>
        </w:tc>
        <w:tc>
          <w:tcPr>
            <w:tcW w:type="dxa" w:w="2960"/>
          </w:tcPr>
          <w:p>
            <w:r>
              <w:rPr>
                <w:b w:val="false"/>
                <w:bCs w:val="false"/>
                <w:sz w:val="20"/>
                <w:szCs w:val="20"/>
              </w:rPr>
              <w:t xml:space="preserve">Free text; anticoagulants/antiplatelets and corticosteroids should always be explicitly flagged if present (see Section 9)</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Occupation</w:t>
            </w:r>
          </w:p>
        </w:tc>
        <w:tc>
          <w:tcPr>
            <w:tcW w:type="dxa" w:w="1500"/>
          </w:tcPr>
          <w:p>
            <w:r>
              <w:rPr>
                <w:b w:val="false"/>
                <w:bCs w:val="false"/>
                <w:sz w:val="20"/>
                <w:szCs w:val="20"/>
              </w:rPr>
              <w:t xml:space="preserve">Free text</w:t>
            </w:r>
          </w:p>
        </w:tc>
        <w:tc>
          <w:tcPr>
            <w:tcW w:type="dxa" w:w="2960"/>
          </w:tcPr>
          <w:p>
            <w:r>
              <w:rPr>
                <w:b w:val="false"/>
                <w:bCs w:val="false"/>
                <w:sz w:val="20"/>
                <w:szCs w:val="20"/>
              </w:rPr>
              <w:t xml:space="preserve">Free text; overhead-demand occupations should be flagged (relevant to S01, S03, S11, S14)</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Activity Level</w:t>
            </w:r>
          </w:p>
        </w:tc>
        <w:tc>
          <w:tcPr>
            <w:tcW w:type="dxa" w:w="1500"/>
          </w:tcPr>
          <w:p>
            <w:r>
              <w:rPr>
                <w:b w:val="false"/>
                <w:bCs w:val="false"/>
                <w:sz w:val="20"/>
                <w:szCs w:val="20"/>
              </w:rPr>
              <w:t xml:space="preserve">Categorical</w:t>
            </w:r>
          </w:p>
        </w:tc>
        <w:tc>
          <w:tcPr>
            <w:tcW w:type="dxa" w:w="2960"/>
          </w:tcPr>
          <w:p>
            <w:r>
              <w:rPr>
                <w:b w:val="false"/>
                <w:bCs w:val="false"/>
                <w:sz w:val="20"/>
                <w:szCs w:val="20"/>
              </w:rPr>
              <w:t xml:space="preserve">Sedentary / Light / Moderate / Vigorous / Competitive Athlete</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Condition</w:t>
            </w:r>
          </w:p>
        </w:tc>
        <w:tc>
          <w:tcPr>
            <w:tcW w:type="dxa" w:w="1500"/>
          </w:tcPr>
          <w:p>
            <w:r>
              <w:rPr>
                <w:b w:val="false"/>
                <w:bCs w:val="false"/>
                <w:sz w:val="20"/>
                <w:szCs w:val="20"/>
              </w:rPr>
              <w:t xml:space="preserve">Categorical (controlled vocabulary)</w:t>
            </w:r>
          </w:p>
        </w:tc>
        <w:tc>
          <w:tcPr>
            <w:tcW w:type="dxa" w:w="2960"/>
          </w:tcPr>
          <w:p>
            <w:r>
              <w:rPr>
                <w:b w:val="false"/>
                <w:bCs w:val="false"/>
                <w:sz w:val="20"/>
                <w:szCs w:val="20"/>
              </w:rPr>
              <w:t xml:space="preserve">Must match the Diagnosis field of the source case, drawn from the Condition Master List</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Presenting Symptoms</w:t>
            </w:r>
          </w:p>
        </w:tc>
        <w:tc>
          <w:tcPr>
            <w:tcW w:type="dxa" w:w="1500"/>
          </w:tcPr>
          <w:p>
            <w:r>
              <w:rPr>
                <w:b w:val="false"/>
                <w:bCs w:val="false"/>
                <w:sz w:val="20"/>
                <w:szCs w:val="20"/>
              </w:rPr>
              <w:t xml:space="preserve">Free text</w:t>
            </w:r>
          </w:p>
        </w:tc>
        <w:tc>
          <w:tcPr>
            <w:tcW w:type="dxa" w:w="2960"/>
          </w:tcPr>
          <w:p>
            <w:r>
              <w:rPr>
                <w:b w:val="false"/>
                <w:bCs w:val="false"/>
                <w:sz w:val="20"/>
                <w:szCs w:val="20"/>
              </w:rPr>
              <w:t xml:space="preserve">Free text summary</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Clinical Findings</w:t>
            </w:r>
          </w:p>
        </w:tc>
        <w:tc>
          <w:tcPr>
            <w:tcW w:type="dxa" w:w="1500"/>
          </w:tcPr>
          <w:p>
            <w:r>
              <w:rPr>
                <w:b w:val="false"/>
                <w:bCs w:val="false"/>
                <w:sz w:val="20"/>
                <w:szCs w:val="20"/>
              </w:rPr>
              <w:t xml:space="preserve">Free text</w:t>
            </w:r>
          </w:p>
        </w:tc>
        <w:tc>
          <w:tcPr>
            <w:tcW w:type="dxa" w:w="2960"/>
          </w:tcPr>
          <w:p>
            <w:r>
              <w:rPr>
                <w:b w:val="false"/>
                <w:bCs w:val="false"/>
                <w:sz w:val="20"/>
                <w:szCs w:val="20"/>
              </w:rPr>
              <w:t xml:space="preserve">Free text summary of key positive examination findings</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Initial AI Decision Pathway</w:t>
            </w:r>
          </w:p>
        </w:tc>
        <w:tc>
          <w:tcPr>
            <w:tcW w:type="dxa" w:w="1500"/>
          </w:tcPr>
          <w:p>
            <w:r>
              <w:rPr>
                <w:b w:val="false"/>
                <w:bCs w:val="false"/>
                <w:sz w:val="20"/>
                <w:szCs w:val="20"/>
              </w:rPr>
              <w:t xml:space="preserve">Free text / structured log</w:t>
            </w:r>
          </w:p>
        </w:tc>
        <w:tc>
          <w:tcPr>
            <w:tcW w:type="dxa" w:w="2960"/>
          </w:tcPr>
          <w:p>
            <w:r>
              <w:rPr>
                <w:b w:val="false"/>
                <w:bCs w:val="false"/>
                <w:sz w:val="20"/>
                <w:szCs w:val="20"/>
              </w:rPr>
              <w:t xml:space="preserve">The routing/DDX/PHASE/PROTO rule path the engine initially followed for this case</w:t>
            </w:r>
          </w:p>
        </w:tc>
        <w:tc>
          <w:tcPr>
            <w:tcW w:type="dxa" w:w="1900"/>
          </w:tcPr>
          <w:p>
            <w:r>
              <w:rPr>
                <w:b w:val="false"/>
                <w:bCs w:val="false"/>
                <w:sz w:val="20"/>
                <w:szCs w:val="20"/>
              </w:rPr>
              <w:t xml:space="preserve">Blinded from reviewers 1 and 2 during the Simulation Validation Layer's review stage — see the Simulation Validation Layer Requirements document.</w:t>
            </w:r>
          </w:p>
        </w:tc>
      </w:tr>
      <w:tr>
        <w:tc>
          <w:tcPr>
            <w:tcW w:type="dxa" w:w="3000"/>
          </w:tcPr>
          <w:p>
            <w:r>
              <w:rPr>
                <w:b w:val="false"/>
                <w:bCs w:val="false"/>
                <w:sz w:val="20"/>
                <w:szCs w:val="20"/>
              </w:rPr>
              <w:t xml:space="preserve">Wrong Action Taken</w:t>
            </w:r>
          </w:p>
        </w:tc>
        <w:tc>
          <w:tcPr>
            <w:tcW w:type="dxa" w:w="1500"/>
          </w:tcPr>
          <w:p>
            <w:r>
              <w:rPr>
                <w:b w:val="false"/>
                <w:bCs w:val="false"/>
                <w:sz w:val="20"/>
                <w:szCs w:val="20"/>
              </w:rPr>
              <w:t xml:space="preserve">Free text</w:t>
            </w:r>
          </w:p>
        </w:tc>
        <w:tc>
          <w:tcPr>
            <w:tcW w:type="dxa" w:w="2960"/>
          </w:tcPr>
          <w:p>
            <w:r>
              <w:rPr>
                <w:b w:val="false"/>
                <w:bCs w:val="false"/>
                <w:sz w:val="20"/>
                <w:szCs w:val="20"/>
              </w:rPr>
              <w:t xml:space="preserve">Free text description of the erroneous action, or "None" if the initial pathway was correct</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Error Severity</w:t>
            </w:r>
          </w:p>
        </w:tc>
        <w:tc>
          <w:tcPr>
            <w:tcW w:type="dxa" w:w="1500"/>
          </w:tcPr>
          <w:p>
            <w:r>
              <w:rPr>
                <w:b w:val="false"/>
                <w:bCs w:val="false"/>
                <w:sz w:val="20"/>
                <w:szCs w:val="20"/>
              </w:rPr>
              <w:t xml:space="preserve">Categorical</w:t>
            </w:r>
          </w:p>
        </w:tc>
        <w:tc>
          <w:tcPr>
            <w:tcW w:type="dxa" w:w="2960"/>
          </w:tcPr>
          <w:p>
            <w:r>
              <w:rPr>
                <w:b w:val="false"/>
                <w:bCs w:val="false"/>
                <w:sz w:val="20"/>
                <w:szCs w:val="20"/>
              </w:rPr>
              <w:t xml:space="preserve">None / Minor / Moderate / Major / Critical (safety-relevant)</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Error Source</w:t>
            </w:r>
          </w:p>
        </w:tc>
        <w:tc>
          <w:tcPr>
            <w:tcW w:type="dxa" w:w="1500"/>
          </w:tcPr>
          <w:p>
            <w:r>
              <w:rPr>
                <w:b w:val="false"/>
                <w:bCs w:val="false"/>
                <w:sz w:val="20"/>
                <w:szCs w:val="20"/>
              </w:rPr>
              <w:t xml:space="preserve">Categorical</w:t>
            </w:r>
          </w:p>
        </w:tc>
        <w:tc>
          <w:tcPr>
            <w:tcW w:type="dxa" w:w="2960"/>
          </w:tcPr>
          <w:p>
            <w:r>
              <w:rPr>
                <w:b w:val="false"/>
                <w:bCs w:val="false"/>
                <w:sz w:val="20"/>
                <w:szCs w:val="20"/>
              </w:rPr>
              <w:t xml:space="preserve">Data entry / Rule logic gap / Missing field / Ambiguous case / Reviewer disagreement / Not applicable</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Correction Effectiveness</w:t>
            </w:r>
          </w:p>
        </w:tc>
        <w:tc>
          <w:tcPr>
            <w:tcW w:type="dxa" w:w="1500"/>
          </w:tcPr>
          <w:p>
            <w:r>
              <w:rPr>
                <w:b w:val="false"/>
                <w:bCs w:val="false"/>
                <w:sz w:val="20"/>
                <w:szCs w:val="20"/>
              </w:rPr>
              <w:t xml:space="preserve">Categorical</w:t>
            </w:r>
          </w:p>
        </w:tc>
        <w:tc>
          <w:tcPr>
            <w:tcW w:type="dxa" w:w="2960"/>
          </w:tcPr>
          <w:p>
            <w:r>
              <w:rPr>
                <w:b w:val="false"/>
                <w:bCs w:val="false"/>
                <w:sz w:val="20"/>
                <w:szCs w:val="20"/>
              </w:rPr>
              <w:t xml:space="preserve">Fully effective / Partially effective / Not yet evaluated / Not applicable</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Correct Decision (Gold Standard)</w:t>
            </w:r>
          </w:p>
        </w:tc>
        <w:tc>
          <w:tcPr>
            <w:tcW w:type="dxa" w:w="1500"/>
          </w:tcPr>
          <w:p>
            <w:r>
              <w:rPr>
                <w:b w:val="false"/>
                <w:bCs w:val="false"/>
                <w:sz w:val="20"/>
                <w:szCs w:val="20"/>
              </w:rPr>
              <w:t xml:space="preserve">Free text</w:t>
            </w:r>
          </w:p>
        </w:tc>
        <w:tc>
          <w:tcPr>
            <w:tcW w:type="dxa" w:w="2960"/>
          </w:tcPr>
          <w:p>
            <w:r>
              <w:rPr>
                <w:b w:val="false"/>
                <w:bCs w:val="false"/>
                <w:sz w:val="20"/>
                <w:szCs w:val="20"/>
              </w:rPr>
              <w:t xml:space="preserve">Free text, agreed by blinded double-review (see Simulation Validation Layer Requirements)</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Validation</w:t>
            </w:r>
          </w:p>
        </w:tc>
        <w:tc>
          <w:tcPr>
            <w:tcW w:type="dxa" w:w="1500"/>
          </w:tcPr>
          <w:p>
            <w:r>
              <w:rPr>
                <w:b w:val="false"/>
                <w:bCs w:val="false"/>
                <w:sz w:val="20"/>
                <w:szCs w:val="20"/>
              </w:rPr>
              <w:t xml:space="preserve">Categorical</w:t>
            </w:r>
          </w:p>
        </w:tc>
        <w:tc>
          <w:tcPr>
            <w:tcW w:type="dxa" w:w="2960"/>
          </w:tcPr>
          <w:p>
            <w:r>
              <w:rPr>
                <w:b w:val="false"/>
                <w:bCs w:val="false"/>
                <w:sz w:val="20"/>
                <w:szCs w:val="20"/>
              </w:rPr>
              <w:t xml:space="preserve">Accepted / Under Review / Adjudicated (3rd reviewer) / Rejected</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Error Classification</w:t>
            </w:r>
          </w:p>
        </w:tc>
        <w:tc>
          <w:tcPr>
            <w:tcW w:type="dxa" w:w="1500"/>
          </w:tcPr>
          <w:p>
            <w:r>
              <w:rPr>
                <w:b w:val="false"/>
                <w:bCs w:val="false"/>
                <w:sz w:val="20"/>
                <w:szCs w:val="20"/>
              </w:rPr>
              <w:t xml:space="preserve">Categorical</w:t>
            </w:r>
          </w:p>
        </w:tc>
        <w:tc>
          <w:tcPr>
            <w:tcW w:type="dxa" w:w="2960"/>
          </w:tcPr>
          <w:p>
            <w:r>
              <w:rPr>
                <w:b w:val="false"/>
                <w:bCs w:val="false"/>
                <w:sz w:val="20"/>
                <w:szCs w:val="20"/>
              </w:rPr>
              <w:t xml:space="preserve">None / Diagnostic / Phase-Gating / Protocol-Selection / Red-Flag-Miss / Documentation</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Severity / Impact of Error</w:t>
            </w:r>
          </w:p>
        </w:tc>
        <w:tc>
          <w:tcPr>
            <w:tcW w:type="dxa" w:w="1500"/>
          </w:tcPr>
          <w:p>
            <w:r>
              <w:rPr>
                <w:b w:val="false"/>
                <w:bCs w:val="false"/>
                <w:sz w:val="20"/>
                <w:szCs w:val="20"/>
              </w:rPr>
              <w:t xml:space="preserve">Categorical</w:t>
            </w:r>
          </w:p>
        </w:tc>
        <w:tc>
          <w:tcPr>
            <w:tcW w:type="dxa" w:w="2960"/>
          </w:tcPr>
          <w:p>
            <w:r>
              <w:rPr>
                <w:b w:val="false"/>
                <w:bCs w:val="false"/>
                <w:sz w:val="20"/>
                <w:szCs w:val="20"/>
              </w:rPr>
              <w:t xml:space="preserve">None / Low / Moderate / High / Critical</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Cognitive Error Type</w:t>
            </w:r>
          </w:p>
        </w:tc>
        <w:tc>
          <w:tcPr>
            <w:tcW w:type="dxa" w:w="1500"/>
          </w:tcPr>
          <w:p>
            <w:r>
              <w:rPr>
                <w:b w:val="false"/>
                <w:bCs w:val="false"/>
                <w:sz w:val="20"/>
                <w:szCs w:val="20"/>
              </w:rPr>
              <w:t xml:space="preserve">Categorical</w:t>
            </w:r>
          </w:p>
        </w:tc>
        <w:tc>
          <w:tcPr>
            <w:tcW w:type="dxa" w:w="2960"/>
          </w:tcPr>
          <w:p>
            <w:r>
              <w:rPr>
                <w:b w:val="false"/>
                <w:bCs w:val="false"/>
                <w:sz w:val="20"/>
                <w:szCs w:val="20"/>
              </w:rPr>
              <w:t xml:space="preserve">Not applicable / Anchoring / Premature closure / Availability bias / Confirmation bias / Base-rate neglect / Other (specify)</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Contextual Factors</w:t>
            </w:r>
          </w:p>
        </w:tc>
        <w:tc>
          <w:tcPr>
            <w:tcW w:type="dxa" w:w="1500"/>
          </w:tcPr>
          <w:p>
            <w:r>
              <w:rPr>
                <w:b w:val="false"/>
                <w:bCs w:val="false"/>
                <w:sz w:val="20"/>
                <w:szCs w:val="20"/>
              </w:rPr>
              <w:t xml:space="preserve">Free text</w:t>
            </w:r>
          </w:p>
        </w:tc>
        <w:tc>
          <w:tcPr>
            <w:tcW w:type="dxa" w:w="2960"/>
          </w:tcPr>
          <w:p>
            <w:r>
              <w:rPr>
                <w:b w:val="false"/>
                <w:bCs w:val="false"/>
                <w:sz w:val="20"/>
                <w:szCs w:val="20"/>
              </w:rPr>
              <w:t xml:space="preserve">Free text; never includes blocked-category personal details per this workbook's data-governance policy</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Reflective Analysis</w:t>
            </w:r>
          </w:p>
        </w:tc>
        <w:tc>
          <w:tcPr>
            <w:tcW w:type="dxa" w:w="1500"/>
          </w:tcPr>
          <w:p>
            <w:r>
              <w:rPr>
                <w:b w:val="false"/>
                <w:bCs w:val="false"/>
                <w:sz w:val="20"/>
                <w:szCs w:val="20"/>
              </w:rPr>
              <w:t xml:space="preserve">Free text</w:t>
            </w:r>
          </w:p>
        </w:tc>
        <w:tc>
          <w:tcPr>
            <w:tcW w:type="dxa" w:w="2960"/>
          </w:tcPr>
          <w:p>
            <w:r>
              <w:rPr>
                <w:b w:val="false"/>
                <w:bCs w:val="false"/>
                <w:sz w:val="20"/>
                <w:szCs w:val="20"/>
              </w:rPr>
              <w:t xml:space="preserve">Free text</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Extracted Lesson / Principle</w:t>
            </w:r>
          </w:p>
        </w:tc>
        <w:tc>
          <w:tcPr>
            <w:tcW w:type="dxa" w:w="1500"/>
          </w:tcPr>
          <w:p>
            <w:r>
              <w:rPr>
                <w:b w:val="false"/>
                <w:bCs w:val="false"/>
                <w:sz w:val="20"/>
                <w:szCs w:val="20"/>
              </w:rPr>
              <w:t xml:space="preserve">Free text</w:t>
            </w:r>
          </w:p>
        </w:tc>
        <w:tc>
          <w:tcPr>
            <w:tcW w:type="dxa" w:w="2960"/>
          </w:tcPr>
          <w:p>
            <w:r>
              <w:rPr>
                <w:b w:val="false"/>
                <w:bCs w:val="false"/>
                <w:sz w:val="20"/>
                <w:szCs w:val="20"/>
              </w:rPr>
              <w:t xml:space="preserve">Free text, written as a generalisable rule statement</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Corrective Prompt / Rule Update</w:t>
            </w:r>
          </w:p>
        </w:tc>
        <w:tc>
          <w:tcPr>
            <w:tcW w:type="dxa" w:w="1500"/>
          </w:tcPr>
          <w:p>
            <w:r>
              <w:rPr>
                <w:b w:val="false"/>
                <w:bCs w:val="false"/>
                <w:sz w:val="20"/>
                <w:szCs w:val="20"/>
              </w:rPr>
              <w:t xml:space="preserve">Free text</w:t>
            </w:r>
          </w:p>
        </w:tc>
        <w:tc>
          <w:tcPr>
            <w:tcW w:type="dxa" w:w="2960"/>
          </w:tcPr>
          <w:p>
            <w:r>
              <w:rPr>
                <w:b w:val="false"/>
                <w:bCs w:val="false"/>
                <w:sz w:val="20"/>
                <w:szCs w:val="20"/>
              </w:rPr>
              <w:t xml:space="preserve">Free text; if promoted, must reference the affected rule ID in Shoulder_CDSS_Field_Rule_Logic_Library.xlsx</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Confidence Score on Lesson</w:t>
            </w:r>
          </w:p>
        </w:tc>
        <w:tc>
          <w:tcPr>
            <w:tcW w:type="dxa" w:w="1500"/>
          </w:tcPr>
          <w:p>
            <w:r>
              <w:rPr>
                <w:b w:val="false"/>
                <w:bCs w:val="false"/>
                <w:sz w:val="20"/>
                <w:szCs w:val="20"/>
              </w:rPr>
              <w:t xml:space="preserve">Numeric (percentage)</w:t>
            </w:r>
          </w:p>
        </w:tc>
        <w:tc>
          <w:tcPr>
            <w:tcW w:type="dxa" w:w="2960"/>
          </w:tcPr>
          <w:p>
            <w:r>
              <w:rPr>
                <w:b w:val="false"/>
                <w:bCs w:val="false"/>
                <w:sz w:val="20"/>
                <w:szCs w:val="20"/>
              </w:rPr>
              <w:t xml:space="preserve">0-100</w:t>
            </w:r>
          </w:p>
        </w:tc>
        <w:tc>
          <w:tcPr>
            <w:tcW w:type="dxa" w:w="1900"/>
          </w:tcPr>
          <w:p>
            <w:r>
              <w:rPr>
                <w:b w:val="false"/>
                <w:bCs w:val="false"/>
                <w:sz w:val="20"/>
                <w:szCs w:val="20"/>
              </w:rPr>
              <w:t xml:space="preserve">See Simulation Validation Layer Requirements for the promotion threshold.</w:t>
            </w:r>
          </w:p>
        </w:tc>
      </w:tr>
      <w:tr>
        <w:tc>
          <w:tcPr>
            <w:tcW w:type="dxa" w:w="3000"/>
          </w:tcPr>
          <w:p>
            <w:r>
              <w:rPr>
                <w:b w:val="false"/>
                <w:bCs w:val="false"/>
                <w:sz w:val="20"/>
                <w:szCs w:val="20"/>
              </w:rPr>
              <w:t xml:space="preserve">Retrieval &amp; Indexing Tags</w:t>
            </w:r>
          </w:p>
        </w:tc>
        <w:tc>
          <w:tcPr>
            <w:tcW w:type="dxa" w:w="1500"/>
          </w:tcPr>
          <w:p>
            <w:r>
              <w:rPr>
                <w:b w:val="false"/>
                <w:bCs w:val="false"/>
                <w:sz w:val="20"/>
                <w:szCs w:val="20"/>
              </w:rPr>
              <w:t xml:space="preserve">Free text (tag list)</w:t>
            </w:r>
          </w:p>
        </w:tc>
        <w:tc>
          <w:tcPr>
            <w:tcW w:type="dxa" w:w="2960"/>
          </w:tcPr>
          <w:p>
            <w:r>
              <w:rPr>
                <w:b w:val="false"/>
                <w:bCs w:val="false"/>
                <w:sz w:val="20"/>
                <w:szCs w:val="20"/>
              </w:rPr>
              <w:t xml:space="preserve">Comma-separated tags</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Follow-up Actions</w:t>
            </w:r>
          </w:p>
        </w:tc>
        <w:tc>
          <w:tcPr>
            <w:tcW w:type="dxa" w:w="1500"/>
          </w:tcPr>
          <w:p>
            <w:r>
              <w:rPr>
                <w:b w:val="false"/>
                <w:bCs w:val="false"/>
                <w:sz w:val="20"/>
                <w:szCs w:val="20"/>
              </w:rPr>
              <w:t xml:space="preserve">Free text</w:t>
            </w:r>
          </w:p>
        </w:tc>
        <w:tc>
          <w:tcPr>
            <w:tcW w:type="dxa" w:w="2960"/>
          </w:tcPr>
          <w:p>
            <w:r>
              <w:rPr>
                <w:b w:val="false"/>
                <w:bCs w:val="false"/>
                <w:sz w:val="20"/>
                <w:szCs w:val="20"/>
              </w:rPr>
              <w:t xml:space="preserve">Free text</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Outcome After Correction</w:t>
            </w:r>
          </w:p>
        </w:tc>
        <w:tc>
          <w:tcPr>
            <w:tcW w:type="dxa" w:w="1500"/>
          </w:tcPr>
          <w:p>
            <w:r>
              <w:rPr>
                <w:b w:val="false"/>
                <w:bCs w:val="false"/>
                <w:sz w:val="20"/>
                <w:szCs w:val="20"/>
              </w:rPr>
              <w:t xml:space="preserve">Free text</w:t>
            </w:r>
          </w:p>
        </w:tc>
        <w:tc>
          <w:tcPr>
            <w:tcW w:type="dxa" w:w="2960"/>
          </w:tcPr>
          <w:p>
            <w:r>
              <w:rPr>
                <w:b w:val="false"/>
                <w:bCs w:val="false"/>
                <w:sz w:val="20"/>
                <w:szCs w:val="20"/>
              </w:rPr>
              <w:t xml:space="preserve">Free text</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Timestamp Last Updated</w:t>
            </w:r>
          </w:p>
        </w:tc>
        <w:tc>
          <w:tcPr>
            <w:tcW w:type="dxa" w:w="1500"/>
          </w:tcPr>
          <w:p>
            <w:r>
              <w:rPr>
                <w:b w:val="false"/>
                <w:bCs w:val="false"/>
                <w:sz w:val="20"/>
                <w:szCs w:val="20"/>
              </w:rPr>
              <w:t xml:space="preserve">Date-time</w:t>
            </w:r>
          </w:p>
        </w:tc>
        <w:tc>
          <w:tcPr>
            <w:tcW w:type="dxa" w:w="2960"/>
          </w:tcPr>
          <w:p>
            <w:r>
              <w:rPr>
                <w:b w:val="false"/>
                <w:bCs w:val="false"/>
                <w:sz w:val="20"/>
                <w:szCs w:val="20"/>
              </w:rPr>
              <w:t xml:space="preserve">ISO 8601 (YYYY-MM-DD hh:mm)</w:t>
            </w:r>
          </w:p>
        </w:tc>
        <w:tc>
          <w:tcPr>
            <w:tcW w:type="dxa" w:w="1900"/>
          </w:tcPr>
          <w:p>
            <w:r>
              <w:rPr>
                <w:b w:val="false"/>
                <w:bCs w:val="false"/>
                <w:sz w:val="20"/>
                <w:szCs w:val="20"/>
              </w:rPr>
              <w:t xml:space="preserve">-</w:t>
            </w:r>
          </w:p>
        </w:tc>
      </w:tr>
    </w:tbl>
    <w:p>
      <w:pPr>
        <w:pStyle w:val="Heading1"/>
      </w:pPr>
      <w:r>
        <w:t xml:space="preserve">5. Data-Type Specification — Protocol</w:t>
      </w:r>
    </w:p>
    <w:p>
      <w:pPr>
        <w:spacing w:after="120"/>
      </w:pPr>
      <w:r>
        <w:rPr>
          <w:b w:val="false"/>
          <w:bCs w:val="false"/>
          <w:i w:val="false"/>
          <w:iCs w:val="false"/>
        </w:rPr>
        <w:t xml:space="preserve">21 fields. Column F (grading/staging) is this group's own scale: Scapular Dyskinesis Test 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960"/>
        <w:gridCol w:w="1900"/>
      </w:tblGrid>
      <w:tr>
        <w:trPr>
          <w:tblHeader/>
        </w:trPr>
        <w:tc>
          <w:tcPr>
            <w:tcW w:type="dxa" w:w="3000"/>
            <w:shd w:fill="2F5597" w:color="auto" w:val="clear"/>
          </w:tcPr>
          <w:p>
            <w:r>
              <w:rPr>
                <w:b/>
                <w:bCs/>
                <w:color w:val="FFFFFF"/>
                <w:sz w:val="20"/>
                <w:szCs w:val="20"/>
              </w:rPr>
              <w:t xml:space="preserve">Field</w:t>
            </w:r>
          </w:p>
        </w:tc>
        <w:tc>
          <w:tcPr>
            <w:tcW w:type="dxa" w:w="1500"/>
            <w:shd w:fill="2F5597" w:color="auto" w:val="clear"/>
          </w:tcPr>
          <w:p>
            <w:r>
              <w:rPr>
                <w:b/>
                <w:bCs/>
                <w:color w:val="FFFFFF"/>
                <w:sz w:val="20"/>
                <w:szCs w:val="20"/>
              </w:rPr>
              <w:t xml:space="preserve">Data Type</w:t>
            </w:r>
          </w:p>
        </w:tc>
        <w:tc>
          <w:tcPr>
            <w:tcW w:type="dxa" w:w="2960"/>
            <w:shd w:fill="2F5597" w:color="auto" w:val="clear"/>
          </w:tcPr>
          <w:p>
            <w:r>
              <w:rPr>
                <w:b/>
                <w:bCs/>
                <w:color w:val="FFFFFF"/>
                <w:sz w:val="20"/>
                <w:szCs w:val="20"/>
              </w:rPr>
              <w:t xml:space="preserve">Valid Range / Values</w:t>
            </w:r>
          </w:p>
        </w:tc>
        <w:tc>
          <w:tcPr>
            <w:tcW w:type="dxa" w:w="1900"/>
            <w:shd w:fill="2F5597" w:color="auto" w:val="clear"/>
          </w:tcPr>
          <w:p>
            <w:r>
              <w:rPr>
                <w:b/>
                <w:bCs/>
                <w:color w:val="FFFFFF"/>
                <w:sz w:val="20"/>
                <w:szCs w:val="20"/>
              </w:rPr>
              <w:t xml:space="preserve">Notes</w:t>
            </w:r>
          </w:p>
        </w:tc>
      </w:tr>
      <w:tr>
        <w:tc>
          <w:tcPr>
            <w:tcW w:type="dxa" w:w="3000"/>
          </w:tcPr>
          <w:p>
            <w:r>
              <w:rPr>
                <w:b w:val="false"/>
                <w:bCs w:val="false"/>
                <w:sz w:val="20"/>
                <w:szCs w:val="20"/>
              </w:rPr>
              <w:t xml:space="preserve">Protocol ID</w:t>
            </w:r>
          </w:p>
        </w:tc>
        <w:tc>
          <w:tcPr>
            <w:tcW w:type="dxa" w:w="1500"/>
          </w:tcPr>
          <w:p>
            <w:r>
              <w:rPr>
                <w:b w:val="false"/>
                <w:bCs w:val="false"/>
                <w:sz w:val="20"/>
                <w:szCs w:val="20"/>
              </w:rPr>
              <w:t xml:space="preserve">Text (unique identifier)</w:t>
            </w:r>
          </w:p>
        </w:tc>
        <w:tc>
          <w:tcPr>
            <w:tcW w:type="dxa" w:w="2960"/>
          </w:tcPr>
          <w:p>
            <w:r>
              <w:rPr>
                <w:b w:val="false"/>
                <w:bCs w:val="false"/>
                <w:sz w:val="20"/>
                <w:szCs w:val="20"/>
              </w:rPr>
              <w:t xml:space="preserve">Free text, unique within the workbook, recommended format &lt;GroupID&gt;-P-&lt;sequence&gt;</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Exercise category/Modality Name</w:t>
            </w:r>
          </w:p>
        </w:tc>
        <w:tc>
          <w:tcPr>
            <w:tcW w:type="dxa" w:w="1500"/>
          </w:tcPr>
          <w:p>
            <w:r>
              <w:rPr>
                <w:b w:val="false"/>
                <w:bCs w:val="false"/>
                <w:sz w:val="20"/>
                <w:szCs w:val="20"/>
              </w:rPr>
              <w:t xml:space="preserve">Categorical</w:t>
            </w:r>
          </w:p>
        </w:tc>
        <w:tc>
          <w:tcPr>
            <w:tcW w:type="dxa" w:w="2960"/>
          </w:tcPr>
          <w:p>
            <w:r>
              <w:rPr>
                <w:b w:val="false"/>
                <w:bCs w:val="false"/>
                <w:sz w:val="20"/>
                <w:szCs w:val="20"/>
              </w:rPr>
              <w:t xml:space="preserve">Range of Motion / Strengthening / Manual Therapy / Modality (heat/ice/TENS) / Neuromuscular Control / Functional / Patient Education / Referral-Only (Phase 1 halt groups)</w:t>
            </w:r>
          </w:p>
        </w:tc>
        <w:tc>
          <w:tcPr>
            <w:tcW w:type="dxa" w:w="1900"/>
          </w:tcPr>
          <w:p>
            <w:r>
              <w:rPr>
                <w:b w:val="false"/>
                <w:bCs w:val="false"/>
                <w:sz w:val="20"/>
                <w:szCs w:val="20"/>
              </w:rPr>
              <w:t xml:space="preserve">"Patient Education" added 2026-09-29 alongside the S01 Golden Dataset build — the original 7-value enumeration had no category for education-only rows (activity modification, posture, pain self-management counselling), which are a legitimate, distinct protocol-row type.</w:t>
            </w:r>
          </w:p>
        </w:tc>
      </w:tr>
      <w:tr>
        <w:tc>
          <w:tcPr>
            <w:tcW w:type="dxa" w:w="3000"/>
          </w:tcPr>
          <w:p>
            <w:r>
              <w:rPr>
                <w:b w:val="false"/>
                <w:bCs w:val="false"/>
                <w:sz w:val="20"/>
                <w:szCs w:val="20"/>
              </w:rPr>
              <w:t xml:space="preserve">Delivery Mode</w:t>
            </w:r>
          </w:p>
        </w:tc>
        <w:tc>
          <w:tcPr>
            <w:tcW w:type="dxa" w:w="1500"/>
          </w:tcPr>
          <w:p>
            <w:r>
              <w:rPr>
                <w:b w:val="false"/>
                <w:bCs w:val="false"/>
                <w:sz w:val="20"/>
                <w:szCs w:val="20"/>
              </w:rPr>
              <w:t xml:space="preserve">Categorical</w:t>
            </w:r>
          </w:p>
        </w:tc>
        <w:tc>
          <w:tcPr>
            <w:tcW w:type="dxa" w:w="2960"/>
          </w:tcPr>
          <w:p>
            <w:r>
              <w:rPr>
                <w:b w:val="false"/>
                <w:bCs w:val="false"/>
                <w:sz w:val="20"/>
                <w:szCs w:val="20"/>
              </w:rPr>
              <w:t xml:space="preserve">In-person / Telehealth / Home Exercise Programme / Hybrid</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Age range</w:t>
            </w:r>
          </w:p>
        </w:tc>
        <w:tc>
          <w:tcPr>
            <w:tcW w:type="dxa" w:w="1500"/>
          </w:tcPr>
          <w:p>
            <w:r>
              <w:rPr>
                <w:b w:val="false"/>
                <w:bCs w:val="false"/>
                <w:sz w:val="20"/>
                <w:szCs w:val="20"/>
              </w:rPr>
              <w:t xml:space="preserve">Text (range)</w:t>
            </w:r>
          </w:p>
        </w:tc>
        <w:tc>
          <w:tcPr>
            <w:tcW w:type="dxa" w:w="2960"/>
          </w:tcPr>
          <w:p>
            <w:r>
              <w:rPr>
                <w:b w:val="false"/>
                <w:bCs w:val="false"/>
                <w:sz w:val="20"/>
                <w:szCs w:val="20"/>
              </w:rPr>
              <w:t xml:space="preserve">e.g. "18-65"; must be internally consistent (lower bound &lt;= upper bound) and should fall within the group's Typical Age Group band</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Diagnosis</w:t>
            </w:r>
          </w:p>
        </w:tc>
        <w:tc>
          <w:tcPr>
            <w:tcW w:type="dxa" w:w="1500"/>
          </w:tcPr>
          <w:p>
            <w:r>
              <w:rPr>
                <w:b w:val="false"/>
                <w:bCs w:val="false"/>
                <w:sz w:val="20"/>
                <w:szCs w:val="20"/>
              </w:rPr>
              <w:t xml:space="preserve">Categorical (controlled vocabulary)</w:t>
            </w:r>
          </w:p>
        </w:tc>
        <w:tc>
          <w:tcPr>
            <w:tcW w:type="dxa" w:w="2960"/>
          </w:tcPr>
          <w:p>
            <w:r>
              <w:rPr>
                <w:b w:val="false"/>
                <w:bCs w:val="false"/>
                <w:sz w:val="20"/>
                <w:szCs w:val="20"/>
              </w:rPr>
              <w:t xml:space="preserve">Must be one of the named conditions listed for this group in the Shoulder_CDSS_Condition_Master_List.csv</w:t>
            </w:r>
          </w:p>
        </w:tc>
        <w:tc>
          <w:tcPr>
            <w:tcW w:type="dxa" w:w="1900"/>
          </w:tcPr>
          <w:p>
            <w:r>
              <w:rPr>
                <w:b w:val="false"/>
                <w:bCs w:val="false"/>
                <w:sz w:val="20"/>
                <w:szCs w:val="20"/>
              </w:rPr>
              <w:t xml:space="preserve">Free-text "Other/Unclassified" routes the case to S18 workflow review.</w:t>
            </w:r>
          </w:p>
        </w:tc>
      </w:tr>
      <w:tr>
        <w:tc>
          <w:tcPr>
            <w:tcW w:type="dxa" w:w="3000"/>
          </w:tcPr>
          <w:p>
            <w:r>
              <w:rPr>
                <w:b w:val="false"/>
                <w:bCs w:val="false"/>
                <w:sz w:val="20"/>
                <w:szCs w:val="20"/>
              </w:rPr>
              <w:t xml:space="preserve">Scapular Dyskinesis Test Grade</w:t>
            </w:r>
          </w:p>
        </w:tc>
        <w:tc>
          <w:tcPr>
            <w:tcW w:type="dxa" w:w="1500"/>
          </w:tcPr>
          <w:p>
            <w:r>
              <w:rPr>
                <w:b w:val="false"/>
                <w:bCs w:val="false"/>
                <w:sz w:val="20"/>
                <w:szCs w:val="20"/>
              </w:rPr>
              <w:t xml:space="preserve">Categorical</w:t>
            </w:r>
          </w:p>
        </w:tc>
        <w:tc>
          <w:tcPr>
            <w:tcW w:type="dxa" w:w="2960"/>
          </w:tcPr>
          <w:p>
            <w:r>
              <w:rPr>
                <w:b w:val="false"/>
                <w:bCs w:val="false"/>
                <w:sz w:val="20"/>
                <w:szCs w:val="20"/>
              </w:rPr>
              <w:t xml:space="preserve">Normal / Dyskinesis Present (Subtle) / Dyskinesis Present (Obvious)</w:t>
            </w:r>
          </w:p>
        </w:tc>
        <w:tc>
          <w:tcPr>
            <w:tcW w:type="dxa" w:w="1900"/>
          </w:tcPr>
          <w:p>
            <w:r>
              <w:rPr>
                <w:b w:val="false"/>
                <w:bCs w:val="false"/>
                <w:sz w:val="20"/>
                <w:szCs w:val="20"/>
              </w:rPr>
              <w:t xml:space="preserve">Kibler visual observation grading.</w:t>
            </w:r>
          </w:p>
        </w:tc>
      </w:tr>
      <w:tr>
        <w:tc>
          <w:tcPr>
            <w:tcW w:type="dxa" w:w="3000"/>
          </w:tcPr>
          <w:p>
            <w:r>
              <w:rPr>
                <w:b w:val="false"/>
                <w:bCs w:val="false"/>
                <w:sz w:val="20"/>
                <w:szCs w:val="20"/>
              </w:rPr>
              <w:t xml:space="preserve">Rehab Phase</w:t>
            </w:r>
          </w:p>
        </w:tc>
        <w:tc>
          <w:tcPr>
            <w:tcW w:type="dxa" w:w="1500"/>
          </w:tcPr>
          <w:p>
            <w:r>
              <w:rPr>
                <w:b w:val="false"/>
                <w:bCs w:val="false"/>
                <w:sz w:val="20"/>
                <w:szCs w:val="20"/>
              </w:rPr>
              <w:t xml:space="preserve">Categorical</w:t>
            </w:r>
          </w:p>
        </w:tc>
        <w:tc>
          <w:tcPr>
            <w:tcW w:type="dxa" w:w="2960"/>
          </w:tcPr>
          <w:p>
            <w:r>
              <w:rPr>
                <w:b w:val="false"/>
                <w:bCs w:val="false"/>
                <w:sz w:val="20"/>
                <w:szCs w:val="20"/>
              </w:rPr>
              <w:t xml:space="preserve">Phase 1 / Phase 2 / Phase 3 / Phase 4</w:t>
            </w:r>
          </w:p>
        </w:tc>
        <w:tc>
          <w:tcPr>
            <w:tcW w:type="dxa" w:w="1900"/>
          </w:tcPr>
          <w:p>
            <w:r>
              <w:rPr>
                <w:b w:val="false"/>
                <w:bCs w:val="false"/>
                <w:sz w:val="20"/>
                <w:szCs w:val="20"/>
              </w:rPr>
              <w:t xml:space="preserve">Must match the values used in the MRL's Rehabilitation Phase field for this group.</w:t>
            </w:r>
          </w:p>
        </w:tc>
      </w:tr>
      <w:tr>
        <w:tc>
          <w:tcPr>
            <w:tcW w:type="dxa" w:w="3000"/>
          </w:tcPr>
          <w:p>
            <w:r>
              <w:rPr>
                <w:b w:val="false"/>
                <w:bCs w:val="false"/>
                <w:sz w:val="20"/>
                <w:szCs w:val="20"/>
              </w:rPr>
              <w:t xml:space="preserve">Target Muscle Group</w:t>
            </w:r>
          </w:p>
        </w:tc>
        <w:tc>
          <w:tcPr>
            <w:tcW w:type="dxa" w:w="1500"/>
          </w:tcPr>
          <w:p>
            <w:r>
              <w:rPr>
                <w:b w:val="false"/>
                <w:bCs w:val="false"/>
                <w:sz w:val="20"/>
                <w:szCs w:val="20"/>
              </w:rPr>
              <w:t xml:space="preserve">Free text / categorical</w:t>
            </w:r>
          </w:p>
        </w:tc>
        <w:tc>
          <w:tcPr>
            <w:tcW w:type="dxa" w:w="2960"/>
          </w:tcPr>
          <w:p>
            <w:r>
              <w:rPr>
                <w:b w:val="false"/>
                <w:bCs w:val="false"/>
                <w:sz w:val="20"/>
                <w:szCs w:val="20"/>
              </w:rPr>
              <w:t xml:space="preserve">Free text, recommended controlled vocabulary drawn from this group's exam-field muscle names (e.g. supraspinatus, deltoid, serratus anterior)</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Joint Focus</w:t>
            </w:r>
          </w:p>
        </w:tc>
        <w:tc>
          <w:tcPr>
            <w:tcW w:type="dxa" w:w="1500"/>
          </w:tcPr>
          <w:p>
            <w:r>
              <w:rPr>
                <w:b w:val="false"/>
                <w:bCs w:val="false"/>
                <w:sz w:val="20"/>
                <w:szCs w:val="20"/>
              </w:rPr>
              <w:t xml:space="preserve">Categorical</w:t>
            </w:r>
          </w:p>
        </w:tc>
        <w:tc>
          <w:tcPr>
            <w:tcW w:type="dxa" w:w="2960"/>
          </w:tcPr>
          <w:p>
            <w:r>
              <w:rPr>
                <w:b w:val="false"/>
                <w:bCs w:val="false"/>
                <w:sz w:val="20"/>
                <w:szCs w:val="20"/>
              </w:rPr>
              <w:t xml:space="preserve">Glenohumeral / Acromioclavicular / Sternoclavicular / Scapulothoracic / Combined</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Exercise Type</w:t>
            </w:r>
          </w:p>
        </w:tc>
        <w:tc>
          <w:tcPr>
            <w:tcW w:type="dxa" w:w="1500"/>
          </w:tcPr>
          <w:p>
            <w:r>
              <w:rPr>
                <w:b w:val="false"/>
                <w:bCs w:val="false"/>
                <w:sz w:val="20"/>
                <w:szCs w:val="20"/>
              </w:rPr>
              <w:t xml:space="preserve">Categorical</w:t>
            </w:r>
          </w:p>
        </w:tc>
        <w:tc>
          <w:tcPr>
            <w:tcW w:type="dxa" w:w="2960"/>
          </w:tcPr>
          <w:p>
            <w:r>
              <w:rPr>
                <w:b w:val="false"/>
                <w:bCs w:val="false"/>
                <w:sz w:val="20"/>
                <w:szCs w:val="20"/>
              </w:rPr>
              <w:t xml:space="preserve">Isometric / Isotonic (concentric) / Isotonic (eccentric) / Isokinetic / Plyometric / Stretching / Neuromuscular / Functional / Not applicable (referral-only)</w:t>
            </w:r>
          </w:p>
        </w:tc>
        <w:tc>
          <w:tcPr>
            <w:tcW w:type="dxa" w:w="1900"/>
          </w:tcPr>
          <w:p>
            <w:r>
              <w:rPr>
                <w:b w:val="false"/>
                <w:bCs w:val="false"/>
                <w:sz w:val="20"/>
                <w:szCs w:val="20"/>
              </w:rPr>
              <w:t xml:space="preserve">"Functional" added 2026-09-29 alongside the S01 Golden Dataset build — functional-task-training rows (overhead reach, interval throwing, return-to-work simulation) are not any of the original 7 mechanistic loading types.</w:t>
            </w:r>
          </w:p>
        </w:tc>
      </w:tr>
      <w:tr>
        <w:tc>
          <w:tcPr>
            <w:tcW w:type="dxa" w:w="3000"/>
          </w:tcPr>
          <w:p>
            <w:r>
              <w:rPr>
                <w:b w:val="false"/>
                <w:bCs w:val="false"/>
                <w:sz w:val="20"/>
                <w:szCs w:val="20"/>
              </w:rPr>
              <w:t xml:space="preserve">Exercise/modality name</w:t>
            </w:r>
          </w:p>
        </w:tc>
        <w:tc>
          <w:tcPr>
            <w:tcW w:type="dxa" w:w="1500"/>
          </w:tcPr>
          <w:p>
            <w:r>
              <w:rPr>
                <w:b w:val="false"/>
                <w:bCs w:val="false"/>
                <w:sz w:val="20"/>
                <w:szCs w:val="20"/>
              </w:rPr>
              <w:t xml:space="preserve">Free text</w:t>
            </w:r>
          </w:p>
        </w:tc>
        <w:tc>
          <w:tcPr>
            <w:tcW w:type="dxa" w:w="2960"/>
          </w:tcPr>
          <w:p>
            <w:r>
              <w:rPr>
                <w:b w:val="false"/>
                <w:bCs w:val="false"/>
                <w:sz w:val="20"/>
                <w:szCs w:val="20"/>
              </w:rPr>
              <w:t xml:space="preserve">Free text, specific named exercise or modality</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Repetitions</w:t>
            </w:r>
          </w:p>
        </w:tc>
        <w:tc>
          <w:tcPr>
            <w:tcW w:type="dxa" w:w="1500"/>
          </w:tcPr>
          <w:p>
            <w:r>
              <w:rPr>
                <w:b w:val="false"/>
                <w:bCs w:val="false"/>
                <w:sz w:val="20"/>
                <w:szCs w:val="20"/>
              </w:rPr>
              <w:t xml:space="preserve">Numeric (integer)</w:t>
            </w:r>
          </w:p>
        </w:tc>
        <w:tc>
          <w:tcPr>
            <w:tcW w:type="dxa" w:w="2960"/>
          </w:tcPr>
          <w:p>
            <w:r>
              <w:rPr>
                <w:b w:val="false"/>
                <w:bCs w:val="false"/>
                <w:sz w:val="20"/>
                <w:szCs w:val="20"/>
              </w:rPr>
              <w:t xml:space="preserve">0-50 per set</w:t>
            </w:r>
          </w:p>
        </w:tc>
        <w:tc>
          <w:tcPr>
            <w:tcW w:type="dxa" w:w="1900"/>
          </w:tcPr>
          <w:p>
            <w:r>
              <w:rPr>
                <w:b w:val="false"/>
                <w:bCs w:val="false"/>
                <w:sz w:val="20"/>
                <w:szCs w:val="20"/>
              </w:rPr>
              <w:t xml:space="preserve">0 is valid only for Referral-Only/Manual-Therapy-Only/Modality-Only rows.</w:t>
            </w:r>
          </w:p>
        </w:tc>
      </w:tr>
      <w:tr>
        <w:tc>
          <w:tcPr>
            <w:tcW w:type="dxa" w:w="3000"/>
          </w:tcPr>
          <w:p>
            <w:r>
              <w:rPr>
                <w:b w:val="false"/>
                <w:bCs w:val="false"/>
                <w:sz w:val="20"/>
                <w:szCs w:val="20"/>
              </w:rPr>
              <w:t xml:space="preserve">Sets</w:t>
            </w:r>
          </w:p>
        </w:tc>
        <w:tc>
          <w:tcPr>
            <w:tcW w:type="dxa" w:w="1500"/>
          </w:tcPr>
          <w:p>
            <w:r>
              <w:rPr>
                <w:b w:val="false"/>
                <w:bCs w:val="false"/>
                <w:sz w:val="20"/>
                <w:szCs w:val="20"/>
              </w:rPr>
              <w:t xml:space="preserve">Numeric (integer)</w:t>
            </w:r>
          </w:p>
        </w:tc>
        <w:tc>
          <w:tcPr>
            <w:tcW w:type="dxa" w:w="2960"/>
          </w:tcPr>
          <w:p>
            <w:r>
              <w:rPr>
                <w:b w:val="false"/>
                <w:bCs w:val="false"/>
                <w:sz w:val="20"/>
                <w:szCs w:val="20"/>
              </w:rPr>
              <w:t xml:space="preserve">0-10</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Frequency</w:t>
            </w:r>
          </w:p>
        </w:tc>
        <w:tc>
          <w:tcPr>
            <w:tcW w:type="dxa" w:w="1500"/>
          </w:tcPr>
          <w:p>
            <w:r>
              <w:rPr>
                <w:b w:val="false"/>
                <w:bCs w:val="false"/>
                <w:sz w:val="20"/>
                <w:szCs w:val="20"/>
              </w:rPr>
              <w:t xml:space="preserve">Categorical</w:t>
            </w:r>
          </w:p>
        </w:tc>
        <w:tc>
          <w:tcPr>
            <w:tcW w:type="dxa" w:w="2960"/>
          </w:tcPr>
          <w:p>
            <w:r>
              <w:rPr>
                <w:b w:val="false"/>
                <w:bCs w:val="false"/>
                <w:sz w:val="20"/>
                <w:szCs w:val="20"/>
              </w:rPr>
              <w:t xml:space="preserve">Daily / Alternate days / 2-3x/week / Weekly / As-needed</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Session/day</w:t>
            </w:r>
          </w:p>
        </w:tc>
        <w:tc>
          <w:tcPr>
            <w:tcW w:type="dxa" w:w="1500"/>
          </w:tcPr>
          <w:p>
            <w:r>
              <w:rPr>
                <w:b w:val="false"/>
                <w:bCs w:val="false"/>
                <w:sz w:val="20"/>
                <w:szCs w:val="20"/>
              </w:rPr>
              <w:t xml:space="preserve">Numeric (integer)</w:t>
            </w:r>
          </w:p>
        </w:tc>
        <w:tc>
          <w:tcPr>
            <w:tcW w:type="dxa" w:w="2960"/>
          </w:tcPr>
          <w:p>
            <w:r>
              <w:rPr>
                <w:b w:val="false"/>
                <w:bCs w:val="false"/>
                <w:sz w:val="20"/>
                <w:szCs w:val="20"/>
              </w:rPr>
              <w:t xml:space="preserve">0-5</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Duration (hours per session)</w:t>
            </w:r>
          </w:p>
        </w:tc>
        <w:tc>
          <w:tcPr>
            <w:tcW w:type="dxa" w:w="1500"/>
          </w:tcPr>
          <w:p>
            <w:r>
              <w:rPr>
                <w:b w:val="false"/>
                <w:bCs w:val="false"/>
                <w:sz w:val="20"/>
                <w:szCs w:val="20"/>
              </w:rPr>
              <w:t xml:space="preserve">Numeric (decimal, hours)</w:t>
            </w:r>
          </w:p>
        </w:tc>
        <w:tc>
          <w:tcPr>
            <w:tcW w:type="dxa" w:w="2960"/>
          </w:tcPr>
          <w:p>
            <w:r>
              <w:rPr>
                <w:b w:val="false"/>
                <w:bCs w:val="false"/>
                <w:sz w:val="20"/>
                <w:szCs w:val="20"/>
              </w:rPr>
              <w:t xml:space="preserve">0.0-2.0</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days/week</w:t>
            </w:r>
          </w:p>
        </w:tc>
        <w:tc>
          <w:tcPr>
            <w:tcW w:type="dxa" w:w="1500"/>
          </w:tcPr>
          <w:p>
            <w:r>
              <w:rPr>
                <w:b w:val="false"/>
                <w:bCs w:val="false"/>
                <w:sz w:val="20"/>
                <w:szCs w:val="20"/>
              </w:rPr>
              <w:t xml:space="preserve">Numeric (integer)</w:t>
            </w:r>
          </w:p>
        </w:tc>
        <w:tc>
          <w:tcPr>
            <w:tcW w:type="dxa" w:w="2960"/>
          </w:tcPr>
          <w:p>
            <w:r>
              <w:rPr>
                <w:b w:val="false"/>
                <w:bCs w:val="false"/>
                <w:sz w:val="20"/>
                <w:szCs w:val="20"/>
              </w:rPr>
              <w:t xml:space="preserve">0-7</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total weeks</w:t>
            </w:r>
          </w:p>
        </w:tc>
        <w:tc>
          <w:tcPr>
            <w:tcW w:type="dxa" w:w="1500"/>
          </w:tcPr>
          <w:p>
            <w:r>
              <w:rPr>
                <w:b w:val="false"/>
                <w:bCs w:val="false"/>
                <w:sz w:val="20"/>
                <w:szCs w:val="20"/>
              </w:rPr>
              <w:t xml:space="preserve">Numeric (integer)</w:t>
            </w:r>
          </w:p>
        </w:tc>
        <w:tc>
          <w:tcPr>
            <w:tcW w:type="dxa" w:w="2960"/>
          </w:tcPr>
          <w:p>
            <w:r>
              <w:rPr>
                <w:b w:val="false"/>
                <w:bCs w:val="false"/>
                <w:sz w:val="20"/>
                <w:szCs w:val="20"/>
              </w:rPr>
              <w:t xml:space="preserve">1-52</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Precautions/Contraindications</w:t>
            </w:r>
          </w:p>
        </w:tc>
        <w:tc>
          <w:tcPr>
            <w:tcW w:type="dxa" w:w="1500"/>
          </w:tcPr>
          <w:p>
            <w:r>
              <w:rPr>
                <w:b w:val="false"/>
                <w:bCs w:val="false"/>
                <w:sz w:val="20"/>
                <w:szCs w:val="20"/>
              </w:rPr>
              <w:t xml:space="preserve">Free text</w:t>
            </w:r>
          </w:p>
        </w:tc>
        <w:tc>
          <w:tcPr>
            <w:tcW w:type="dxa" w:w="2960"/>
          </w:tcPr>
          <w:p>
            <w:r>
              <w:rPr>
                <w:b w:val="false"/>
                <w:bCs w:val="false"/>
                <w:sz w:val="20"/>
                <w:szCs w:val="20"/>
              </w:rPr>
              <w:t xml:space="preserve">Free text</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Equipment Needed</w:t>
            </w:r>
          </w:p>
        </w:tc>
        <w:tc>
          <w:tcPr>
            <w:tcW w:type="dxa" w:w="1500"/>
          </w:tcPr>
          <w:p>
            <w:r>
              <w:rPr>
                <w:b w:val="false"/>
                <w:bCs w:val="false"/>
                <w:sz w:val="20"/>
                <w:szCs w:val="20"/>
              </w:rPr>
              <w:t xml:space="preserve">Free text</w:t>
            </w:r>
          </w:p>
        </w:tc>
        <w:tc>
          <w:tcPr>
            <w:tcW w:type="dxa" w:w="2960"/>
          </w:tcPr>
          <w:p>
            <w:r>
              <w:rPr>
                <w:b w:val="false"/>
                <w:bCs w:val="false"/>
                <w:sz w:val="20"/>
                <w:szCs w:val="20"/>
              </w:rPr>
              <w:t xml:space="preserve">Free text</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Progression/Advancement Criteria</w:t>
            </w:r>
          </w:p>
        </w:tc>
        <w:tc>
          <w:tcPr>
            <w:tcW w:type="dxa" w:w="1500"/>
          </w:tcPr>
          <w:p>
            <w:r>
              <w:rPr>
                <w:b w:val="false"/>
                <w:bCs w:val="false"/>
                <w:sz w:val="20"/>
                <w:szCs w:val="20"/>
              </w:rPr>
              <w:t xml:space="preserve">Free text</w:t>
            </w:r>
          </w:p>
        </w:tc>
        <w:tc>
          <w:tcPr>
            <w:tcW w:type="dxa" w:w="2960"/>
          </w:tcPr>
          <w:p>
            <w:r>
              <w:rPr>
                <w:b w:val="false"/>
                <w:bCs w:val="false"/>
                <w:sz w:val="20"/>
                <w:szCs w:val="20"/>
              </w:rPr>
              <w:t xml:space="preserve">Free text, ideally phrased as an objective threshold (e.g. "pain &lt;=3/10 AND full passive ROM achieved")</w:t>
            </w:r>
          </w:p>
        </w:tc>
        <w:tc>
          <w:tcPr>
            <w:tcW w:type="dxa" w:w="1900"/>
          </w:tcPr>
          <w:p>
            <w:r>
              <w:rPr>
                <w:b w:val="false"/>
                <w:bCs w:val="false"/>
                <w:sz w:val="20"/>
                <w:szCs w:val="20"/>
              </w:rPr>
              <w:t xml:space="preserve">-</w:t>
            </w:r>
          </w:p>
        </w:tc>
      </w:tr>
    </w:tbl>
    <w:p>
      <w:pPr>
        <w:pStyle w:val="Heading1"/>
      </w:pPr>
      <w:r>
        <w:t xml:space="preserve">6. Diagnosis Logic (DDX)</w:t>
      </w:r>
    </w:p>
    <w:p>
      <w:pPr>
        <w:spacing w:after="120"/>
      </w:pPr>
      <w:r>
        <w:rPr>
          <w:b w:val="false"/>
          <w:bCs w:val="false"/>
          <w:i w:val="false"/>
          <w:iCs w:val="false"/>
        </w:rPr>
        <w:t xml:space="preserve">Differential diagnosis is keyed to the Key Differentiating Feature of each named condition in this group (source of truth: Shoulder_CDSS_Condition_Master_List.csv). The Diagnosis field (Section 3) may only be set to one of these values, or routed to S18 if none applies.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900"/>
        <w:gridCol w:w="3760"/>
      </w:tblGrid>
      <w:tr>
        <w:trPr>
          <w:tblHeader/>
        </w:trPr>
        <w:tc>
          <w:tcPr>
            <w:tcW w:type="dxa" w:w="2200"/>
            <w:shd w:fill="2F5597" w:color="auto" w:val="clear"/>
          </w:tcPr>
          <w:p>
            <w:r>
              <w:rPr>
                <w:b/>
                <w:bCs/>
                <w:color w:val="FFFFFF"/>
                <w:sz w:val="20"/>
                <w:szCs w:val="20"/>
              </w:rPr>
              <w:t xml:space="preserve">Condition</w:t>
            </w:r>
          </w:p>
        </w:tc>
        <w:tc>
          <w:tcPr>
            <w:tcW w:type="dxa" w:w="1500"/>
            <w:shd w:fill="2F5597" w:color="auto" w:val="clear"/>
          </w:tcPr>
          <w:p>
            <w:r>
              <w:rPr>
                <w:b/>
                <w:bCs/>
                <w:color w:val="FFFFFF"/>
                <w:sz w:val="20"/>
                <w:szCs w:val="20"/>
              </w:rPr>
              <w:t xml:space="preserve">Typical Age Group</w:t>
            </w:r>
          </w:p>
        </w:tc>
        <w:tc>
          <w:tcPr>
            <w:tcW w:type="dxa" w:w="1900"/>
            <w:shd w:fill="2F5597" w:color="auto" w:val="clear"/>
          </w:tcPr>
          <w:p>
            <w:r>
              <w:rPr>
                <w:b/>
                <w:bCs/>
                <w:color w:val="FFFFFF"/>
                <w:sz w:val="20"/>
                <w:szCs w:val="20"/>
              </w:rPr>
              <w:t xml:space="preserve">Onset Type</w:t>
            </w:r>
          </w:p>
        </w:tc>
        <w:tc>
          <w:tcPr>
            <w:tcW w:type="dxa" w:w="3760"/>
            <w:shd w:fill="2F5597" w:color="auto" w:val="clear"/>
          </w:tcPr>
          <w:p>
            <w:r>
              <w:rPr>
                <w:b/>
                <w:bCs/>
                <w:color w:val="FFFFFF"/>
                <w:sz w:val="20"/>
                <w:szCs w:val="20"/>
              </w:rPr>
              <w:t xml:space="preserve">Key Differentiating Feature (DDX rule body)</w:t>
            </w:r>
          </w:p>
        </w:tc>
      </w:tr>
      <w:tr>
        <w:tc>
          <w:tcPr>
            <w:tcW w:type="dxa" w:w="2200"/>
          </w:tcPr>
          <w:p>
            <w:r>
              <w:rPr>
                <w:b w:val="false"/>
                <w:bCs w:val="false"/>
                <w:sz w:val="20"/>
                <w:szCs w:val="20"/>
              </w:rPr>
              <w:t xml:space="preserve">Scapular dyskinesis (SICK scapula syndrome)</w:t>
            </w:r>
          </w:p>
        </w:tc>
        <w:tc>
          <w:tcPr>
            <w:tcW w:type="dxa" w:w="1500"/>
          </w:tcPr>
          <w:p>
            <w:r>
              <w:rPr>
                <w:b w:val="false"/>
                <w:bCs w:val="false"/>
                <w:sz w:val="20"/>
                <w:szCs w:val="20"/>
              </w:rPr>
              <w:t xml:space="preserve">15-40 yrs</w:t>
            </w:r>
          </w:p>
        </w:tc>
        <w:tc>
          <w:tcPr>
            <w:tcW w:type="dxa" w:w="1900"/>
          </w:tcPr>
          <w:p>
            <w:r>
              <w:rPr>
                <w:b w:val="false"/>
                <w:bCs w:val="false"/>
                <w:sz w:val="20"/>
                <w:szCs w:val="20"/>
              </w:rPr>
              <w:t xml:space="preserve">Insidious (overhead athlete)</w:t>
            </w:r>
          </w:p>
        </w:tc>
        <w:tc>
          <w:tcPr>
            <w:tcW w:type="dxa" w:w="3760"/>
          </w:tcPr>
          <w:p>
            <w:r>
              <w:rPr>
                <w:b w:val="false"/>
                <w:bCs w:val="false"/>
                <w:sz w:val="20"/>
                <w:szCs w:val="20"/>
              </w:rPr>
              <w:t xml:space="preserve">Positive Lateral Scapular Slide Test, altered scapular rhythm on dynamic observation</w:t>
            </w:r>
          </w:p>
        </w:tc>
      </w:tr>
      <w:tr>
        <w:tc>
          <w:tcPr>
            <w:tcW w:type="dxa" w:w="2200"/>
          </w:tcPr>
          <w:p>
            <w:r>
              <w:rPr>
                <w:b w:val="false"/>
                <w:bCs w:val="false"/>
                <w:sz w:val="20"/>
                <w:szCs w:val="20"/>
              </w:rPr>
              <w:t xml:space="preserve">Serratus anterior palsy (long thoracic nerve)</w:t>
            </w:r>
          </w:p>
        </w:tc>
        <w:tc>
          <w:tcPr>
            <w:tcW w:type="dxa" w:w="1500"/>
          </w:tcPr>
          <w:p>
            <w:r>
              <w:rPr>
                <w:b w:val="false"/>
                <w:bCs w:val="false"/>
                <w:sz w:val="20"/>
                <w:szCs w:val="20"/>
              </w:rPr>
              <w:t xml:space="preserve">20-50 yrs</w:t>
            </w:r>
          </w:p>
        </w:tc>
        <w:tc>
          <w:tcPr>
            <w:tcW w:type="dxa" w:w="1900"/>
          </w:tcPr>
          <w:p>
            <w:r>
              <w:rPr>
                <w:b w:val="false"/>
                <w:bCs w:val="false"/>
                <w:sz w:val="20"/>
                <w:szCs w:val="20"/>
              </w:rPr>
              <w:t xml:space="preserve">Acute (traction/viral) or insidious</w:t>
            </w:r>
          </w:p>
        </w:tc>
        <w:tc>
          <w:tcPr>
            <w:tcW w:type="dxa" w:w="3760"/>
          </w:tcPr>
          <w:p>
            <w:r>
              <w:rPr>
                <w:b w:val="false"/>
                <w:bCs w:val="false"/>
                <w:sz w:val="20"/>
                <w:szCs w:val="20"/>
              </w:rPr>
              <w:t xml:space="preserve">Medial winging accentuated by wall push-up test</w:t>
            </w:r>
          </w:p>
        </w:tc>
      </w:tr>
      <w:tr>
        <w:tc>
          <w:tcPr>
            <w:tcW w:type="dxa" w:w="2200"/>
          </w:tcPr>
          <w:p>
            <w:r>
              <w:rPr>
                <w:b w:val="false"/>
                <w:bCs w:val="false"/>
                <w:sz w:val="20"/>
                <w:szCs w:val="20"/>
              </w:rPr>
              <w:t xml:space="preserve">Trapezius palsy (spinal accessory nerve)</w:t>
            </w:r>
          </w:p>
        </w:tc>
        <w:tc>
          <w:tcPr>
            <w:tcW w:type="dxa" w:w="1500"/>
          </w:tcPr>
          <w:p>
            <w:r>
              <w:rPr>
                <w:b w:val="false"/>
                <w:bCs w:val="false"/>
                <w:sz w:val="20"/>
                <w:szCs w:val="20"/>
              </w:rPr>
              <w:t xml:space="preserve">20-60 yrs</w:t>
            </w:r>
          </w:p>
        </w:tc>
        <w:tc>
          <w:tcPr>
            <w:tcW w:type="dxa" w:w="1900"/>
          </w:tcPr>
          <w:p>
            <w:r>
              <w:rPr>
                <w:b w:val="false"/>
                <w:bCs w:val="false"/>
                <w:sz w:val="20"/>
                <w:szCs w:val="20"/>
              </w:rPr>
              <w:t xml:space="preserve">Acute (iatrogenic, e.g. lymph node biopsy) or traumatic</w:t>
            </w:r>
          </w:p>
        </w:tc>
        <w:tc>
          <w:tcPr>
            <w:tcW w:type="dxa" w:w="3760"/>
          </w:tcPr>
          <w:p>
            <w:r>
              <w:rPr>
                <w:b w:val="false"/>
                <w:bCs w:val="false"/>
                <w:sz w:val="20"/>
                <w:szCs w:val="20"/>
              </w:rPr>
              <w:t xml:space="preserve">Lateral winging, drooped shoulder, weak shoulder shrug</w:t>
            </w:r>
          </w:p>
        </w:tc>
      </w:tr>
      <w:tr>
        <w:tc>
          <w:tcPr>
            <w:tcW w:type="dxa" w:w="2200"/>
          </w:tcPr>
          <w:p>
            <w:r>
              <w:rPr>
                <w:b w:val="false"/>
                <w:bCs w:val="false"/>
                <w:sz w:val="20"/>
                <w:szCs w:val="20"/>
              </w:rPr>
              <w:t xml:space="preserve">Rhomboid weakness/dysfunction</w:t>
            </w:r>
          </w:p>
        </w:tc>
        <w:tc>
          <w:tcPr>
            <w:tcW w:type="dxa" w:w="1500"/>
          </w:tcPr>
          <w:p>
            <w:r>
              <w:rPr>
                <w:b w:val="false"/>
                <w:bCs w:val="false"/>
                <w:sz w:val="20"/>
                <w:szCs w:val="20"/>
              </w:rPr>
              <w:t xml:space="preserve">20-50 yrs</w:t>
            </w:r>
          </w:p>
        </w:tc>
        <w:tc>
          <w:tcPr>
            <w:tcW w:type="dxa" w:w="1900"/>
          </w:tcPr>
          <w:p>
            <w:r>
              <w:rPr>
                <w:b w:val="false"/>
                <w:bCs w:val="false"/>
                <w:sz w:val="20"/>
                <w:szCs w:val="20"/>
              </w:rPr>
              <w:t xml:space="preserve">Insidious (postural/overuse)</w:t>
            </w:r>
          </w:p>
        </w:tc>
        <w:tc>
          <w:tcPr>
            <w:tcW w:type="dxa" w:w="3760"/>
          </w:tcPr>
          <w:p>
            <w:r>
              <w:rPr>
                <w:b w:val="false"/>
                <w:bCs w:val="false"/>
                <w:sz w:val="20"/>
                <w:szCs w:val="20"/>
              </w:rPr>
              <w:t xml:space="preserve">Mild medial winging with weak scapular retraction</w:t>
            </w:r>
          </w:p>
        </w:tc>
      </w:tr>
      <w:tr>
        <w:tc>
          <w:tcPr>
            <w:tcW w:type="dxa" w:w="2200"/>
          </w:tcPr>
          <w:p>
            <w:r>
              <w:rPr>
                <w:b w:val="false"/>
                <w:bCs w:val="false"/>
                <w:sz w:val="20"/>
                <w:szCs w:val="20"/>
              </w:rPr>
              <w:t xml:space="preserve">Postural scapular dysfunction</w:t>
            </w:r>
          </w:p>
        </w:tc>
        <w:tc>
          <w:tcPr>
            <w:tcW w:type="dxa" w:w="1500"/>
          </w:tcPr>
          <w:p>
            <w:r>
              <w:rPr>
                <w:b w:val="false"/>
                <w:bCs w:val="false"/>
                <w:sz w:val="20"/>
                <w:szCs w:val="20"/>
              </w:rPr>
              <w:t xml:space="preserve">15-45 yrs</w:t>
            </w:r>
          </w:p>
        </w:tc>
        <w:tc>
          <w:tcPr>
            <w:tcW w:type="dxa" w:w="1900"/>
          </w:tcPr>
          <w:p>
            <w:r>
              <w:rPr>
                <w:b w:val="false"/>
                <w:bCs w:val="false"/>
                <w:sz w:val="20"/>
                <w:szCs w:val="20"/>
              </w:rPr>
              <w:t xml:space="preserve">Insidious (postural)</w:t>
            </w:r>
          </w:p>
        </w:tc>
        <w:tc>
          <w:tcPr>
            <w:tcW w:type="dxa" w:w="3760"/>
          </w:tcPr>
          <w:p>
            <w:r>
              <w:rPr>
                <w:b w:val="false"/>
                <w:bCs w:val="false"/>
                <w:sz w:val="20"/>
                <w:szCs w:val="20"/>
              </w:rPr>
              <w:t xml:space="preserve">Non-neurogenic dyskinesis correcting with cueing/postural correction</w:t>
            </w:r>
          </w:p>
        </w:tc>
      </w:tr>
    </w:tbl>
    <w:p>
      <w:pPr>
        <w:pStyle w:val="Heading1"/>
      </w:pPr>
      <w:r>
        <w:t xml:space="preserve">7. Grading/Staging Scale</w:t>
      </w:r>
    </w:p>
    <w:p>
      <w:pPr>
        <w:spacing w:after="120"/>
      </w:pPr>
      <w:r>
        <w:rPr>
          <w:b w:val="false"/>
          <w:bCs w:val="false"/>
          <w:i w:val="false"/>
          <w:iCs w:val="false"/>
        </w:rPr>
        <w:t xml:space="preserve">This group's Protocol-sheet grading/staging column is: Scapular Dyskinesis Test 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shd w:fill="2F5597" w:color="auto" w:val="clear"/>
          </w:tcPr>
          <w:p>
            <w:r>
              <w:rPr>
                <w:b/>
                <w:bCs/>
                <w:color w:val="FFFFFF"/>
                <w:sz w:val="20"/>
                <w:szCs w:val="20"/>
              </w:rPr>
              <w:t xml:space="preserve">Data Type</w:t>
            </w:r>
          </w:p>
        </w:tc>
        <w:tc>
          <w:tcPr>
            <w:tcW w:type="dxa" w:w="4360"/>
            <w:shd w:fill="2F5597" w:color="auto" w:val="clear"/>
          </w:tcPr>
          <w:p>
            <w:r>
              <w:rPr>
                <w:b/>
                <w:bCs/>
                <w:color w:val="FFFFFF"/>
                <w:sz w:val="20"/>
                <w:szCs w:val="20"/>
              </w:rPr>
              <w:t xml:space="preserve">Valid Range / Values</w:t>
            </w:r>
          </w:p>
        </w:tc>
        <w:tc>
          <w:tcPr>
            <w:tcW w:type="dxa" w:w="3000"/>
            <w:shd w:fill="2F5597" w:color="auto" w:val="clear"/>
          </w:tcPr>
          <w:p>
            <w:r>
              <w:rPr>
                <w:b/>
                <w:bCs/>
                <w:color w:val="FFFFFF"/>
                <w:sz w:val="20"/>
                <w:szCs w:val="20"/>
              </w:rPr>
              <w:t xml:space="preserve">Notes</w:t>
            </w:r>
          </w:p>
        </w:tc>
      </w:tr>
      <w:tr>
        <w:tc>
          <w:tcPr>
            <w:tcW w:type="dxa" w:w="2000"/>
          </w:tcPr>
          <w:p>
            <w:r>
              <w:rPr>
                <w:b w:val="false"/>
                <w:bCs w:val="false"/>
                <w:sz w:val="20"/>
                <w:szCs w:val="20"/>
              </w:rPr>
              <w:t xml:space="preserve">Categorical</w:t>
            </w:r>
          </w:p>
        </w:tc>
        <w:tc>
          <w:tcPr>
            <w:tcW w:type="dxa" w:w="4360"/>
          </w:tcPr>
          <w:p>
            <w:r>
              <w:rPr>
                <w:b w:val="false"/>
                <w:bCs w:val="false"/>
                <w:sz w:val="20"/>
                <w:szCs w:val="20"/>
              </w:rPr>
              <w:t xml:space="preserve">Normal / Dyskinesis Present (Subtle) / Dyskinesis Present (Obvious)</w:t>
            </w:r>
          </w:p>
        </w:tc>
        <w:tc>
          <w:tcPr>
            <w:tcW w:type="dxa" w:w="3000"/>
          </w:tcPr>
          <w:p>
            <w:r>
              <w:rPr>
                <w:b w:val="false"/>
                <w:bCs w:val="false"/>
                <w:sz w:val="20"/>
                <w:szCs w:val="20"/>
              </w:rPr>
              <w:t xml:space="preserve">Kibler visual observation grading.</w:t>
            </w:r>
          </w:p>
        </w:tc>
      </w:tr>
    </w:tbl>
    <w:p>
      <w:pPr>
        <w:pStyle w:val="Heading1"/>
      </w:pPr>
      <w:r>
        <w:t xml:space="preserve">8. Descriptive and Free-Text Field Conventions</w:t>
      </w:r>
    </w:p>
    <w:p>
      <w:pPr>
        <w:spacing w:after="120"/>
      </w:pPr>
      <w:r>
        <w:rPr>
          <w:b w:val="false"/>
          <w:bCs w:val="false"/>
          <w:i w:val="false"/>
          <w:iCs w:val="false"/>
        </w:rPr>
        <w:t xml:space="preserve">The following Medical Record Library fields are intentionally free text rather than categorical, because they capture narrative or highly case-specific information that does not reduce to a fixed value set:</w:t>
      </w:r>
    </w:p>
    <w:p>
      <w:pPr>
        <w:pStyle w:val="ListParagraph"/>
        <w:numPr>
          <w:ilvl w:val="0"/>
          <w:numId w:val="1"/>
        </w:numPr>
        <w:spacing w:after="60"/>
      </w:pPr>
      <w:r>
        <w:t xml:space="preserve">Co-morbidities — Free text list; recommended controlled vocabulary: Diabetes Mellitus, Thyroid Disease, Rheumatoid/Inflammatory Arthritis, Cardiac Disease, Renal Disease, Osteoporosis, Malignancy (specify), None</w:t>
      </w:r>
    </w:p>
    <w:p>
      <w:pPr>
        <w:pStyle w:val="ListParagraph"/>
        <w:numPr>
          <w:ilvl w:val="0"/>
          <w:numId w:val="1"/>
        </w:numPr>
        <w:spacing w:after="60"/>
      </w:pPr>
      <w:r>
        <w:t xml:space="preserve">Medication History — Free text; anticoagulants/antiplatelets and corticosteroids should always be explicitly flagged if present (see Section 9)</w:t>
      </w:r>
    </w:p>
    <w:p>
      <w:pPr>
        <w:pStyle w:val="ListParagraph"/>
        <w:numPr>
          <w:ilvl w:val="0"/>
          <w:numId w:val="1"/>
        </w:numPr>
        <w:spacing w:after="60"/>
      </w:pPr>
      <w:r>
        <w:t xml:space="preserve">Occupation — Free text; overhead-demand occupations should be flagged (relevant to S01, S03, S11, S14)</w:t>
      </w:r>
    </w:p>
    <w:p>
      <w:pPr>
        <w:pStyle w:val="ListParagraph"/>
        <w:numPr>
          <w:ilvl w:val="0"/>
          <w:numId w:val="1"/>
        </w:numPr>
        <w:spacing w:after="60"/>
      </w:pPr>
      <w:r>
        <w:t xml:space="preserve">Previous Shoulder Surgery - Any (Y/N, procedure/date if known) — Yes/No, then free text procedure name and approximate date if Yes</w:t>
      </w:r>
    </w:p>
    <w:p>
      <w:pPr>
        <w:pStyle w:val="ListParagraph"/>
        <w:numPr>
          <w:ilvl w:val="0"/>
          <w:numId w:val="1"/>
        </w:numPr>
        <w:spacing w:after="60"/>
      </w:pPr>
      <w:r>
        <w:t xml:space="preserve">Aggravating Factors — Free text; recommend structured prompts (overhead activity, lying on side, lifting, reaching behind back)</w:t>
      </w:r>
    </w:p>
    <w:p>
      <w:pPr>
        <w:pStyle w:val="ListParagraph"/>
        <w:numPr>
          <w:ilvl w:val="0"/>
          <w:numId w:val="1"/>
        </w:numPr>
        <w:spacing w:after="60"/>
      </w:pPr>
      <w:r>
        <w:t xml:space="preserve">Easing Factors — Free text; recommend structured prompts (rest, sling, position, ice/heat, medication)</w:t>
      </w:r>
    </w:p>
    <w:p>
      <w:pPr>
        <w:pStyle w:val="ListParagraph"/>
        <w:numPr>
          <w:ilvl w:val="0"/>
          <w:numId w:val="1"/>
        </w:numPr>
        <w:spacing w:after="60"/>
      </w:pPr>
      <w:r>
        <w:t xml:space="preserve">Red Flags / Precautions — Free text; recommended controlled vocabulary drawn from the Red Flag Master List (Section 10)</w:t>
      </w:r>
    </w:p>
    <w:p>
      <w:pPr>
        <w:pStyle w:val="ListParagraph"/>
        <w:numPr>
          <w:ilvl w:val="0"/>
          <w:numId w:val="1"/>
        </w:numPr>
        <w:spacing w:after="60"/>
      </w:pPr>
      <w:r>
        <w:t xml:space="preserve">Progress / Follow-up Tracking — Free text, one entry per follow-up visit with a date</w:t>
      </w:r>
    </w:p>
    <w:p>
      <w:pPr>
        <w:pStyle w:val="ListParagraph"/>
        <w:numPr>
          <w:ilvl w:val="0"/>
          <w:numId w:val="1"/>
        </w:numPr>
        <w:spacing w:after="60"/>
      </w:pPr>
      <w:r>
        <w:t xml:space="preserve">Patient Goals / Expectations — Free text, captured at intake and reviewed at each follow-up</w:t>
      </w:r>
    </w:p>
    <w:p>
      <w:pPr>
        <w:pStyle w:val="ListParagraph"/>
        <w:numPr>
          <w:ilvl w:val="0"/>
          <w:numId w:val="1"/>
        </w:numPr>
        <w:spacing w:after="60"/>
      </w:pPr>
      <w:r>
        <w:t xml:space="preserve">Notes — Unstructured free text</w:t>
      </w:r>
    </w:p>
    <w:p>
      <w:pPr>
        <w:pStyle w:val="Heading1"/>
      </w:pPr>
      <w:r>
        <w:t xml:space="preserve">9. Phase Logic</w:t>
      </w:r>
    </w:p>
    <w:p>
      <w:pPr>
        <w:spacing w:after="120"/>
      </w:pPr>
      <w:r>
        <w:rPr>
          <w:b w:val="false"/>
          <w:bCs w:val="false"/>
          <w:i w:val="false"/>
          <w:iCs w:val="false"/>
        </w:rPr>
        <w:t xml:space="preserve">Standard four-phase progression, matching this group's Rehabilitation Phase field (Section 3) and Protocol Rehab Phase column (Section 5):</w:t>
      </w:r>
    </w:p>
    <w:p>
      <w:pPr>
        <w:pStyle w:val="ListParagraph"/>
        <w:numPr>
          <w:ilvl w:val="0"/>
          <w:numId w:val="1"/>
        </w:numPr>
        <w:spacing w:after="60"/>
      </w:pPr>
      <w:r>
        <w:t xml:space="preserve">Phase 1 - Acute/protective: pain and irritability control, protect healing/repaired structures.</w:t>
      </w:r>
    </w:p>
    <w:p>
      <w:pPr>
        <w:pStyle w:val="ListParagraph"/>
        <w:numPr>
          <w:ilvl w:val="0"/>
          <w:numId w:val="1"/>
        </w:numPr>
        <w:spacing w:after="60"/>
      </w:pPr>
      <w:r>
        <w:t xml:space="preserve">Phase 2 - Early mobilisation: restore passive then active range of motion within protocol-permitted limits.</w:t>
      </w:r>
    </w:p>
    <w:p>
      <w:pPr>
        <w:pStyle w:val="ListParagraph"/>
        <w:numPr>
          <w:ilvl w:val="0"/>
          <w:numId w:val="1"/>
        </w:numPr>
        <w:spacing w:after="60"/>
      </w:pPr>
      <w:r>
        <w:t xml:space="preserve">Phase 3 - Strengthening: progressive resistance targeting this group's target muscle groups.</w:t>
      </w:r>
    </w:p>
    <w:p>
      <w:pPr>
        <w:pStyle w:val="ListParagraph"/>
        <w:numPr>
          <w:ilvl w:val="0"/>
          <w:numId w:val="1"/>
        </w:numPr>
        <w:spacing w:after="60"/>
      </w:pPr>
      <w:r>
        <w:t xml:space="preserve">Phase 4 - Return to activity: functional and sport/occupation-specific loading and discharge criteria.</w:t>
      </w:r>
    </w:p>
    <w:p>
      <w:pPr>
        <w:pStyle w:val="Heading1"/>
      </w:pPr>
      <w:r>
        <w:t xml:space="preserve">10. Red Flag Master List</w:t>
      </w:r>
    </w:p>
    <w:p>
      <w:pPr>
        <w:spacing w:after="120"/>
      </w:pPr>
      <w:r>
        <w:rPr>
          <w:b w:val="false"/>
          <w:bCs w:val="false"/>
          <w:i w:val="false"/>
          <w:iCs w:val="false"/>
        </w:rPr>
        <w:t xml:space="preserve">No group-specific deterministic red flag is defined for this group beyond the shared Core-block red-flag screen (Red Flags/Precautions field, Section 3) and the general Cervical Spine Screen. See Shoulder_CDSS_Wrapper_Routing_Map.xlsx, sheet 'Red Flag Routing', for the full nine-rule red-flag set that can redirect a case into this group (e.g. SH-RF-05 for a suspected neoplastic process presenting anywhere in the shoulder girdle).</w:t>
      </w:r>
    </w:p>
    <w:p>
      <w:pPr>
        <w:pStyle w:val="Heading1"/>
      </w:pPr>
      <w:r>
        <w:t xml:space="preserve">11. Structural and Operative Fields</w:t>
      </w:r>
    </w:p>
    <w:p>
      <w:pPr>
        <w:spacing w:after="120"/>
      </w:pPr>
      <w:r>
        <w:rPr>
          <w:b w:val="false"/>
          <w:bCs w:val="false"/>
          <w:i w:val="false"/>
          <w:iCs w:val="false"/>
        </w:rPr>
        <w:t xml:space="preserve">Fields specific to a prior or planned procedure for this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960"/>
        <w:gridCol w:w="1900"/>
      </w:tblGrid>
      <w:tr>
        <w:trPr>
          <w:tblHeader/>
        </w:trPr>
        <w:tc>
          <w:tcPr>
            <w:tcW w:type="dxa" w:w="3000"/>
            <w:shd w:fill="2F5597" w:color="auto" w:val="clear"/>
          </w:tcPr>
          <w:p>
            <w:r>
              <w:rPr>
                <w:b/>
                <w:bCs/>
                <w:color w:val="FFFFFF"/>
                <w:sz w:val="20"/>
                <w:szCs w:val="20"/>
              </w:rPr>
              <w:t xml:space="preserve">Field</w:t>
            </w:r>
          </w:p>
        </w:tc>
        <w:tc>
          <w:tcPr>
            <w:tcW w:type="dxa" w:w="1500"/>
            <w:shd w:fill="2F5597" w:color="auto" w:val="clear"/>
          </w:tcPr>
          <w:p>
            <w:r>
              <w:rPr>
                <w:b/>
                <w:bCs/>
                <w:color w:val="FFFFFF"/>
                <w:sz w:val="20"/>
                <w:szCs w:val="20"/>
              </w:rPr>
              <w:t xml:space="preserve">Data Type</w:t>
            </w:r>
          </w:p>
        </w:tc>
        <w:tc>
          <w:tcPr>
            <w:tcW w:type="dxa" w:w="2960"/>
            <w:shd w:fill="2F5597" w:color="auto" w:val="clear"/>
          </w:tcPr>
          <w:p>
            <w:r>
              <w:rPr>
                <w:b/>
                <w:bCs/>
                <w:color w:val="FFFFFF"/>
                <w:sz w:val="20"/>
                <w:szCs w:val="20"/>
              </w:rPr>
              <w:t xml:space="preserve">Valid Range / Values</w:t>
            </w:r>
          </w:p>
        </w:tc>
        <w:tc>
          <w:tcPr>
            <w:tcW w:type="dxa" w:w="1900"/>
            <w:shd w:fill="2F5597" w:color="auto" w:val="clear"/>
          </w:tcPr>
          <w:p>
            <w:r>
              <w:rPr>
                <w:b/>
                <w:bCs/>
                <w:color w:val="FFFFFF"/>
                <w:sz w:val="20"/>
                <w:szCs w:val="20"/>
              </w:rPr>
              <w:t xml:space="preserve">Notes</w:t>
            </w:r>
          </w:p>
        </w:tc>
      </w:tr>
      <w:tr>
        <w:tc>
          <w:tcPr>
            <w:tcW w:type="dxa" w:w="3000"/>
          </w:tcPr>
          <w:p>
            <w:r>
              <w:rPr>
                <w:b w:val="false"/>
                <w:bCs w:val="false"/>
                <w:sz w:val="20"/>
                <w:szCs w:val="20"/>
              </w:rPr>
              <w:t xml:space="preserve">Previous Shoulder Surgery - Any (Y/N, procedure/date if known)</w:t>
            </w:r>
          </w:p>
        </w:tc>
        <w:tc>
          <w:tcPr>
            <w:tcW w:type="dxa" w:w="1500"/>
          </w:tcPr>
          <w:p>
            <w:r>
              <w:rPr>
                <w:b w:val="false"/>
                <w:bCs w:val="false"/>
                <w:sz w:val="20"/>
                <w:szCs w:val="20"/>
              </w:rPr>
              <w:t xml:space="preserve">Boolean + free text</w:t>
            </w:r>
          </w:p>
        </w:tc>
        <w:tc>
          <w:tcPr>
            <w:tcW w:type="dxa" w:w="2960"/>
          </w:tcPr>
          <w:p>
            <w:r>
              <w:rPr>
                <w:b w:val="false"/>
                <w:bCs w:val="false"/>
                <w:sz w:val="20"/>
                <w:szCs w:val="20"/>
              </w:rPr>
              <w:t xml:space="preserve">Yes/No, then free text procedure name and approximate date if Yes</w:t>
            </w:r>
          </w:p>
        </w:tc>
        <w:tc>
          <w:tcPr>
            <w:tcW w:type="dxa" w:w="1900"/>
          </w:tcPr>
          <w:p>
            <w:r>
              <w:rPr>
                <w:b w:val="false"/>
                <w:bCs w:val="false"/>
                <w:sz w:val="20"/>
                <w:szCs w:val="20"/>
              </w:rPr>
              <w:t xml:space="preserve">-</w:t>
            </w:r>
          </w:p>
        </w:tc>
      </w:tr>
      <w:tr>
        <w:tc>
          <w:tcPr>
            <w:tcW w:type="dxa" w:w="3000"/>
          </w:tcPr>
          <w:p>
            <w:r>
              <w:rPr>
                <w:b w:val="false"/>
                <w:bCs w:val="false"/>
                <w:sz w:val="20"/>
                <w:szCs w:val="20"/>
              </w:rPr>
              <w:t xml:space="preserve">Previous Treatment Received (physiotherapy/injection/surgery/none)</w:t>
            </w:r>
          </w:p>
        </w:tc>
        <w:tc>
          <w:tcPr>
            <w:tcW w:type="dxa" w:w="1500"/>
          </w:tcPr>
          <w:p>
            <w:r>
              <w:rPr>
                <w:b w:val="false"/>
                <w:bCs w:val="false"/>
                <w:sz w:val="20"/>
                <w:szCs w:val="20"/>
              </w:rPr>
              <w:t xml:space="preserve">Categorical (multi-select)</w:t>
            </w:r>
          </w:p>
        </w:tc>
        <w:tc>
          <w:tcPr>
            <w:tcW w:type="dxa" w:w="2960"/>
          </w:tcPr>
          <w:p>
            <w:r>
              <w:rPr>
                <w:b w:val="false"/>
                <w:bCs w:val="false"/>
                <w:sz w:val="20"/>
                <w:szCs w:val="20"/>
              </w:rPr>
              <w:t xml:space="preserve">Physiotherapy / Corticosteroid Injection / Surgery / Medication only / None</w:t>
            </w:r>
          </w:p>
        </w:tc>
        <w:tc>
          <w:tcPr>
            <w:tcW w:type="dxa" w:w="1900"/>
          </w:tcPr>
          <w:p>
            <w:r>
              <w:rPr>
                <w:b w:val="false"/>
                <w:bCs w:val="false"/>
                <w:sz w:val="20"/>
                <w:szCs w:val="20"/>
              </w:rPr>
              <w:t xml:space="preserve">-</w:t>
            </w:r>
          </w:p>
        </w:tc>
      </w:tr>
    </w:tbl>
    <w:p>
      <w:pPr>
        <w:pStyle w:val="Heading1"/>
      </w:pPr>
      <w:r>
        <w:t xml:space="preserve">12. Follow-up Consistency Rules</w:t>
      </w:r>
    </w:p>
    <w:p>
      <w:pPr>
        <w:spacing w:after="120"/>
      </w:pPr>
      <w:r>
        <w:rPr>
          <w:b w:val="false"/>
          <w:bCs w:val="false"/>
          <w:i w:val="false"/>
          <w:iCs w:val="false"/>
        </w:rPr>
        <w:t xml:space="preserve">Every Follow_Up_* field must be entered on the same valid-range/value-set basis as its baseline counterpart (Section 3), and is additionally subject to:</w:t>
      </w:r>
    </w:p>
    <w:p>
      <w:pPr>
        <w:pStyle w:val="ListParagraph"/>
        <w:numPr>
          <w:ilvl w:val="0"/>
          <w:numId w:val="1"/>
        </w:numPr>
        <w:spacing w:after="60"/>
      </w:pPr>
      <w:r>
        <w:t xml:space="preserve">A follow-up numeric value may not exceed the instrument's own maximum (e.g. Follow_Up_ASES may not exceed 100) — this is a data-entry error, not evidence of exceptional improvement.</w:t>
      </w:r>
    </w:p>
    <w:p>
      <w:pPr>
        <w:pStyle w:val="ListParagraph"/>
        <w:numPr>
          <w:ilvl w:val="0"/>
          <w:numId w:val="1"/>
        </w:numPr>
        <w:spacing w:after="60"/>
      </w:pPr>
      <w:r>
        <w:t xml:space="preserve">A follow-up value that regresses (worsens) without a corresponding note in Progress/Follow-up Tracking or Notes is flagged for clinician review, not blocked outright — regression can be genuine.</w:t>
      </w:r>
    </w:p>
    <w:p>
      <w:pPr>
        <w:pStyle w:val="ListParagraph"/>
        <w:numPr>
          <w:ilvl w:val="0"/>
          <w:numId w:val="1"/>
        </w:numPr>
        <w:spacing w:after="60"/>
      </w:pPr>
      <w:r>
        <w:t xml:space="preserve">Rehabilitation Phase may not advance (e.g. Phase 1 to Phase 3) without passing through the intervening phase in a prior follow-up entry, except where a documented clinical reason overrides this (e.g. rapid recovery confirmed on imaging).</w:t>
      </w:r>
    </w:p>
    <w:p>
      <w:pPr>
        <w:spacing w:after="120"/>
      </w:pPr>
      <w:r>
        <w:rPr>
          <w:b w:val="false"/>
          <w:bCs w:val="false"/>
          <w:i w:val="false"/>
          <w:iCs w:val="false"/>
        </w:rPr>
        <w:t xml:space="preserve">This group's specific follow-up fields:</w:t>
      </w:r>
    </w:p>
    <w:p>
      <w:pPr>
        <w:pStyle w:val="ListParagraph"/>
        <w:numPr>
          <w:ilvl w:val="0"/>
          <w:numId w:val="1"/>
        </w:numPr>
        <w:spacing w:after="60"/>
      </w:pPr>
      <w:r>
        <w:t xml:space="preserve">Follow_Up_Scapular Dyskinesis Grade — Normal / Dyskinesis Present (Subtle) / Dyskinesis Present (Obvious)</w:t>
      </w:r>
    </w:p>
    <w:p>
      <w:pPr>
        <w:pStyle w:val="ListParagraph"/>
        <w:numPr>
          <w:ilvl w:val="0"/>
          <w:numId w:val="1"/>
        </w:numPr>
        <w:spacing w:after="60"/>
      </w:pPr>
      <w:r>
        <w:t xml:space="preserve">Follow_Up_Periscapular Strength — 0-5</w:t>
      </w:r>
    </w:p>
    <w:p>
      <w:pPr>
        <w:pStyle w:val="ListParagraph"/>
        <w:numPr>
          <w:ilvl w:val="0"/>
          <w:numId w:val="1"/>
        </w:numPr>
        <w:spacing w:after="60"/>
      </w:pPr>
      <w:r>
        <w:t xml:space="preserve">Follow_Up_SPADI — 0-100</w:t>
      </w:r>
    </w:p>
    <w:p>
      <w:pPr>
        <w:pStyle w:val="ListParagraph"/>
        <w:numPr>
          <w:ilvl w:val="0"/>
          <w:numId w:val="1"/>
        </w:numPr>
        <w:spacing w:after="60"/>
      </w:pPr>
      <w:r>
        <w:t xml:space="preserve">Follow_Up_Balance and Stability — Normal / Mild Deficit / Moderate Deficit / Severe Deficit</w:t>
      </w:r>
    </w:p>
    <w:p>
      <w:pPr>
        <w:pStyle w:val="Heading1"/>
      </w:pPr>
      <w:r>
        <w:t xml:space="preserve">13. Validation Log</w:t>
      </w:r>
    </w:p>
    <w:p>
      <w:pPr>
        <w:spacing w:after="120"/>
      </w:pPr>
      <w:r>
        <w:rPr>
          <w:b/>
          <w:bCs/>
          <w:i w:val="false"/>
          <w:iCs w:val="false"/>
        </w:rPr>
        <w:t xml:space="preserve">SIMULATION COMPLETE (2026-09-30). This wrapper's Golden Dataset has been built: S11_Scapular_Dyskinesis_and_Periscapular_Muscle_Dysfunction_Golden_Dataset_SIMULATED.xlsx, in this same folder. Every row in that workbook is SIMULATED, not real patient data — see that workbook's own "README - SIMULATION DISCLOSURE" sheet for the full disclosure.</w:t>
      </w:r>
    </w:p>
    <w:p>
      <w:pPr>
        <w:spacing w:after="120"/>
      </w:pPr>
      <w:r>
        <w:rPr>
          <w:b w:val="false"/>
          <w:bCs w:val="false"/>
          <w:i w:val="false"/>
          <w:iCs w:val="false"/>
        </w:rPr>
        <w:t xml:space="preserve">Method: construction, not audit (root variables sampled first — Diagnosis, Onset/Injury, Rehabilitation Phase conditional on elapsed time, Age, Laterality — then every other field deterministically/probabilistically derived from them, so each row is internally consistent by construction rather than assembled field-by-field at random).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shd w:fill="2F5597" w:color="auto" w:val="clear"/>
          </w:tcPr>
          <w:p>
            <w:r>
              <w:rPr>
                <w:b/>
                <w:bCs/>
                <w:color w:val="FFFFFF"/>
                <w:sz w:val="20"/>
                <w:szCs w:val="20"/>
              </w:rPr>
              <w:t xml:space="preserve">Sheet</w:t>
            </w:r>
          </w:p>
        </w:tc>
        <w:tc>
          <w:tcPr>
            <w:tcW w:type="dxa" w:w="2500"/>
            <w:shd w:fill="2F5597" w:color="auto" w:val="clear"/>
          </w:tcPr>
          <w:p>
            <w:r>
              <w:rPr>
                <w:b/>
                <w:bCs/>
                <w:color w:val="FFFFFF"/>
                <w:sz w:val="20"/>
                <w:szCs w:val="20"/>
              </w:rPr>
              <w:t xml:space="preserve">Rows Generated</w:t>
            </w:r>
          </w:p>
        </w:tc>
        <w:tc>
          <w:tcPr>
            <w:tcW w:type="dxa" w:w="3360"/>
            <w:shd w:fill="2F5597" w:color="auto" w:val="clear"/>
          </w:tcPr>
          <w:p>
            <w:r>
              <w:rPr>
                <w:b/>
                <w:bCs/>
                <w:color w:val="FFFFFF"/>
                <w:sz w:val="20"/>
                <w:szCs w:val="20"/>
              </w:rPr>
              <w:t xml:space="preserve">Contradictions Found (independent validation)</w:t>
            </w:r>
          </w:p>
        </w:tc>
      </w:tr>
      <w:tr>
        <w:tc>
          <w:tcPr>
            <w:tcW w:type="dxa" w:w="3500"/>
          </w:tcPr>
          <w:p>
            <w:r>
              <w:rPr>
                <w:b w:val="false"/>
                <w:bCs w:val="false"/>
                <w:sz w:val="20"/>
                <w:szCs w:val="20"/>
              </w:rPr>
              <w:t xml:space="preserve">Protocol</w:t>
            </w:r>
          </w:p>
        </w:tc>
        <w:tc>
          <w:tcPr>
            <w:tcW w:type="dxa" w:w="2500"/>
          </w:tcPr>
          <w:p>
            <w:r>
              <w:rPr>
                <w:b w:val="false"/>
                <w:bCs w:val="false"/>
                <w:sz w:val="20"/>
                <w:szCs w:val="20"/>
              </w:rPr>
              <w:t xml:space="preserve">100</w:t>
            </w:r>
          </w:p>
        </w:tc>
        <w:tc>
          <w:tcPr>
            <w:tcW w:type="dxa" w:w="3360"/>
          </w:tcPr>
          <w:p>
            <w:r>
              <w:rPr>
                <w:b w:val="false"/>
                <w:bCs w:val="false"/>
                <w:sz w:val="20"/>
                <w:szCs w:val="20"/>
              </w:rPr>
              <w:t xml:space="preserve">0</w:t>
            </w:r>
          </w:p>
        </w:tc>
      </w:tr>
      <w:tr>
        <w:tc>
          <w:tcPr>
            <w:tcW w:type="dxa" w:w="3500"/>
          </w:tcPr>
          <w:p>
            <w:r>
              <w:rPr>
                <w:b w:val="false"/>
                <w:bCs w:val="false"/>
                <w:sz w:val="20"/>
                <w:szCs w:val="20"/>
              </w:rPr>
              <w:t xml:space="preserve">Medical Record Library</w:t>
            </w:r>
          </w:p>
        </w:tc>
        <w:tc>
          <w:tcPr>
            <w:tcW w:type="dxa" w:w="2500"/>
          </w:tcPr>
          <w:p>
            <w:r>
              <w:rPr>
                <w:b w:val="false"/>
                <w:bCs w:val="false"/>
                <w:sz w:val="20"/>
                <w:szCs w:val="20"/>
              </w:rPr>
              <w:t xml:space="preserve">20,000</w:t>
            </w:r>
          </w:p>
        </w:tc>
        <w:tc>
          <w:tcPr>
            <w:tcW w:type="dxa" w:w="3360"/>
          </w:tcPr>
          <w:p>
            <w:r>
              <w:rPr>
                <w:b w:val="false"/>
                <w:bCs w:val="false"/>
                <w:sz w:val="20"/>
                <w:szCs w:val="20"/>
              </w:rPr>
              <w:t xml:space="preserve">0</w:t>
            </w:r>
          </w:p>
        </w:tc>
      </w:tr>
      <w:tr>
        <w:tc>
          <w:tcPr>
            <w:tcW w:type="dxa" w:w="3500"/>
          </w:tcPr>
          <w:p>
            <w:r>
              <w:rPr>
                <w:b w:val="false"/>
                <w:bCs w:val="false"/>
                <w:sz w:val="20"/>
                <w:szCs w:val="20"/>
              </w:rPr>
              <w:t xml:space="preserve">Experience Base</w:t>
            </w:r>
          </w:p>
        </w:tc>
        <w:tc>
          <w:tcPr>
            <w:tcW w:type="dxa" w:w="2500"/>
          </w:tcPr>
          <w:p>
            <w:r>
              <w:rPr>
                <w:b w:val="false"/>
                <w:bCs w:val="false"/>
                <w:sz w:val="20"/>
                <w:szCs w:val="20"/>
              </w:rPr>
              <w:t xml:space="preserve">5,000</w:t>
            </w:r>
          </w:p>
        </w:tc>
        <w:tc>
          <w:tcPr>
            <w:tcW w:type="dxa" w:w="3360"/>
          </w:tcPr>
          <w:p>
            <w:r>
              <w:rPr>
                <w:b w:val="false"/>
                <w:bCs w:val="false"/>
                <w:sz w:val="20"/>
                <w:szCs w:val="20"/>
              </w:rPr>
              <w:t xml:space="preserve">0</w:t>
            </w:r>
          </w:p>
        </w:tc>
      </w:tr>
      <w:tr>
        <w:tc>
          <w:tcPr>
            <w:tcW w:type="dxa" w:w="3500"/>
          </w:tcPr>
          <w:p>
            <w:r>
              <w:rPr>
                <w:b w:val="false"/>
                <w:bCs w:val="false"/>
                <w:sz w:val="20"/>
                <w:szCs w:val="20"/>
              </w:rPr>
              <w:t xml:space="preserve">Total</w:t>
            </w:r>
          </w:p>
        </w:tc>
        <w:tc>
          <w:tcPr>
            <w:tcW w:type="dxa" w:w="2500"/>
          </w:tcPr>
          <w:p>
            <w:r>
              <w:rPr>
                <w:b w:val="false"/>
                <w:bCs w:val="false"/>
                <w:sz w:val="20"/>
                <w:szCs w:val="20"/>
              </w:rPr>
              <w:t xml:space="preserve">25,100</w:t>
            </w:r>
          </w:p>
        </w:tc>
        <w:tc>
          <w:tcPr>
            <w:tcW w:type="dxa" w:w="3360"/>
          </w:tcPr>
          <w:p>
            <w:r>
              <w:rPr>
                <w:b w:val="false"/>
                <w:bCs w:val="false"/>
                <w:sz w:val="20"/>
                <w:szCs w:val="20"/>
              </w:rPr>
              <w:t xml:space="preserve">0</w:t>
            </w:r>
          </w:p>
        </w:tc>
      </w:tr>
    </w:tbl>
    <w:p>
      <w:pPr>
        <w:spacing w:after="120"/>
      </w:pPr>
      <w:r>
        <w:rPr>
          <w:b w:val="false"/>
          <w:bCs w:val="false"/>
          <w:i w:val="false"/>
          <w:iCs w:val="false"/>
        </w:rPr>
        <w:t xml:space="preserve">Independent validation script: s11_golden_dataset_validate.py. It re-derives every check from the written workbook cells (never trusts the generator script's own bookkeeping), covering: every field's data type/range/value-set against this document's Sections 3-5; the Kibler Classification/Scapular Dyskinesis Test Grade consistency check (both derived from a single sampled Kibler-severity root variable) and the Lateral Scapular Slide Test/Scapular Assistance Test/Scapular Retraction Test/Periscapular Muscle Strength (MMT) fields, all scaled from that same severity variable; Rehabilitation-Phase-vs-elapsed-time consistency; the Protocol ID foreign key from both the Medical Record Library and the Experience Base (including that the referenced Protocol row's own Diagnosis and Phase match the referring case); and internal consistency across the Experience Base's five error-tracking fields (Error Severity / Wrong Action Taken / Error Classification / Cognitive Error Type / Error Source / Correction Effectiveness must all agree on whether a case is clean or flagged).</w:t>
      </w:r>
    </w:p>
    <w:p>
      <w:pPr>
        <w:spacing w:after="120"/>
      </w:pPr>
      <w:r>
        <w:rPr>
          <w:b w:val="false"/>
          <w:bCs w:val="false"/>
          <w:i w:val="false"/>
          <w:iCs w:val="false"/>
        </w:rPr>
        <w:t xml:space="preserve">This is the first built group since S07 to require NO dedicated special-case validators at all: direct field-validator testing during design confirmed every group-specific field, including the "Kibler Classification (Type I/II/III Scapular Dyskinesis)" field and the "Scapular Dyskinesis Test Grade" grading column, passes the generic categorical parser cleanly for the real values this generator produces. By design every simulated case carries a real Kibler Type I/II/III value (the field's own generic check rejects both "None (no dyskinesis)" and "Not applicable"), matching this group's clinical case-mix where every named diagnosis involves observable scapular dyskinesis or winging by definition. Like S07/S10, this group's schema carries no numeric elapsed-time MRL field, so Rehabilitation Phase is sampled directly.</w:t>
      </w:r>
    </w:p>
    <w:p>
      <w:pPr>
        <w:spacing w:after="120"/>
      </w:pPr>
      <w:r>
        <w:rPr>
          <w:b w:val="false"/>
          <w:bCs w:val="false"/>
          <w:i w:val="false"/>
          <w:iCs w:val="false"/>
        </w:rPr>
        <w:t xml:space="preserve">S01, S02, S03, S06, S07, S08, S09, S10, and S11 are now built. The remaining 9 groups (S04, S05, S12-S18) remain header-only (0 data rows), pending a separate request to extend the same simulation to them.</w:t>
      </w:r>
    </w:p>
    <w:p>
      <w:pPr>
        <w:pStyle w:val="Heading1"/>
      </w:pPr>
      <w:r>
        <w:t xml:space="preserve">14. Open Items</w:t>
      </w:r>
    </w:p>
    <w:p>
      <w:pPr>
        <w:pStyle w:val="ListParagraph"/>
        <w:numPr>
          <w:ilvl w:val="0"/>
          <w:numId w:val="1"/>
        </w:numPr>
        <w:spacing w:after="60"/>
      </w:pPr>
      <w:r>
        <w:t xml:space="preserve">Golden Dataset (populated case data) generation for this group is complete (see Section 13) — 0 contradictions on independent validation, 25,100 total simulated rows. Extending the same simulation to the remaining header-only groups has not been requested yet.</w:t>
      </w:r>
    </w:p>
    <w:p>
      <w:pPr>
        <w:pStyle w:val="ListParagraph"/>
        <w:numPr>
          <w:ilvl w:val="0"/>
          <w:numId w:val="1"/>
        </w:numPr>
        <w:spacing w:after="60"/>
      </w:pPr>
      <w:r>
        <w:t xml:space="preserve">Local controlled-vocabulary fields marked "(specify)" in Sections 3-5 should be reviewed against this clinic's actual documentation habits before go-live and tightened to a fixed list where possible.</w:t>
      </w:r>
    </w:p>
    <w:p>
      <w:pPr>
        <w:pStyle w:val="ListParagraph"/>
        <w:numPr>
          <w:ilvl w:val="0"/>
          <w:numId w:val="1"/>
        </w:numPr>
        <w:spacing w:after="60"/>
      </w:pPr>
      <w:r>
        <w:t xml:space="preserve">Cross-reference conditions noted in the Grouping Rationale index for this group should be re-confirmed with the clinical sign-off authority before this wrapper is used for live intake: When winging is confirmed as nerve-palsy in origin, the peripheral-nerve workup fields of S16 are also completed in parallel.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2026-09-30T04:00:39.527Z</dcterms:created>
  <dcterms:modified xsi:type="dcterms:W3CDTF">2026-09-30T04:00:39.527Z</dcterms:modified>
</cp:coreProperties>
</file>

<file path=docProps/custom.xml><?xml version="1.0" encoding="utf-8"?>
<Properties xmlns="http://schemas.openxmlformats.org/officeDocument/2006/custom-properties" xmlns:vt="http://schemas.openxmlformats.org/officeDocument/2006/docPropsVTypes"/>
</file>