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48"/>
          <w:szCs w:val="48"/>
        </w:rPr>
        <w:t xml:space="preserve">S14 — Thoracic Outlet Syndrome - Neurogenic</w:t>
      </w:r>
    </w:p>
    <w:p>
      <w:pPr>
        <w:spacing w:after="400"/>
      </w:pPr>
      <w:r>
        <w:rPr>
          <w:i/>
          <w:iCs/>
          <w:sz w:val="28"/>
          <w:szCs w:val="28"/>
        </w:rPr>
        <w:t xml:space="preserve">Field Rule Logic Document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SMAART Shoulder CDSS — companion validation-logic document to this group's wrapper workbook.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value entered into this workbook must conform to the specification below. A value outside the stated range or value set is a data-entry error to be rejected at entry, not silently accepted, clipped, or corrected downstream — the Visual Analog Scale field is the reference example: a score of 11 or a negative number is invalid, never a valid extreme.</w:t>
      </w:r>
    </w:p>
    <w:p>
      <w:pPr>
        <w:pStyle w:val="Heading1"/>
      </w:pPr>
      <w:r>
        <w:t xml:space="preserve">1. Purpose and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document defines the field-by-field data-type and valid-range/valid-value specification for the S14 (Thoracic Outlet Syndrome - Neurogenic) wrapper workbook: Medical Record Library, Experience Base, and Protocol sheets. It is the validation-logic companion to that workbook, mirroring the Field Rule Logic Document convention established for the Knee CDSS (one such document per condition-group wrapper).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Conventions used throughout this document: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Boolean fields accept exactly Yes or No (or Y/N in the workbook header) — no blank, no "maybe".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Numeric fields state an inclusive valid range; a value outside that range is rejected, not clamped to the nearest boundary.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Categorical fields state the exact permitted value set; free text beyond that set is only accepted where the field is explicitly marked "(specify)".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field with no meaningful discriminating value set is explicitly marked as free text, deliberately, rather than left unspecified.</w:t>
      </w:r>
    </w:p>
    <w:p>
      <w:pPr>
        <w:pStyle w:val="Heading1"/>
      </w:pPr>
      <w:r>
        <w:t xml:space="preserve">2. Engine Outputs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wrapper feeds the three-layer CDSS engine (see Shoulder_CDSS_Field_Rule_Logic_Library.xlsx and Shoulder_CDSS_Field_Interaction_Implementation.docx):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1 (within-sheet validators) enforces every range/value-set specification in Sections 3-5 below.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2 (cross-sheet event bus) propagates this group's Diagnosis, Nerve Conduction Study_Findings, and Rehabilitation Phase values from the Medical Record Library into the Protocol and Experience Base sheets.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Layer 3 (DDX/PHASE/FINAL/PROTO rules) consumes the Diagnosis Logic (Section 6), Phase Logic (Section 9), and this group's Protocol Structure (Section 5) to select visible Protocol rows and lock the Diagnosis field.</w:t>
      </w:r>
    </w:p>
    <w:p>
      <w:pPr>
        <w:pStyle w:val="Heading1"/>
      </w:pPr>
      <w:r>
        <w:t xml:space="preserve">3. Data-Type Specification — Medical Record Library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54 fields, in column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Laterality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Left / Right / Bilateral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Pain_Location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Anterior / Posterior / Lateral (deltoid region) / Superior (AC/SC) / Diffuse / Radiating below elbow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Pain_Nature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Sharp / Dull ache / Burning / Throbbing / Catching / Electric-shock-like / Mixed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Pain_Intensity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(integer, Numeric Rating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Same 0-10 convention as Visual Analog Scale (VAS) below. Values above 10 or below 0 are invalid and must be rejected at entry, not clipped.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short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(&lt;2 weeks) / Subacute (2-12 weeks) / Chronic (&gt;12 weeks) / Insidious / Congenital-Developmental, further qualified by the group-specific onset field immediately below 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Dominant Arm (Right/Left/Ambidextrous)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Right / Left / Ambidextrous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Side Is Dominant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Derived field — should equal Yes only when Laterality matches Dominant Arm; a mismatch here that is not flagged is a data-entry error, not a valid combination (Bilateral laterality is the one exception).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Episode(s) of Same Complaint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Aggravating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(overhead activity, lying on side, lifting, reaching behind back)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Easing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 structured prompts (rest, sling, position, ice/heat, medication)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hallmark feature of rotator cuff pathology (S01), calcific tendinitis (S18), and a general oncological/infective red-flag when severe and unremitting (feeds Red Flag Master List, Section 10).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Sleep Disturbance Due to Pain (Y/N)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Smoking Status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Never / Former / Current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Relevant to tendon/bone healing prognosis, particularly S08/S09/S10 (fracture) and S12 (post-surgical) groups.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Spine Screen (Clear/Not Clear - referred-pain differential)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Clear / Not Clear (refer for cervical spine assessment)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"Not Clear" does not by itself exclude a shoulder diagnosis, but must be documented before Diagnosis is locked (Section 6).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Onset (insidious postural/repetitive-overhead / post-traumatic e.g. cervical rib)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 postural / Repetitive-overhead / Post-traumatic e.g. cervical rib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values are the alternatives named directly in this field's own header.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Adson's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/ Negative / Equivocal / Not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Roos Test (EAST)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/ Negative / Equivocal / Not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Wright's Test (Hyperabduction)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/ Negative / Equivocal / Not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Costoclavicular Maneuver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/ Negative / Equivocal / Not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Upper Limb Tension Test (ULTT)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/ Negative / Equivocal / Not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Rib Palpation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Sensory Distribution (ulnar nerve/C8-T1)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Reduced / Absent (specify distribution)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Grip Strength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(kg, dynamometer)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Always recorded bilaterally; compare affected vs unaffected side.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X-Ray_Cervical Rib Present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 / No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MRI/CT_Brachial Plexus Compression Site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identified / Scalene triangle / Costoclavicular space / Subpectoral (retropectoralis minor) space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Nerve Conduction Study_Findings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Abnormal - Demyelinating / Abnormal - Axonal / Abnormal - Mixed / Not Yet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Scalene Muscle Tenderness/Trigger Points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 / Absent (describe if Present)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Symptom Provocation Latency (seconds to onset on positional testing)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(seconds)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0-180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 to symptom reproduction during Roos/EAST or other sustained positional provocation testing.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 Flags / Precautions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recommended controlled vocabulary drawn from the Red Flag Master List (Section 10)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Visual Analog Scale (VAS)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 or 1 decimal)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no pain, 10 = worst pain imaginable. This is the canonical example: a value of 11 or higher, or a negative value, is a data-entry error and must be rejected by the Layer 1 validator, never silently accepted or capped.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DASH Score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worst disability (Disabilities of the Arm, Shoulder and Hand).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QuickDASH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 = worst disability (11-item short form of DASH).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 Test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 / Partial / Fail, with the specific functional test used (e.g. Overhead Reach, Apley Scratch Test) recorded in Notes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Generalised upper-limb substitute for the Knee's 6MWT/TUG and Sit-to-Stand fields (documented deviation, see Grouping Rationale index).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Rehabilitation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 (see Section 9, Phase Logic, for this group's specific phase definitions)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Treatment Plan Mapping (Protocol ID)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(foreign key)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an existing Protocol ID in this workbook's Protocol sheet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 / Follow-up Tracking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date-stamped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one entry per follow-up visit with a date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Follow_Up_Provocative Test Response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Positive / Negative / Equivocal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Follow_Up_Grip Strength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(ordinal, MRC/Oxford scale)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0-5 grading as the baseline strength/MMT field.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Follow_Up_DASH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instrument and range as the baseline DASH Score.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Follow_Up_Balance and Stability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Mild Deficit / Moderate Deficit / Severe Deficit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Return to Activities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return / Partial return (modified duties) / Not yet returned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Goals / Expectations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captured at intake and reviewed at each follow-up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Unstructured 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4. Data-Type Specification — Experience Base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29 fields, identical schema across all 18 groups (see Shoulder_Condition_Grouping_Rationale_and_Index.md, Shared Structure Confirmation).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Case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must be unique within the workbook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System-generated or clinic-assigned; never reused.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(years)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0-120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= neonate/birth-related presentation (S17 only). Cross-checked (not blocked) against the Condition Master List's Typical Age Group band for the entered Diagnosis.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Male / Female / Other / Prefer not to say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BMI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(kg/m^2)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10.0-60.0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decimal place. Values outside 12-45 are flagged for re-confirmation, not blocked.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Co-morbidities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multi-select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list; recommended controlled vocabulary: Diabetes Mellitus, Thyroid Disease, Rheumatoid/Inflammatory Arthritis, Cardiac Disease, Renal Disease, Osteoporosis, Malignancy (specify),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History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anticoagulants/antiplatelets and corticosteroids should always be explicitly flagged if present (see Section 9)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Occupation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overhead-demand occupations should be flagged (relevant to S01, S03, S11, S14)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Activity Level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Sedentary / Light / Moderate / Vigorous / Competitive Athlete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Diagnosis field of the source case, drawn from the Condition Master List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Presenting Symptoms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Clinical 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summary of key positive examination findings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 AI Decision Pathway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structured log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routing/DDX/PHASE/PROTO rule path the engine initially followed for this case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Blinded from reviewers 1 and 2 during the Simulation Validation Layer's review stage — see the Simulation Validation Layer Requirements document.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Action Taken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description of the erroneous action, or "None" if the initial pathway was correct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Severity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Minor / Moderate / Major / Critical (safety-relevant)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Source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 entry / Rule logic gap / Missing field / Ambiguous case / Reviewer disagreement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Correction Effectiveness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effective / Partially effective / Not yet evaluated / Not applicable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Decision (Gold Standard)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agreed by blinded double-review (see Simulation Validation Layer Requirements)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Accepted / Under Review / Adjudicated (3rd reviewer) / Rejected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Classification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Diagnostic / Phase-Gating / Protocol-Selection / Red-Flag-Miss / Documentation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 / Impact of Error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/ Low / Moderate / High / Critical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Cognitive Error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 applicable / Anchoring / Premature closure / Availability bias / Confirmation bias / Base-rate neglect / Other (specify)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Contextual Factors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never includes blocked-category personal details per this workbook's data-governance policy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Reflective Analysis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Extracted Lesson / Principle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written as a generalisable rule statement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Corrective Prompt / Rule Update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text; if promoted, must reference the affected rule ID in Shoulder_CDSS_Field_Rule_Logic_Library.xlsx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Confidence Score on Lesson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(percentage)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See Simulation Validation Layer Requirements for the promotion threshold.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Retrieval &amp; Indexing Tags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(tag list)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Comma-separated tags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Follow-up Actions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Outcome After Correction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Timestamp Last Updated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Date-time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 8601 (YYYY-MM-DD hh:mm)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5. Data-Type Specification — Protocol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21 fields. Column F (grading/staging) is this group's own scale: Nerve Conduction Study_Findings.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 ID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(unique identifier)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unique within the workbook, recommended format &lt;GroupID&gt;-P-&lt;sequence&gt;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category/Modality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Range of Motion / Strengthening / Manual Therapy / Modality (heat/ice/TENS) / Neuromuscular Control / Functional / Patient Education / Referral-Only (Phase 1 halt groups)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"Patient Education" added 2026-09-29 alongside the S01 Golden Dataset build — the original 7-value enumeration had no category for education-only rows (activity modification, posture, pain self-management counselling), which are a legitimate, distinct protocol-row type.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Delivery Mode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In-person / Telehealth / Home Exercise Programme / Hybrid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 range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(range)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"18-65"; must be internally consistent (lower bound &lt;= upper bound) and should fall within the group's Typical Age Group band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Diagnosis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(controlled vocabulary)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be one of the named conditions listed for this group in the Shoulder_CDSS_Condition_Master_List.csv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Free-text "Other/Unclassified" routes the case to S18 workflow review.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Nerve Conduction Study_Findings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Abnormal - Demyelinating / Abnormal - Axonal / Abnormal - Mixed / Not Yet Performed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Rehab Phase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1 / Phase 2 / Phase 3 / Phase 4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match the values used in the MRL's Rehabilitation Phase field for this group.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 Muscle Group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 / 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recommended controlled vocabulary drawn from this group's exam-field muscle names (e.g. supraspinatus, deltoid, serratus anterior)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Joint Focus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Glenohumeral / Acromioclavicular / Sternoclavicular / Scapulothoracic / Combined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 Type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Isometric / Isotonic (concentric) / Isotonic (eccentric) / Isokinetic / Plyometric / Stretching / Neuromuscular / Functional / Not applicable (referral-only)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"Functional" added 2026-09-29 alongside the S01 Golden Dataset build — functional-task-training rows (overhead reach, interval throwing, return-to-work simulation) are not any of the original 7 mechanistic loading types.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Exercise/modality name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specific named exercise or modality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Repetitions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0-50 per set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is valid only for Referral-Only/Manual-Therapy-Only/Modality-Only rows.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0-10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Frequency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/ Alternate days / 2-3x/week / Weekly / As-needed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Session/day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0-5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Duration (hours per session)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(decimal, hours)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0.0-2.0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days/week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0-7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weeks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Numeric (integer)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1-52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Precautions/Contraindications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Equipment Needed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Progression/Advancement Criteria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 text, ideally phrased as an objective threshold (e.g. "pain &lt;=3/10 AND full passive ROM achieved")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6. Diagnosis Logic (DDX)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Differential diagnosis is keyed to the Key Differentiating Feature of each named condition in this group (source of truth: Shoulder_CDSS_Condition_Master_List.csv). The Diagnosis field (Section 3) may only be set to one of these values, or routed to S18 if none applies.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900"/>
        <w:gridCol w:w="3760"/>
      </w:tblGrid>
      <w:tr>
        <w:trPr>
          <w:tblHeader/>
        </w:trPr>
        <w:tc>
          <w:tcPr>
            <w:tcW w:type="dxa" w:w="22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Age Group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Onset Type</w:t>
            </w:r>
          </w:p>
        </w:tc>
        <w:tc>
          <w:tcPr>
            <w:tcW w:type="dxa" w:w="37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Differentiating Feature (DDX rule body)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Neurogenic thoracic outlet syndrome (true/classic)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20-40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Objective C8-T1 motor/sensory deficit with confirmatory nerve conduction findings - rare, definitive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Disputed/non-specific neurogenic TOS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20-45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 (postural/repetitive overhead)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Positional paresthesia/pain without objective neurological deficit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Cervical rib-associated neurogenic TOS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20-45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Insidious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Palpable/radiographic cervical rib with positional symptom reproduction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Traction-type brachial plexus irritation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15-40 yrs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Acute (traction mechanism) or insidious</w:t>
            </w:r>
          </w:p>
        </w:tc>
        <w:tc>
          <w:tcPr>
            <w:tcW w:type="dxa" w:w="37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Symptom reproduction with arm traction/overhead positioning, normal nerve conduction</w:t>
            </w:r>
          </w:p>
        </w:tc>
      </w:tr>
    </w:tbl>
    <w:p>
      <w:pPr>
        <w:pStyle w:val="Heading1"/>
      </w:pPr>
      <w:r>
        <w:t xml:space="preserve">7. Grading/Staging Scale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Protocol-sheet grading/staging column is: Nerve Conduction Study_Findings.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rPr>
          <w:tblHeader/>
        </w:trPr>
        <w:tc>
          <w:tcPr>
            <w:tcW w:type="dxa" w:w="2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/ free text</w:t>
            </w:r>
          </w:p>
        </w:tc>
        <w:tc>
          <w:tcPr>
            <w:tcW w:type="dxa" w:w="4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Normal / Abnormal - Demyelinating / Abnormal - Axonal / Abnormal - Mixed / Not Yet Performed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8. Descriptive and Free-Text Field Conventions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following Medical Record Library fields are intentionally free text rather than categorical, because they capture narrative or highly case-specific information that does not reduce to a fixed value set: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Co-morbidities — Free text list; recommended controlled vocabulary: Diabetes Mellitus, Thyroid Disease, Rheumatoid/Inflammatory Arthritis, Cardiac Disease, Renal Disease, Osteoporosis, Malignancy (specify), None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Medication History — Free text; anticoagulants/antiplatelets and corticosteroids should always be explicitly flagged if present (see Section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Occupation — Free text; overhead-demand occupations should be flagged (relevant to S01, S03, S11, S14)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Previous Shoulder Surgery - Any (Y/N, procedure/date if known) — Yes/No, then free text procedure name and approximate date if Yes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Aggravating Factors — Free text; recommend structured prompts (overhead activity, lying on side, lifting, reaching behind back)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Easing Factors — Free text; recommend structured prompts (rest, sling, position, ice/heat, medication)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MRI/CT_Brachial Plexus Compression Site — None identified / Scalene triangle / Costoclavicular space / Subpectoral (retropectoralis minor) space / Other (specify)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Nerve Conduction Study_Findings — Normal / Abnormal - Demyelinating / Abnormal - Axonal / Abnormal - Mixed / Not Yet Performed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Red Flags / Precautions — Free text; recommended controlled vocabulary drawn from the Red Flag Master List (Section 10)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Progress / Follow-up Tracking — Free text, one entry per follow-up visit with a date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Patient Goals / Expectations — Free text, captured at intake and reviewed at each follow-up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Notes — Unstructured free text</w:t>
      </w:r>
    </w:p>
    <w:p>
      <w:pPr>
        <w:pStyle w:val="Heading1"/>
      </w:pPr>
      <w:r>
        <w:t xml:space="preserve">9. Phase Logic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Standard four-phase progression, matching this group's Rehabilitation Phase field (Section 3) and Protocol Rehab Phase column (Section 5):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1 - Acute/protective: pain and irritability control, protect healing/repaired structures.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2 - Early mobilisation: restore passive then active range of motion within protocol-permitted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3 - Strengthening: progressive resistance targeting this group's target muscle groups.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Phase 4 - Return to activity: functional and sport/occupation-specific loading and discharge criteria.</w:t>
      </w:r>
    </w:p>
    <w:p>
      <w:pPr>
        <w:pStyle w:val="Heading1"/>
      </w:pPr>
      <w:r>
        <w:t xml:space="preserve">10. Red Flag Master List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No group-specific deterministic red flag is defined for this group beyond the shared Core-block red-flag screen (Red Flags/Precautions field, Section 3) and the general Cervical Spine Screen. See Shoulder_CDSS_Wrapper_Routing_Map.xlsx, sheet 'Red Flag Routing', for the full nine-rule red-flag set that can redirect a case into this group (e.g. SH-RF-05 for a suspected neoplastic process presenting anywhere in the shoulder girdle).</w:t>
      </w:r>
    </w:p>
    <w:p>
      <w:pPr>
        <w:pStyle w:val="Heading1"/>
      </w:pPr>
      <w:r>
        <w:t xml:space="preserve">11. Structural and Operative Fields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Fields specific to a prior or planned procedure for this group: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960"/>
        <w:gridCol w:w="1900"/>
      </w:tblGrid>
      <w:tr>
        <w:trPr>
          <w:tblHeader/>
        </w:trPr>
        <w:tc>
          <w:tcPr>
            <w:tcW w:type="dxa" w:w="30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9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Valid Range / Values</w:t>
            </w:r>
          </w:p>
        </w:tc>
        <w:tc>
          <w:tcPr>
            <w:tcW w:type="dxa" w:w="19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Shoulder Surgery - Any (Y/N, procedure/date if known)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Boolean + free text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Yes/No, then free text procedure name and approximate date if Yes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Previous Treatment Received (physiotherapy/injection/surgery/none)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Categorical (multi-select)</w:t>
            </w:r>
          </w:p>
        </w:tc>
        <w:tc>
          <w:tcPr>
            <w:tcW w:type="dxa" w:w="29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Physiotherapy / Corticosteroid Injection / Surgery / Medication only / None</w:t>
            </w:r>
          </w:p>
        </w:tc>
        <w:tc>
          <w:tcPr>
            <w:tcW w:type="dxa" w:w="1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</w:pPr>
      <w:r>
        <w:t xml:space="preserve">12. Follow-up Consistency Rules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Every Follow_Up_* field must be entered on the same valid-range/value-set basis as its baseline counterpart (Section 3), and is additionally subject to: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numeric value may not exceed the instrument's own maximum (e.g. Follow_Up_ASES may not exceed 100) — this is a data-entry error, not evidence of exceptional improvement.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follow-up value that regresses (worsens) without a corresponding note in Progress/Follow-up Tracking or Notes is flagged for clinician review, not blocked outright — regression can be genuine.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Rehabilitation Phase may not advance (e.g. Phase 1 to Phase 3) without passing through the intervening phase in a prior follow-up entry, except where a documented clinical reason overrides this (e.g. rapid recovery confirmed on imaging).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group's specific follow-up fields: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Follow_Up_Provocative Test Response — Positive / Negative / Equivocal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Follow_Up_Grip Strength — 0-5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Follow_Up_DASH — 0-100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Follow_Up_Balance and Stability — Normal / Mild Deficit / Moderate Deficit / Severe Deficit</w:t>
      </w:r>
    </w:p>
    <w:p>
      <w:pPr>
        <w:pStyle w:val="Heading1"/>
      </w:pPr>
      <w:r>
        <w:t xml:space="preserve">13. Validation Log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SIMULATION COMPLETE (2026-09-30). This wrapper's Golden Dataset has been built: S14_Thoracic_Outlet_Syndrome_Neurogenic_Golden_Dataset_SIMULATED.xlsx, in this same folder. Every row in that workbook is SIMULATED, not real patient data — see that workbook's own "README - SIMULATION DISCLOSURE" sheet for the full disclosure.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Method: construction, not audit (root variables sampled first — Diagnosis, Onset/Injury, Rehabilitation Phase conditional on elapsed time, Age, Laterality — then every other field deterministically/probabilistically derived from them, so each row is internally consistent by construction rather than assembled field-by-field at random).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rPr>
          <w:tblHeader/>
        </w:trPr>
        <w:tc>
          <w:tcPr>
            <w:tcW w:type="dxa" w:w="3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Sheet</w:t>
            </w:r>
          </w:p>
        </w:tc>
        <w:tc>
          <w:tcPr>
            <w:tcW w:type="dxa" w:w="250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Rows Generated</w:t>
            </w:r>
          </w:p>
        </w:tc>
        <w:tc>
          <w:tcPr>
            <w:tcW w:type="dxa" w:w="3360"/>
            <w:shd w:fill="2F559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Contradictions Found (independent validation)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Protocol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Medical Record Library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22,000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Experience Base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5,500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27,604</w:t>
            </w:r>
          </w:p>
        </w:tc>
        <w:tc>
          <w:tcPr>
            <w:tcW w:type="dxa" w:w="336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Independent validation script: s14_golden_dataset_validate.py. It re-derives every check from the written workbook cells (never trusts the generator script's own bookkeeping), covering: every field's data type/range/value-set against this document's Sections 3-5; the X-Ray_Cervical Rib Present diagnosis-consistency check (deterministic on the diagnosis itself — "Yes" only for the Cervical rib-associated neurogenic TOS diagnosis, reflecting this group's mutually-exclusive diagnosis design) and the standard Protocol-ID foreign-key checks; Rehabilitation-Phase-vs-elapsed-time consistency; the Protocol ID foreign key from both the Medical Record Library and the Experience Base (including that the referenced Protocol row's own Diagnosis and Phase match the referring case); and internal consistency across the Experience Base's five error-tracking fields (Error Severity / Wrong Action Taken / Error Classification / Cognitive Error Type / Error Source / Correction Effectiveness must all agree on whether a case is clean or flagged).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This is the second built group since S11 to require NO dedicated special-case validators at all: every group-specific field (the special-test battery, sensory/imaging/nerve-conduction fields, DASH/QuickDASH, and the Follow_Up_* fields) resolved cleanly against a real enumerated or numeric value set under pre-build diagnostic testing. A per-diagnosis "provocative severity rate" root variable drives the special-test battery (Adson's, Roos, Wright's, Costoclavicular, ULTT), sensory distribution, grip strength, DASH/QuickDASH and symptom provocation latency, all derived from that single shared severity value rather than sampled independently. Like S07/S10/S11, this group's schema carries no numeric elapsed-time MRL field, so Rehabilitation Phase is sampled directly via diagnosis-aware flat weights (a structural no-op for the elapsed-time cross-check, not an omission). This group is a standard (non-phase-gated) build, unlike S13, despite both groups sharing a "halt if unresolved" clinical flavour in their Red Flags/Precautions text.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S01, S02, S03, S06, S07, S08, S09, S10, S11, S12, S13, and S14 are now built. The remaining 6 groups (S04, S05, S15-S18) remain header-only (0 data rows), pending a separate request to extend the same simulation to them.</w:t>
      </w:r>
    </w:p>
    <w:p>
      <w:pPr>
        <w:pStyle w:val="Heading1"/>
      </w:pPr>
      <w:r>
        <w:t xml:space="preserve">14. Open Items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Golden Dataset (populated case data) generation for this group is complete (see Section 13) — 0 contradictions on independent validation, 27,604 total simulated rows. Extending the same simulation to the remaining header-only groups has not been requested yet.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Local controlled-vocabulary fields marked "(specify)" in Sections 3-5 should be reviewed against this clinic's actual documentation habits before go-live and tightened to a fixed list where possible.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Cross-reference conditions noted in the Grouping Rationale index for this group should be re-confirmed with the clinical sign-off authority before this wrapper is used for live intake: Where objective nerve-conduction findings localise to a single named nerve rather than the plexus/outlet as a whole, the presentation is cross-referenced to S16.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2026-09-30T04:39:15.775Z</dcterms:created>
  <dcterms:modified xsi:type="dcterms:W3CDTF">2026-09-30T04:39:15.775Z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