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1990A"/>
          <w:sz w:val="34"/>
          <w:szCs w:val="34"/>
        </w:rPr>
        <w:t xml:space="preserve">URBANI — Implementation &amp; Execution Plan</w:t>
      </w:r>
    </w:p>
    <w:p>
      <w:pPr>
        <w:spacing w:after="240"/>
        <w:jc w:val="center"/>
      </w:pPr>
      <w:r>
        <w:rPr>
          <w:i/>
          <w:iCs/>
          <w:color w:val="667085"/>
          <w:sz w:val="22"/>
          <w:szCs w:val="22"/>
        </w:rPr>
        <w:t xml:space="preserve">Custom Web Dashboard + AI Log Chatbot · Live Logs · AWS CDK</w:t>
      </w:r>
    </w:p>
    <w:p>
      <w:pPr>
        <w:pStyle w:val="Heading1"/>
        <w:spacing w:after="120" w:before="240"/>
      </w:pPr>
      <w:r>
        <w:t xml:space="preserve">1. Purpose</w:t>
      </w:r>
    </w:p>
    <w:p>
      <w:pPr>
        <w:spacing w:after="120"/>
      </w:pPr>
      <w:r>
        <w:rPr>
          <w:b w:val="false"/>
          <w:bCs w:val="false"/>
          <w:i w:val="false"/>
          <w:iCs w:val="false"/>
          <w:color w:val="172033"/>
          <w:sz w:val="22"/>
          <w:szCs w:val="22"/>
        </w:rPr>
        <w:t xml:space="preserve">This plan records the delivered implementation and the remaining path to full AWS enablement. The scope has been refined since the original DPI plan: the visualization layer is a custom web dashboard (not Grafana/CloudWatch dashboards) and now includes an AI log chatbot; real Urbani logs are already integrated.</w:t>
      </w:r>
    </w:p>
    <w:p>
      <w:pPr>
        <w:pStyle w:val="Heading1"/>
        <w:spacing w:after="120" w:before="240"/>
      </w:pPr>
      <w:r>
        <w:t xml:space="preserve">2. Definition of Done —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D1990A" w:val="clear"/>
          </w:tcPr>
          <w:p>
            <w:r>
              <w:rPr>
                <w:b/>
                <w:bCs/>
                <w:color w:val="FFFFFF"/>
                <w:sz w:val="18"/>
                <w:szCs w:val="18"/>
              </w:rPr>
              <w:t xml:space="preserve">Criterion</w:t>
            </w:r>
          </w:p>
        </w:tc>
        <w:tc>
          <w:tcPr>
            <w:shd w:fill="D1990A" w:val="clear"/>
          </w:tcPr>
          <w:p>
            <w:r>
              <w:rPr>
                <w:b/>
                <w:bCs/>
                <w:color w:val="FFFFFF"/>
                <w:sz w:val="18"/>
                <w:szCs w:val="18"/>
              </w:rPr>
              <w:t xml:space="preserve">Status</w:t>
            </w:r>
          </w:p>
        </w:tc>
      </w:tr>
      <w:tr>
        <w:tc>
          <w:tcPr>
            <w:shd w:fill="FFFFFF" w:val="clear"/>
          </w:tcPr>
          <w:p>
            <w:r>
              <w:rPr>
                <w:b w:val="false"/>
                <w:bCs w:val="false"/>
                <w:color w:val="172033"/>
                <w:sz w:val="18"/>
                <w:szCs w:val="18"/>
              </w:rPr>
              <w:t xml:space="preserve">Ingest logs/metrics from Elastic Beanstalk via CloudWatch</w:t>
            </w:r>
          </w:p>
        </w:tc>
        <w:tc>
          <w:tcPr>
            <w:shd w:fill="FFFFFF" w:val="clear"/>
          </w:tcPr>
          <w:p>
            <w:r>
              <w:rPr>
                <w:b w:val="false"/>
                <w:bCs w:val="false"/>
                <w:color w:val="172033"/>
                <w:sz w:val="18"/>
                <w:szCs w:val="18"/>
              </w:rPr>
              <w:t xml:space="preserve">LIVE for logs (API Gateway); metrics pending endpoint</w:t>
            </w:r>
          </w:p>
        </w:tc>
      </w:tr>
      <w:tr>
        <w:tc>
          <w:tcPr>
            <w:shd w:fill="FFFFFF" w:val="clear"/>
          </w:tcPr>
          <w:p>
            <w:r>
              <w:rPr>
                <w:b w:val="false"/>
                <w:bCs w:val="false"/>
                <w:color w:val="172033"/>
                <w:sz w:val="18"/>
                <w:szCs w:val="18"/>
              </w:rPr>
              <w:t xml:space="preserve">AI anomaly detection + structured recommendation</w:t>
            </w:r>
          </w:p>
        </w:tc>
        <w:tc>
          <w:tcPr>
            <w:shd w:fill="FFFFFF" w:val="clear"/>
          </w:tcPr>
          <w:p>
            <w:r>
              <w:rPr>
                <w:b w:val="false"/>
                <w:bCs w:val="false"/>
                <w:color w:val="172033"/>
                <w:sz w:val="18"/>
                <w:szCs w:val="18"/>
              </w:rPr>
              <w:t xml:space="preserve">Implemented via AIProvider (mock now, Bedrock-ready)</w:t>
            </w:r>
          </w:p>
        </w:tc>
      </w:tr>
      <w:tr>
        <w:tc>
          <w:tcPr>
            <w:shd w:fill="FFFFFF" w:val="clear"/>
          </w:tcPr>
          <w:p>
            <w:r>
              <w:rPr>
                <w:b w:val="false"/>
                <w:bCs w:val="false"/>
                <w:color w:val="172033"/>
                <w:sz w:val="18"/>
                <w:szCs w:val="18"/>
              </w:rPr>
              <w:t xml:space="preserve">Persist alerts to DynamoDB UrbaniAlerts</w:t>
            </w:r>
          </w:p>
        </w:tc>
        <w:tc>
          <w:tcPr>
            <w:shd w:fill="FFFFFF" w:val="clear"/>
          </w:tcPr>
          <w:p>
            <w:r>
              <w:rPr>
                <w:b w:val="false"/>
                <w:bCs w:val="false"/>
                <w:color w:val="172033"/>
                <w:sz w:val="18"/>
                <w:szCs w:val="18"/>
              </w:rPr>
              <w:t xml:space="preserve">Modeled in CDK + app repository (mock store in dev)</w:t>
            </w:r>
          </w:p>
        </w:tc>
      </w:tr>
      <w:tr>
        <w:tc>
          <w:tcPr>
            <w:shd w:fill="FFFFFF" w:val="clear"/>
          </w:tcPr>
          <w:p>
            <w:r>
              <w:rPr>
                <w:b w:val="false"/>
                <w:bCs w:val="false"/>
                <w:color w:val="172033"/>
                <w:sz w:val="18"/>
                <w:szCs w:val="18"/>
              </w:rPr>
              <w:t xml:space="preserve">Unified visualization dashboard</w:t>
            </w:r>
          </w:p>
        </w:tc>
        <w:tc>
          <w:tcPr>
            <w:shd w:fill="FFFFFF" w:val="clear"/>
          </w:tcPr>
          <w:p>
            <w:r>
              <w:rPr>
                <w:b w:val="false"/>
                <w:bCs w:val="false"/>
                <w:color w:val="172033"/>
                <w:sz w:val="18"/>
                <w:szCs w:val="18"/>
              </w:rPr>
              <w:t xml:space="preserve">DONE — custom web dashboard</w:t>
            </w:r>
          </w:p>
        </w:tc>
      </w:tr>
      <w:tr>
        <w:tc>
          <w:tcPr>
            <w:shd w:fill="FFFFFF" w:val="clear"/>
          </w:tcPr>
          <w:p>
            <w:r>
              <w:rPr>
                <w:b w:val="false"/>
                <w:bCs w:val="false"/>
                <w:color w:val="172033"/>
                <w:sz w:val="18"/>
                <w:szCs w:val="18"/>
              </w:rPr>
              <w:t xml:space="preserve">AI log chatbot for natural-language triage</w:t>
            </w:r>
          </w:p>
        </w:tc>
        <w:tc>
          <w:tcPr>
            <w:shd w:fill="FFFFFF" w:val="clear"/>
          </w:tcPr>
          <w:p>
            <w:r>
              <w:rPr>
                <w:b w:val="false"/>
                <w:bCs w:val="false"/>
                <w:color w:val="172033"/>
                <w:sz w:val="18"/>
                <w:szCs w:val="18"/>
              </w:rPr>
              <w:t xml:space="preserve">DONE — grounded, advisory</w:t>
            </w:r>
          </w:p>
        </w:tc>
      </w:tr>
    </w:tbl>
    <w:p>
      <w:pPr>
        <w:pStyle w:val="Heading1"/>
        <w:spacing w:after="120" w:before="240"/>
      </w:pPr>
      <w:r>
        <w:t xml:space="preserve">3. Workstreams</w:t>
      </w:r>
    </w:p>
    <w:p>
      <w:pPr>
        <w:pStyle w:val="ListParagraph"/>
        <w:numPr>
          <w:ilvl w:val="0"/>
          <w:numId w:val="1"/>
        </w:numPr>
        <w:spacing w:after="60"/>
      </w:pPr>
      <w:r>
        <w:rPr>
          <w:color w:val="172033"/>
          <w:sz w:val="22"/>
          <w:szCs w:val="22"/>
        </w:rPr>
        <w:t xml:space="preserve">WS1 — Custom Web Dashboard (React + Node, containerized, light UI, brand #D1990A). DONE.</w:t>
      </w:r>
    </w:p>
    <w:p>
      <w:pPr>
        <w:pStyle w:val="ListParagraph"/>
        <w:numPr>
          <w:ilvl w:val="0"/>
          <w:numId w:val="1"/>
        </w:numPr>
        <w:spacing w:after="60"/>
      </w:pPr>
      <w:r>
        <w:rPr>
          <w:color w:val="172033"/>
          <w:sz w:val="22"/>
          <w:szCs w:val="22"/>
        </w:rPr>
        <w:t xml:space="preserve">WS2 — AI Log Chatbot (AIProvider.askLogs, /api/chat, chat UI). DONE.</w:t>
      </w:r>
    </w:p>
    <w:p>
      <w:pPr>
        <w:pStyle w:val="ListParagraph"/>
        <w:numPr>
          <w:ilvl w:val="0"/>
          <w:numId w:val="1"/>
        </w:numPr>
        <w:spacing w:after="60"/>
      </w:pPr>
      <w:r>
        <w:rPr>
          <w:color w:val="172033"/>
          <w:sz w:val="22"/>
          <w:szCs w:val="22"/>
        </w:rPr>
        <w:t xml:space="preserve">WS3 — Telemetry Ingestion (live logs via API Gateway; adapter boundary). DONE for logs.</w:t>
      </w:r>
    </w:p>
    <w:p>
      <w:pPr>
        <w:pStyle w:val="ListParagraph"/>
        <w:numPr>
          <w:ilvl w:val="0"/>
          <w:numId w:val="1"/>
        </w:numPr>
        <w:spacing w:after="60"/>
      </w:pPr>
      <w:r>
        <w:rPr>
          <w:color w:val="172033"/>
          <w:sz w:val="22"/>
          <w:szCs w:val="22"/>
        </w:rPr>
        <w:t xml:space="preserve">WS4 — AI Analysis Engine (Bedrock + Guardrails, config-driven). READY for enablement.</w:t>
      </w:r>
    </w:p>
    <w:p>
      <w:pPr>
        <w:pStyle w:val="ListParagraph"/>
        <w:numPr>
          <w:ilvl w:val="0"/>
          <w:numId w:val="1"/>
        </w:numPr>
        <w:spacing w:after="60"/>
      </w:pPr>
      <w:r>
        <w:rPr>
          <w:color w:val="172033"/>
          <w:sz w:val="22"/>
          <w:szCs w:val="22"/>
        </w:rPr>
        <w:t xml:space="preserve">WS5 — Persistence (DynamoDB UrbaniAlerts) via CDK. Synth-validated.</w:t>
      </w:r>
    </w:p>
    <w:p>
      <w:pPr>
        <w:pStyle w:val="ListParagraph"/>
        <w:numPr>
          <w:ilvl w:val="0"/>
          <w:numId w:val="1"/>
        </w:numPr>
        <w:spacing w:after="60"/>
      </w:pPr>
      <w:r>
        <w:rPr>
          <w:color w:val="172033"/>
          <w:sz w:val="22"/>
          <w:szCs w:val="22"/>
        </w:rPr>
        <w:t xml:space="preserve">WS6 — Infrastructure as Code (AWS CDK, TypeScript). Synth-validated, not deployed.</w:t>
      </w:r>
    </w:p>
    <w:p>
      <w:pPr>
        <w:pStyle w:val="ListParagraph"/>
        <w:numPr>
          <w:ilvl w:val="0"/>
          <w:numId w:val="1"/>
        </w:numPr>
        <w:spacing w:after="60"/>
      </w:pPr>
      <w:r>
        <w:rPr>
          <w:color w:val="172033"/>
          <w:sz w:val="22"/>
          <w:szCs w:val="22"/>
        </w:rPr>
        <w:t xml:space="preserve">WS7 — Security &amp; Cost governance (IAM least-priv, KMS, CloudTrail, Budgets). Modeled in CDK.</w:t>
      </w:r>
    </w:p>
    <w:p>
      <w:pPr>
        <w:pStyle w:val="Heading1"/>
        <w:spacing w:after="120" w:before="240"/>
      </w:pPr>
      <w:r>
        <w:t xml:space="preserve">4. Task Backlog &amp;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D1990A" w:val="clear"/>
          </w:tcPr>
          <w:p>
            <w:r>
              <w:rPr>
                <w:b/>
                <w:bCs/>
                <w:color w:val="FFFFFF"/>
                <w:sz w:val="18"/>
                <w:szCs w:val="18"/>
              </w:rPr>
              <w:t xml:space="preserve">ID</w:t>
            </w:r>
          </w:p>
        </w:tc>
        <w:tc>
          <w:tcPr>
            <w:shd w:fill="D1990A" w:val="clear"/>
          </w:tcPr>
          <w:p>
            <w:r>
              <w:rPr>
                <w:b/>
                <w:bCs/>
                <w:color w:val="FFFFFF"/>
                <w:sz w:val="18"/>
                <w:szCs w:val="18"/>
              </w:rPr>
              <w:t xml:space="preserve">Task</w:t>
            </w:r>
          </w:p>
        </w:tc>
        <w:tc>
          <w:tcPr>
            <w:shd w:fill="D1990A" w:val="clear"/>
          </w:tcPr>
          <w:p>
            <w:r>
              <w:rPr>
                <w:b/>
                <w:bCs/>
                <w:color w:val="FFFFFF"/>
                <w:sz w:val="18"/>
                <w:szCs w:val="18"/>
              </w:rPr>
              <w:t xml:space="preserve">Status</w:t>
            </w:r>
          </w:p>
        </w:tc>
      </w:tr>
      <w:tr>
        <w:tc>
          <w:tcPr>
            <w:shd w:fill="FFFFFF" w:val="clear"/>
          </w:tcPr>
          <w:p>
            <w:r>
              <w:rPr>
                <w:b w:val="false"/>
                <w:bCs w:val="false"/>
                <w:color w:val="172033"/>
                <w:sz w:val="18"/>
                <w:szCs w:val="18"/>
              </w:rPr>
              <w:t xml:space="preserve">T01</w:t>
            </w:r>
          </w:p>
        </w:tc>
        <w:tc>
          <w:tcPr>
            <w:shd w:fill="FFFFFF" w:val="clear"/>
          </w:tcPr>
          <w:p>
            <w:r>
              <w:rPr>
                <w:b w:val="false"/>
                <w:bCs w:val="false"/>
                <w:color w:val="172033"/>
                <w:sz w:val="18"/>
                <w:szCs w:val="18"/>
              </w:rPr>
              <w:t xml:space="preserve">Custom Admin Dashboard shell + all pages</w:t>
            </w:r>
          </w:p>
        </w:tc>
        <w:tc>
          <w:tcPr>
            <w:shd w:fill="FFFFFF" w:val="clear"/>
          </w:tcPr>
          <w:p>
            <w:r>
              <w:rPr>
                <w:b w:val="false"/>
                <w:bCs w:val="false"/>
                <w:color w:val="172033"/>
                <w:sz w:val="18"/>
                <w:szCs w:val="18"/>
              </w:rPr>
              <w:t xml:space="preserve">DONE</w:t>
            </w:r>
          </w:p>
        </w:tc>
      </w:tr>
      <w:tr>
        <w:tc>
          <w:tcPr>
            <w:shd w:fill="FFFFFF" w:val="clear"/>
          </w:tcPr>
          <w:p>
            <w:r>
              <w:rPr>
                <w:b w:val="false"/>
                <w:bCs w:val="false"/>
                <w:color w:val="172033"/>
                <w:sz w:val="18"/>
                <w:szCs w:val="18"/>
              </w:rPr>
              <w:t xml:space="preserve">T02</w:t>
            </w:r>
          </w:p>
        </w:tc>
        <w:tc>
          <w:tcPr>
            <w:shd w:fill="FFFFFF" w:val="clear"/>
          </w:tcPr>
          <w:p>
            <w:r>
              <w:rPr>
                <w:b w:val="false"/>
                <w:bCs w:val="false"/>
                <w:color w:val="172033"/>
                <w:sz w:val="18"/>
                <w:szCs w:val="18"/>
              </w:rPr>
              <w:t xml:space="preserve">Production hardening + Dockerization + light UI</w:t>
            </w:r>
          </w:p>
        </w:tc>
        <w:tc>
          <w:tcPr>
            <w:shd w:fill="FFFFFF" w:val="clear"/>
          </w:tcPr>
          <w:p>
            <w:r>
              <w:rPr>
                <w:b w:val="false"/>
                <w:bCs w:val="false"/>
                <w:color w:val="172033"/>
                <w:sz w:val="18"/>
                <w:szCs w:val="18"/>
              </w:rPr>
              <w:t xml:space="preserve">DONE</w:t>
            </w:r>
          </w:p>
        </w:tc>
      </w:tr>
      <w:tr>
        <w:tc>
          <w:tcPr>
            <w:shd w:fill="FFFFFF" w:val="clear"/>
          </w:tcPr>
          <w:p>
            <w:r>
              <w:rPr>
                <w:b w:val="false"/>
                <w:bCs w:val="false"/>
                <w:color w:val="172033"/>
                <w:sz w:val="18"/>
                <w:szCs w:val="18"/>
              </w:rPr>
              <w:t xml:space="preserve">T03</w:t>
            </w:r>
          </w:p>
        </w:tc>
        <w:tc>
          <w:tcPr>
            <w:shd w:fill="FFFFFF" w:val="clear"/>
          </w:tcPr>
          <w:p>
            <w:r>
              <w:rPr>
                <w:b w:val="false"/>
                <w:bCs w:val="false"/>
                <w:color w:val="172033"/>
                <w:sz w:val="18"/>
                <w:szCs w:val="18"/>
              </w:rPr>
              <w:t xml:space="preserve">Live logs API integration (LIVE provenance)</w:t>
            </w:r>
          </w:p>
        </w:tc>
        <w:tc>
          <w:tcPr>
            <w:shd w:fill="FFFFFF" w:val="clear"/>
          </w:tcPr>
          <w:p>
            <w:r>
              <w:rPr>
                <w:b w:val="false"/>
                <w:bCs w:val="false"/>
                <w:color w:val="172033"/>
                <w:sz w:val="18"/>
                <w:szCs w:val="18"/>
              </w:rPr>
              <w:t xml:space="preserve">DONE</w:t>
            </w:r>
          </w:p>
        </w:tc>
      </w:tr>
      <w:tr>
        <w:tc>
          <w:tcPr>
            <w:shd w:fill="FFFFFF" w:val="clear"/>
          </w:tcPr>
          <w:p>
            <w:r>
              <w:rPr>
                <w:b w:val="false"/>
                <w:bCs w:val="false"/>
                <w:color w:val="172033"/>
                <w:sz w:val="18"/>
                <w:szCs w:val="18"/>
              </w:rPr>
              <w:t xml:space="preserve">T04</w:t>
            </w:r>
          </w:p>
        </w:tc>
        <w:tc>
          <w:tcPr>
            <w:shd w:fill="FFFFFF" w:val="clear"/>
          </w:tcPr>
          <w:p>
            <w:r>
              <w:rPr>
                <w:b w:val="false"/>
                <w:bCs w:val="false"/>
                <w:color w:val="172033"/>
                <w:sz w:val="18"/>
                <w:szCs w:val="18"/>
              </w:rPr>
              <w:t xml:space="preserve">AI Log Chatbot (backend + frontend)</w:t>
            </w:r>
          </w:p>
        </w:tc>
        <w:tc>
          <w:tcPr>
            <w:shd w:fill="FFFFFF" w:val="clear"/>
          </w:tcPr>
          <w:p>
            <w:r>
              <w:rPr>
                <w:b w:val="false"/>
                <w:bCs w:val="false"/>
                <w:color w:val="172033"/>
                <w:sz w:val="18"/>
                <w:szCs w:val="18"/>
              </w:rPr>
              <w:t xml:space="preserve">DONE</w:t>
            </w:r>
          </w:p>
        </w:tc>
      </w:tr>
      <w:tr>
        <w:tc>
          <w:tcPr>
            <w:shd w:fill="FFFFFF" w:val="clear"/>
          </w:tcPr>
          <w:p>
            <w:r>
              <w:rPr>
                <w:b w:val="false"/>
                <w:bCs w:val="false"/>
                <w:color w:val="172033"/>
                <w:sz w:val="18"/>
                <w:szCs w:val="18"/>
              </w:rPr>
              <w:t xml:space="preserve">T05</w:t>
            </w:r>
          </w:p>
        </w:tc>
        <w:tc>
          <w:tcPr>
            <w:shd w:fill="FFFFFF" w:val="clear"/>
          </w:tcPr>
          <w:p>
            <w:r>
              <w:rPr>
                <w:b w:val="false"/>
                <w:bCs w:val="false"/>
                <w:color w:val="172033"/>
                <w:sz w:val="18"/>
                <w:szCs w:val="18"/>
              </w:rPr>
              <w:t xml:space="preserve">AWS CDK infrastructure scaffold (synth-ready)</w:t>
            </w:r>
          </w:p>
        </w:tc>
        <w:tc>
          <w:tcPr>
            <w:shd w:fill="FFFFFF" w:val="clear"/>
          </w:tcPr>
          <w:p>
            <w:r>
              <w:rPr>
                <w:b w:val="false"/>
                <w:bCs w:val="false"/>
                <w:color w:val="172033"/>
                <w:sz w:val="18"/>
                <w:szCs w:val="18"/>
              </w:rPr>
              <w:t xml:space="preserve">DONE</w:t>
            </w:r>
          </w:p>
        </w:tc>
      </w:tr>
      <w:tr>
        <w:tc>
          <w:tcPr>
            <w:shd w:fill="FFFFFF" w:val="clear"/>
          </w:tcPr>
          <w:p>
            <w:r>
              <w:rPr>
                <w:b w:val="false"/>
                <w:bCs w:val="false"/>
                <w:color w:val="172033"/>
                <w:sz w:val="18"/>
                <w:szCs w:val="18"/>
              </w:rPr>
              <w:t xml:space="preserve">T06</w:t>
            </w:r>
          </w:p>
        </w:tc>
        <w:tc>
          <w:tcPr>
            <w:shd w:fill="FFFFFF" w:val="clear"/>
          </w:tcPr>
          <w:p>
            <w:r>
              <w:rPr>
                <w:b w:val="false"/>
                <w:bCs w:val="false"/>
                <w:color w:val="172033"/>
                <w:sz w:val="18"/>
                <w:szCs w:val="18"/>
              </w:rPr>
              <w:t xml:space="preserve">Enable Amazon Bedrock model + guardrail</w:t>
            </w:r>
          </w:p>
        </w:tc>
        <w:tc>
          <w:tcPr>
            <w:shd w:fill="FFFFFF" w:val="clear"/>
          </w:tcPr>
          <w:p>
            <w:r>
              <w:rPr>
                <w:b w:val="false"/>
                <w:bCs w:val="false"/>
                <w:color w:val="172033"/>
                <w:sz w:val="18"/>
                <w:szCs w:val="18"/>
              </w:rPr>
              <w:t xml:space="preserve">WAITING — AWS access</w:t>
            </w:r>
          </w:p>
        </w:tc>
      </w:tr>
      <w:tr>
        <w:tc>
          <w:tcPr>
            <w:shd w:fill="FFFFFF" w:val="clear"/>
          </w:tcPr>
          <w:p>
            <w:r>
              <w:rPr>
                <w:b w:val="false"/>
                <w:bCs w:val="false"/>
                <w:color w:val="172033"/>
                <w:sz w:val="18"/>
                <w:szCs w:val="18"/>
              </w:rPr>
              <w:t xml:space="preserve">T07</w:t>
            </w:r>
          </w:p>
        </w:tc>
        <w:tc>
          <w:tcPr>
            <w:shd w:fill="FFFFFF" w:val="clear"/>
          </w:tcPr>
          <w:p>
            <w:r>
              <w:rPr>
                <w:b w:val="false"/>
                <w:bCs w:val="false"/>
                <w:color w:val="172033"/>
                <w:sz w:val="18"/>
                <w:szCs w:val="18"/>
              </w:rPr>
              <w:t xml:space="preserve">Provision metrics/services API endpoints</w:t>
            </w:r>
          </w:p>
        </w:tc>
        <w:tc>
          <w:tcPr>
            <w:shd w:fill="FFFFFF" w:val="clear"/>
          </w:tcPr>
          <w:p>
            <w:r>
              <w:rPr>
                <w:b w:val="false"/>
                <w:bCs w:val="false"/>
                <w:color w:val="172033"/>
                <w:sz w:val="18"/>
                <w:szCs w:val="18"/>
              </w:rPr>
              <w:t xml:space="preserve">WAITING — client</w:t>
            </w:r>
          </w:p>
        </w:tc>
      </w:tr>
      <w:tr>
        <w:tc>
          <w:tcPr>
            <w:shd w:fill="FFFFFF" w:val="clear"/>
          </w:tcPr>
          <w:p>
            <w:r>
              <w:rPr>
                <w:b w:val="false"/>
                <w:bCs w:val="false"/>
                <w:color w:val="172033"/>
                <w:sz w:val="18"/>
                <w:szCs w:val="18"/>
              </w:rPr>
              <w:t xml:space="preserve">T08</w:t>
            </w:r>
          </w:p>
        </w:tc>
        <w:tc>
          <w:tcPr>
            <w:shd w:fill="FFFFFF" w:val="clear"/>
          </w:tcPr>
          <w:p>
            <w:r>
              <w:rPr>
                <w:b w:val="false"/>
                <w:bCs w:val="false"/>
                <w:color w:val="172033"/>
                <w:sz w:val="18"/>
                <w:szCs w:val="18"/>
              </w:rPr>
              <w:t xml:space="preserve">Deploy CDK stack to AWS account</w:t>
            </w:r>
          </w:p>
        </w:tc>
        <w:tc>
          <w:tcPr>
            <w:shd w:fill="FFFFFF" w:val="clear"/>
          </w:tcPr>
          <w:p>
            <w:r>
              <w:rPr>
                <w:b w:val="false"/>
                <w:bCs w:val="false"/>
                <w:color w:val="172033"/>
                <w:sz w:val="18"/>
                <w:szCs w:val="18"/>
              </w:rPr>
              <w:t xml:space="preserve">WAITING — AWS access</w:t>
            </w:r>
          </w:p>
        </w:tc>
      </w:tr>
      <w:tr>
        <w:tc>
          <w:tcPr>
            <w:shd w:fill="FFFFFF" w:val="clear"/>
          </w:tcPr>
          <w:p>
            <w:r>
              <w:rPr>
                <w:b w:val="false"/>
                <w:bCs w:val="false"/>
                <w:color w:val="172033"/>
                <w:sz w:val="18"/>
                <w:szCs w:val="18"/>
              </w:rPr>
              <w:t xml:space="preserve">T09</w:t>
            </w:r>
          </w:p>
        </w:tc>
        <w:tc>
          <w:tcPr>
            <w:shd w:fill="FFFFFF" w:val="clear"/>
          </w:tcPr>
          <w:p>
            <w:r>
              <w:rPr>
                <w:b w:val="false"/>
                <w:bCs w:val="false"/>
                <w:color w:val="172033"/>
                <w:sz w:val="18"/>
                <w:szCs w:val="18"/>
              </w:rPr>
              <w:t xml:space="preserve">End-to-end anomaly demo with real data</w:t>
            </w:r>
          </w:p>
        </w:tc>
        <w:tc>
          <w:tcPr>
            <w:shd w:fill="FFFFFF" w:val="clear"/>
          </w:tcPr>
          <w:p>
            <w:r>
              <w:rPr>
                <w:b w:val="false"/>
                <w:bCs w:val="false"/>
                <w:color w:val="172033"/>
                <w:sz w:val="18"/>
                <w:szCs w:val="18"/>
              </w:rPr>
              <w:t xml:space="preserve">WAITING — log activity/history</w:t>
            </w:r>
          </w:p>
        </w:tc>
      </w:tr>
    </w:tbl>
    <w:p>
      <w:pPr>
        <w:pStyle w:val="Heading1"/>
        <w:spacing w:after="120" w:before="240"/>
      </w:pPr>
      <w:r>
        <w:t xml:space="preserve">5. Demonstration Scenario</w:t>
      </w:r>
    </w:p>
    <w:p>
      <w:pPr>
        <w:spacing w:after="120"/>
      </w:pPr>
      <w:r>
        <w:rPr>
          <w:b w:val="false"/>
          <w:bCs w:val="false"/>
          <w:i w:val="false"/>
          <w:iCs w:val="false"/>
          <w:color w:val="172033"/>
          <w:sz w:val="22"/>
          <w:szCs w:val="22"/>
        </w:rPr>
        <w:t xml:space="preserve">1) An engineer opens the custom dashboard and reviews KPIs, alerts, and the live log stream. 2) They open the AI Log Assistant and ask “are there any errors right now?”. 3) The assistant answers from the current log window, citing specific log lines, and suggests what to investigate — advisory only. 4) When Bedrock is enabled, the same flow is answered by Claude 3.5 Sonnet v2 with no UI change.</w:t>
      </w:r>
    </w:p>
    <w:p>
      <w:pPr>
        <w:pStyle w:val="Heading1"/>
        <w:spacing w:after="120" w:before="240"/>
      </w:pPr>
      <w:r>
        <w:t xml:space="preserve">6. Evaluation Criteria</w:t>
      </w:r>
    </w:p>
    <w:p>
      <w:pPr>
        <w:pStyle w:val="ListParagraph"/>
        <w:numPr>
          <w:ilvl w:val="0"/>
          <w:numId w:val="1"/>
        </w:numPr>
        <w:spacing w:after="60"/>
      </w:pPr>
      <w:r>
        <w:rPr>
          <w:color w:val="172033"/>
          <w:sz w:val="22"/>
          <w:szCs w:val="22"/>
        </w:rPr>
        <w:t xml:space="preserve">Provenance clarity — every value is labelled LIVE, MOCK, or WAITING.</w:t>
      </w:r>
    </w:p>
    <w:p>
      <w:pPr>
        <w:pStyle w:val="ListParagraph"/>
        <w:numPr>
          <w:ilvl w:val="0"/>
          <w:numId w:val="1"/>
        </w:numPr>
        <w:spacing w:after="60"/>
      </w:pPr>
      <w:r>
        <w:rPr>
          <w:color w:val="172033"/>
          <w:sz w:val="22"/>
          <w:szCs w:val="22"/>
        </w:rPr>
        <w:t xml:space="preserve">Evidence grounding — AI answers cite real log lines; empty window → honest “no evidence”.</w:t>
      </w:r>
    </w:p>
    <w:p>
      <w:pPr>
        <w:pStyle w:val="ListParagraph"/>
        <w:numPr>
          <w:ilvl w:val="0"/>
          <w:numId w:val="1"/>
        </w:numPr>
        <w:spacing w:after="60"/>
      </w:pPr>
      <w:r>
        <w:rPr>
          <w:color w:val="172033"/>
          <w:sz w:val="22"/>
          <w:szCs w:val="22"/>
        </w:rPr>
        <w:t xml:space="preserve">Cost control — bounded windows, 5-min cadence, Budgets alerts.</w:t>
      </w:r>
    </w:p>
    <w:p>
      <w:pPr>
        <w:pStyle w:val="ListParagraph"/>
        <w:numPr>
          <w:ilvl w:val="0"/>
          <w:numId w:val="1"/>
        </w:numPr>
        <w:spacing w:after="60"/>
      </w:pPr>
      <w:r>
        <w:rPr>
          <w:color w:val="172033"/>
          <w:sz w:val="22"/>
          <w:szCs w:val="22"/>
        </w:rPr>
        <w:t xml:space="preserve">Security — read-only, least-privilege, no secrets exposed, human-in-the-loop.</w:t>
      </w:r>
    </w:p>
    <w:p>
      <w:pPr>
        <w:pStyle w:val="Heading1"/>
        <w:spacing w:after="120" w:before="240"/>
      </w:pPr>
      <w:r>
        <w:t xml:space="preserve">7. Next Steps</w:t>
      </w:r>
    </w:p>
    <w:p>
      <w:pPr>
        <w:pStyle w:val="ListParagraph"/>
        <w:numPr>
          <w:ilvl w:val="0"/>
          <w:numId w:val="1"/>
        </w:numPr>
        <w:spacing w:after="60"/>
      </w:pPr>
      <w:r>
        <w:rPr>
          <w:color w:val="172033"/>
          <w:sz w:val="22"/>
          <w:szCs w:val="22"/>
        </w:rPr>
        <w:t xml:space="preserve">Grant Amazon Bedrock model access + provision urbani-dpi-guardrail-v1.</w:t>
      </w:r>
    </w:p>
    <w:p>
      <w:pPr>
        <w:pStyle w:val="ListParagraph"/>
        <w:numPr>
          <w:ilvl w:val="0"/>
          <w:numId w:val="1"/>
        </w:numPr>
        <w:spacing w:after="60"/>
      </w:pPr>
      <w:r>
        <w:rPr>
          <w:color w:val="172033"/>
          <w:sz w:val="22"/>
          <w:szCs w:val="22"/>
        </w:rPr>
        <w:t xml:space="preserve">Provide metrics/services API endpoints (or history for logs) to expand LIVE coverage.</w:t>
      </w:r>
    </w:p>
    <w:p>
      <w:pPr>
        <w:pStyle w:val="ListParagraph"/>
        <w:numPr>
          <w:ilvl w:val="0"/>
          <w:numId w:val="1"/>
        </w:numPr>
        <w:spacing w:after="60"/>
      </w:pPr>
      <w:r>
        <w:rPr>
          <w:color w:val="172033"/>
          <w:sz w:val="22"/>
          <w:szCs w:val="22"/>
        </w:rPr>
        <w:t xml:space="preserve">Supply AWS account/region + IAM permissions to deploy the CDK stack.</w:t>
      </w:r>
    </w:p>
    <w:p>
      <w:pPr>
        <w:pStyle w:val="ListParagraph"/>
        <w:numPr>
          <w:ilvl w:val="0"/>
          <w:numId w:val="1"/>
        </w:numPr>
        <w:spacing w:after="60"/>
      </w:pPr>
      <w:r>
        <w:rPr>
          <w:color w:val="172033"/>
          <w:sz w:val="22"/>
          <w:szCs w:val="22"/>
        </w:rPr>
        <w:t xml:space="preserve">Rotate the shared logs API key and store it in a secret manager.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3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2026-09-29T07:49:36.543Z</dcterms:created>
  <dcterms:modified xsi:type="dcterms:W3CDTF">2026-09-29T07:49:36.544Z</dcterms:modified>
</cp:coreProperties>
</file>

<file path=docProps/custom.xml><?xml version="1.0" encoding="utf-8"?>
<Properties xmlns="http://schemas.openxmlformats.org/officeDocument/2006/custom-properties" xmlns:vt="http://schemas.openxmlformats.org/officeDocument/2006/docPropsVTypes"/>
</file>