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232F3E"/>
          <w:sz w:val="48"/>
        </w:rPr>
        <w:t>URBANI — AWS ARCHITECTURE PROPOSAL</w:t>
      </w:r>
    </w:p>
    <w:p>
      <w:pPr>
        <w:spacing w:before="0" w:after="360"/>
      </w:pPr>
      <w:r>
        <w:rPr>
          <w:rFonts w:ascii="Arial" w:hAnsi="Arial"/>
          <w:i/>
          <w:color w:val="FF9900"/>
          <w:sz w:val="28"/>
        </w:rPr>
        <w:t>Proactive Observability &amp; AI Troubleshooting Assistant</w:t>
      </w:r>
    </w:p>
    <w:p>
      <w:pPr>
        <w:keepNext/>
        <w:spacing w:before="360" w:after="120"/>
      </w:pPr>
      <w:r>
        <w:rPr>
          <w:rFonts w:ascii="Arial" w:hAnsi="Arial"/>
          <w:b/>
          <w:color w:val="232F3E"/>
          <w:sz w:val="36"/>
        </w:rPr>
        <w:t>1. Document Control</w:t>
      </w:r>
    </w:p>
    <w:tbl>
      <w:tblPr>
        <w:tblW w:type="auto" w:w="0"/>
        <w:jc w:val="center"/>
        <w:tblLayout w:type="fixed"/>
        <w:tblLook w:firstColumn="1" w:firstRow="1" w:lastColumn="0" w:lastRow="0" w:noHBand="0" w:noVBand="1" w:val="04A0"/>
      </w:tblPr>
      <w:tblGrid>
        <w:gridCol w:w="4680"/>
        <w:gridCol w:w="4680"/>
      </w:tblGrid>
      <w:tr>
        <w:tc>
          <w:tcPr>
            <w:tcW w:type="dxa" w:w="288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b/>
                <w:color w:val="232F3E"/>
                <w:sz w:val="18"/>
              </w:rPr>
              <w:t>Project Name</w:t>
            </w:r>
          </w:p>
        </w:tc>
        <w:tc>
          <w:tcPr>
            <w:tcW w:type="dxa" w:w="648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Urbani Proactive Observability &amp; AI Troubleshooting Assistant</w:t>
            </w:r>
          </w:p>
        </w:tc>
      </w:tr>
      <w:tr>
        <w:tc>
          <w:tcPr>
            <w:tcW w:type="dxa" w:w="288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b/>
                <w:color w:val="232F3E"/>
                <w:sz w:val="18"/>
              </w:rPr>
              <w:t>Client / Business Unit</w:t>
            </w:r>
          </w:p>
        </w:tc>
        <w:tc>
          <w:tcPr>
            <w:tcW w:type="dxa" w:w="648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Urbani — Engineering &amp; Operations Team</w:t>
            </w:r>
          </w:p>
        </w:tc>
      </w:tr>
      <w:tr>
        <w:tc>
          <w:tcPr>
            <w:tcW w:type="dxa" w:w="288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b/>
                <w:color w:val="232F3E"/>
                <w:sz w:val="18"/>
              </w:rPr>
              <w:t>Event Context</w:t>
            </w:r>
          </w:p>
        </w:tc>
        <w:tc>
          <w:tcPr>
            <w:tcW w:type="dxa" w:w="648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AWS Intensive Prototyping Days (DPI)</w:t>
            </w:r>
          </w:p>
        </w:tc>
      </w:tr>
      <w:tr>
        <w:tc>
          <w:tcPr>
            <w:tcW w:type="dxa" w:w="288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b/>
                <w:color w:val="232F3E"/>
                <w:sz w:val="18"/>
              </w:rPr>
              <w:t>Document Version</w:t>
            </w:r>
          </w:p>
        </w:tc>
        <w:tc>
          <w:tcPr>
            <w:tcW w:type="dxa" w:w="648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2.0 (Updated Architecture Proposal with AI Model Specs)</w:t>
            </w:r>
          </w:p>
        </w:tc>
      </w:tr>
      <w:tr>
        <w:tc>
          <w:tcPr>
            <w:tcW w:type="dxa" w:w="288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b/>
                <w:color w:val="232F3E"/>
                <w:sz w:val="18"/>
              </w:rPr>
              <w:t>Date</w:t>
            </w:r>
          </w:p>
        </w:tc>
        <w:tc>
          <w:tcPr>
            <w:tcW w:type="dxa" w:w="648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September 28–29, 2026</w:t>
            </w:r>
          </w:p>
        </w:tc>
      </w:tr>
      <w:tr>
        <w:tc>
          <w:tcPr>
            <w:tcW w:type="dxa" w:w="288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b/>
                <w:color w:val="232F3E"/>
                <w:sz w:val="18"/>
              </w:rPr>
              <w:t>Status</w:t>
            </w:r>
          </w:p>
        </w:tc>
        <w:tc>
          <w:tcPr>
            <w:tcW w:type="dxa" w:w="648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Working Proposal for DPI Validation</w:t>
            </w:r>
          </w:p>
        </w:tc>
      </w:tr>
      <w:tr>
        <w:tc>
          <w:tcPr>
            <w:tcW w:type="dxa" w:w="288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b/>
                <w:color w:val="232F3E"/>
                <w:sz w:val="18"/>
              </w:rPr>
              <w:t>Primary Authors</w:t>
            </w:r>
          </w:p>
        </w:tc>
        <w:tc>
          <w:tcPr>
            <w:tcW w:type="dxa" w:w="648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Estiven &amp; Humberto (OneData AWS Solution Architecture Team)</w:t>
            </w:r>
          </w:p>
        </w:tc>
      </w:tr>
      <w:tr>
        <w:tc>
          <w:tcPr>
            <w:tcW w:type="dxa" w:w="288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b/>
                <w:color w:val="232F3E"/>
                <w:sz w:val="18"/>
              </w:rPr>
              <w:t>Client Leads</w:t>
            </w:r>
          </w:p>
        </w:tc>
        <w:tc>
          <w:tcPr>
            <w:tcW w:type="dxa" w:w="648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Gio &amp; Javier (Urbani Operations &amp; Development Leads)</w:t>
            </w:r>
          </w:p>
        </w:tc>
      </w:tr>
      <w:tr>
        <w:tc>
          <w:tcPr>
            <w:tcW w:type="dxa" w:w="288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b/>
                <w:color w:val="232F3E"/>
                <w:sz w:val="18"/>
              </w:rPr>
              <w:t>Confidentiality</w:t>
            </w:r>
          </w:p>
        </w:tc>
        <w:tc>
          <w:tcPr>
            <w:tcW w:type="dxa" w:w="648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Internal &amp; AWS Prototyping Team — Confidential</w:t>
            </w:r>
          </w:p>
        </w:tc>
      </w:tr>
    </w:tbl>
    <w:p>
      <w:pPr>
        <w:spacing w:after="240"/>
      </w:pPr>
    </w:p>
    <w:p>
      <w:pPr>
        <w:keepNext/>
        <w:spacing w:before="360" w:after="120"/>
      </w:pPr>
      <w:r>
        <w:rPr>
          <w:rFonts w:ascii="Arial" w:hAnsi="Arial"/>
          <w:b/>
          <w:color w:val="232F3E"/>
          <w:sz w:val="36"/>
        </w:rPr>
        <w:t>2. Executive Summary</w:t>
      </w:r>
    </w:p>
    <w:p>
      <w:pPr>
        <w:spacing w:before="0" w:after="120" w:line="276" w:lineRule="auto"/>
      </w:pPr>
      <w:r>
        <w:rPr>
          <w:rFonts w:ascii="Arial" w:hAnsi="Arial"/>
          <w:color w:val="282828"/>
          <w:sz w:val="21"/>
        </w:rPr>
        <w:t>Urbani operates cloud applications on AWS Elastic Beanstalk, serving mission-critical user workflows. For more than two years, the engineering and operations team has relied exclusively on manual CloudWatch log and metric queries to detect, diagnose, and resolve technical incidents. Operating with a dual mandate—handling day-to-day production support alongside active feature development—the team experiences severe operational toil, reactive firefighting, and high team turnover (&gt;2 years persistent context loss).</w:t>
      </w:r>
    </w:p>
    <w:p>
      <w:pPr>
        <w:spacing w:before="0" w:after="120" w:line="276" w:lineRule="auto"/>
      </w:pPr>
      <w:r>
        <w:rPr>
          <w:rFonts w:ascii="Arial" w:hAnsi="Arial"/>
          <w:color w:val="282828"/>
          <w:sz w:val="21"/>
        </w:rPr>
        <w:t>This document defines the working AWS Architecture Proposal for an AI-assisted Proactive Observability &amp; Troubleshooting Assistant, powered by Amazon Bedrock with Anthropic Claude 3.5 Sonnet v2 as the primary AI inference engine, designed for implementation and validation during the 2-day AWS Intensive Prototyping Days (DPI) on September 28–29, 2026.</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top w:val="none"/>
              <w:bottom w:val="none"/>
              <w:left w:val="single" w:sz="24" w:space="0" w:color="FF9900"/>
              <w:right w:val="none"/>
            </w:tcBorders>
          </w:tcPr>
          <w:p>
            <w:pPr>
              <w:spacing w:after="80"/>
            </w:pPr>
            <w:r>
              <w:rPr>
                <w:rFonts w:ascii="Arial" w:hAnsi="Arial"/>
                <w:b/>
                <w:color w:val="FF9900"/>
                <w:sz w:val="20"/>
              </w:rPr>
              <w:t xml:space="preserve">[MVP BOUNDARY DECLARATION] </w:t>
            </w:r>
            <w:r>
              <w:rPr>
                <w:rFonts w:ascii="Arial" w:hAnsi="Arial"/>
                <w:color w:val="1A2432"/>
                <w:sz w:val="20"/>
              </w:rPr>
              <w:t>The 2-day DPI prototype is strictly a READ-ONLY observability MVP. Its sole purpose is to demonstrate automated telemetry collection, Amazon Bedrock AI anomaly detection (Claude 3.5 Sonnet v2 / anthropic.claude-3-5-sonnet-20241022-v2:0), DynamoDB alert persistence, and unified dashboard visualization. Automated production remediation is intentionally OUT OF SCOPE for the 2-day MVP and is deferred to future roadmap phases.</w:t>
            </w:r>
          </w:p>
        </w:tc>
      </w:tr>
    </w:tbl>
    <w:p>
      <w:pPr>
        <w:spacing w:after="80"/>
      </w:pPr>
    </w:p>
    <w:p>
      <w:pPr>
        <w:keepNext/>
        <w:spacing w:before="360" w:after="120"/>
      </w:pPr>
      <w:r>
        <w:rPr>
          <w:rFonts w:ascii="Arial" w:hAnsi="Arial"/>
          <w:b/>
          <w:color w:val="232F3E"/>
          <w:sz w:val="36"/>
        </w:rPr>
        <w:t>3. Business Problem</w:t>
      </w:r>
    </w:p>
    <w:p>
      <w:pPr>
        <w:spacing w:before="0" w:after="120" w:line="276" w:lineRule="auto"/>
      </w:pPr>
      <w:r>
        <w:rPr>
          <w:rFonts w:ascii="Arial" w:hAnsi="Arial"/>
          <w:color w:val="282828"/>
          <w:sz w:val="21"/>
        </w:rPr>
        <w:t>Urbani's current operational model faces three systemic bottlenecks that directly impact software reliability, team velocity, and developer retention:</w:t>
      </w:r>
    </w:p>
    <w:p>
      <w:pPr>
        <w:pStyle w:val="ListBullet"/>
        <w:spacing w:before="0" w:after="60" w:line="276" w:lineRule="auto"/>
        <w:ind w:left="360"/>
      </w:pPr>
      <w:r>
        <w:rPr>
          <w:rFonts w:ascii="Arial" w:hAnsi="Arial"/>
          <w:b/>
          <w:color w:val="1A2432"/>
          <w:sz w:val="20"/>
        </w:rPr>
        <w:t xml:space="preserve">Manual &amp; Reactive Monitoring: </w:t>
      </w:r>
      <w:r>
        <w:rPr>
          <w:rFonts w:ascii="Arial" w:hAnsi="Arial"/>
          <w:color w:val="282828"/>
          <w:sz w:val="20"/>
        </w:rPr>
        <w:t>Engineers must manually navigate AWS CloudWatch Log Groups and CloudWatch Metrics consoles during production outages. Identifying root cause across decoupled log streams takes substantial time during active incidents.</w:t>
      </w:r>
    </w:p>
    <w:p>
      <w:pPr>
        <w:pStyle w:val="ListBullet"/>
        <w:spacing w:before="0" w:after="60" w:line="276" w:lineRule="auto"/>
        <w:ind w:left="360"/>
      </w:pPr>
      <w:r>
        <w:rPr>
          <w:rFonts w:ascii="Arial" w:hAnsi="Arial"/>
          <w:b/>
          <w:color w:val="1A2432"/>
          <w:sz w:val="20"/>
        </w:rPr>
        <w:t xml:space="preserve">Dual Operational &amp; Development Load: </w:t>
      </w:r>
      <w:r>
        <w:rPr>
          <w:rFonts w:ascii="Arial" w:hAnsi="Arial"/>
          <w:color w:val="282828"/>
          <w:sz w:val="20"/>
        </w:rPr>
        <w:t>The team (including key leads Javier and Gio) is tasked with both keeping production stable and delivering new software features under tight release schedules. Emergency incidents interrupt planned development sprints, leading to rushed deployments.</w:t>
      </w:r>
    </w:p>
    <w:p>
      <w:pPr>
        <w:pStyle w:val="ListBullet"/>
        <w:spacing w:before="0" w:after="60" w:line="276" w:lineRule="auto"/>
        <w:ind w:left="360"/>
      </w:pPr>
      <w:r>
        <w:rPr>
          <w:rFonts w:ascii="Arial" w:hAnsi="Arial"/>
          <w:b/>
          <w:color w:val="1A2432"/>
          <w:sz w:val="20"/>
        </w:rPr>
        <w:t xml:space="preserve">High Team Turnover &amp; Context Loss: </w:t>
      </w:r>
      <w:r>
        <w:rPr>
          <w:rFonts w:ascii="Arial" w:hAnsi="Arial"/>
          <w:color w:val="282828"/>
          <w:sz w:val="20"/>
        </w:rPr>
        <w:t>Persistent high turnover over the past two years has eroded institutional knowledge regarding recurring failure modes, error patterns, and runbook steps. New engineers spend excessive hours re-diagnosing known issues.</w:t>
      </w:r>
    </w:p>
    <w:p>
      <w:pPr>
        <w:pStyle w:val="ListBullet"/>
        <w:spacing w:before="0" w:after="60" w:line="276" w:lineRule="auto"/>
        <w:ind w:left="360"/>
      </w:pPr>
      <w:r>
        <w:rPr>
          <w:rFonts w:ascii="Arial" w:hAnsi="Arial"/>
          <w:b/>
          <w:color w:val="1A2432"/>
          <w:sz w:val="20"/>
        </w:rPr>
        <w:t xml:space="preserve">Historical Cost Volatility Risk: </w:t>
      </w:r>
      <w:r>
        <w:rPr>
          <w:rFonts w:ascii="Arial" w:hAnsi="Arial"/>
          <w:color w:val="282828"/>
          <w:sz w:val="20"/>
        </w:rPr>
        <w:t>Unmonitored or unoptimized AI model usage in past exploratory initiatives created unexpected cost spikes of $5,000–$6,000 USD. Any AI-driven solution must guarantee strict cost guardrails and predictable consumption.</w:t>
      </w:r>
    </w:p>
    <w:p>
      <w:pPr>
        <w:keepNext/>
        <w:spacing w:before="360" w:after="120"/>
      </w:pPr>
      <w:r>
        <w:rPr>
          <w:rFonts w:ascii="Arial" w:hAnsi="Arial"/>
          <w:b/>
          <w:color w:val="232F3E"/>
          <w:sz w:val="36"/>
        </w:rPr>
        <w:t>4. Current State</w:t>
      </w:r>
    </w:p>
    <w:p>
      <w:pPr>
        <w:spacing w:before="0" w:after="120" w:line="276" w:lineRule="auto"/>
      </w:pPr>
      <w:r>
        <w:rPr>
          <w:rFonts w:ascii="Arial" w:hAnsi="Arial"/>
          <w:color w:val="282828"/>
          <w:sz w:val="21"/>
        </w:rPr>
        <w:t>The current operational monitoring flow at Urbani is entirely reactive and manual:</w:t>
      </w:r>
    </w:p>
    <w:tbl>
      <w:tblPr>
        <w:tblW w:type="auto" w:w="0"/>
        <w:jc w:val="center"/>
        <w:tblLayout w:type="fixed"/>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Borders>
              <w:top w:val="single" w:sz="4" w:space="0" w:color="333333"/>
              <w:bottom w:val="single" w:sz="4" w:space="0" w:color="333333"/>
              <w:left w:val="single" w:sz="4" w:space="0" w:color="333333"/>
              <w:right w:val="single" w:sz="4" w:space="0" w:color="333333"/>
            </w:tcBorders>
          </w:tcPr>
          <w:p>
            <w:pPr>
              <w:spacing w:after="0"/>
            </w:pPr>
            <w:r>
              <w:rPr>
                <w:rFonts w:ascii="Consolas" w:hAnsi="Consolas"/>
                <w:color w:val="DCDCDC"/>
                <w:sz w:val="19"/>
              </w:rPr>
              <w:t>Urbani Application (Elastic Beanstalk) ---&gt; CloudWatch Logs &amp; Metrics ---&gt; Manual Engineer Query ---&gt; Manual Fix</w:t>
            </w:r>
          </w:p>
        </w:tc>
      </w:tr>
    </w:tbl>
    <w:p>
      <w:pPr>
        <w:spacing w:after="80"/>
      </w:pPr>
    </w:p>
    <w:p>
      <w:pPr>
        <w:keepNext/>
        <w:spacing w:before="360" w:after="120"/>
      </w:pPr>
      <w:r>
        <w:rPr>
          <w:rFonts w:ascii="Arial" w:hAnsi="Arial"/>
          <w:b/>
          <w:color w:val="232F3E"/>
          <w:sz w:val="36"/>
        </w:rPr>
        <w:t>5. Target State</w:t>
      </w:r>
    </w:p>
    <w:p>
      <w:pPr>
        <w:spacing w:before="0" w:after="120" w:line="276" w:lineRule="auto"/>
      </w:pPr>
      <w:r>
        <w:rPr>
          <w:rFonts w:ascii="Arial" w:hAnsi="Arial"/>
          <w:color w:val="282828"/>
          <w:sz w:val="21"/>
        </w:rPr>
        <w:t>The target architecture introduces an automated event-driven observability loop powered by AWS serverless components and Amazon Bedrock:</w:t>
      </w:r>
    </w:p>
    <w:tbl>
      <w:tblPr>
        <w:tblW w:type="auto" w:w="0"/>
        <w:jc w:val="center"/>
        <w:tblLayout w:type="fixed"/>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Borders>
              <w:top w:val="single" w:sz="4" w:space="0" w:color="333333"/>
              <w:bottom w:val="single" w:sz="4" w:space="0" w:color="333333"/>
              <w:left w:val="single" w:sz="4" w:space="0" w:color="333333"/>
              <w:right w:val="single" w:sz="4" w:space="0" w:color="333333"/>
            </w:tcBorders>
          </w:tcPr>
          <w:p>
            <w:pPr>
              <w:spacing w:after="0"/>
            </w:pPr>
            <w:r>
              <w:rPr>
                <w:rFonts w:ascii="Consolas" w:hAnsi="Consolas"/>
                <w:color w:val="DCDCDC"/>
                <w:sz w:val="19"/>
              </w:rPr>
              <w:t xml:space="preserve">Urbani App (Elastic Beanstalk) ---&gt; CloudWatch Logs &amp; Metrics ---&gt; EventBridge Scheduler (5 min) </w:t>
              <w:br/>
              <w:t xml:space="preserve">  ---&gt; Lambda Collector (UrbaniTelemetryCollectorFn) </w:t>
              <w:br/>
              <w:t xml:space="preserve">  ---&gt; Amazon Bedrock (Claude 3.5 Sonnet v2: anthropic.claude-3-5-sonnet-20241022-v2:0 + Guardrails: urbani-dpi-guardrail-v1) </w:t>
              <w:br/>
              <w:t xml:space="preserve">  ---&gt; Lambda Alert Writer (UrbaniAlertWriterFn) </w:t>
              <w:br/>
              <w:t xml:space="preserve">  ---&gt; Amazon DynamoDB (UrbaniAlerts Table) </w:t>
              <w:br/>
              <w:t xml:space="preserve">  ---&gt; Central Dashboard (Amazon Managed Grafana / CloudWatch Dashboard) ---&gt; Urbani Engineer Review</w:t>
            </w:r>
          </w:p>
        </w:tc>
      </w:tr>
    </w:tbl>
    <w:p>
      <w:pPr>
        <w:spacing w:after="80"/>
      </w:pPr>
    </w:p>
    <w:p>
      <w:pPr>
        <w:keepNext/>
        <w:spacing w:before="360" w:after="120"/>
      </w:pPr>
      <w:r>
        <w:rPr>
          <w:rFonts w:ascii="Arial" w:hAnsi="Arial"/>
          <w:b/>
          <w:color w:val="232F3E"/>
          <w:sz w:val="36"/>
        </w:rPr>
        <w:t>6. Architecture Diagram &amp; Governance Controls</w:t>
      </w:r>
    </w:p>
    <w:p>
      <w:pPr>
        <w:spacing w:before="0" w:after="120" w:line="276" w:lineRule="auto"/>
      </w:pPr>
      <w:r>
        <w:rPr>
          <w:rFonts w:ascii="Arial" w:hAnsi="Arial"/>
          <w:color w:val="282828"/>
          <w:sz w:val="21"/>
        </w:rPr>
        <w:t>The target architecture integrates cross-cutting security, auditability, and financial governance controls across all operational layers:</w:t>
      </w:r>
    </w:p>
    <w:p>
      <w:pPr>
        <w:pStyle w:val="ListBullet"/>
        <w:spacing w:before="0" w:after="60" w:line="276" w:lineRule="auto"/>
        <w:ind w:left="360"/>
      </w:pPr>
      <w:r>
        <w:rPr>
          <w:rFonts w:ascii="Arial" w:hAnsi="Arial"/>
          <w:b/>
          <w:color w:val="1A2432"/>
          <w:sz w:val="20"/>
        </w:rPr>
        <w:t xml:space="preserve">Least Privilege Identity (IAM): </w:t>
      </w:r>
      <w:r>
        <w:rPr>
          <w:rFonts w:ascii="Arial" w:hAnsi="Arial"/>
          <w:color w:val="282828"/>
          <w:sz w:val="20"/>
        </w:rPr>
        <w:t>IAM Execution Role UrbaniCollectorExecutionRole strictly enforces least privilege with read-only CloudWatch access (logs:StartQuery, logs:GetQueryResults) and bedrock:InvokeModel. No write permissions exist for production application environments.</w:t>
      </w:r>
    </w:p>
    <w:p>
      <w:pPr>
        <w:pStyle w:val="ListBullet"/>
        <w:spacing w:before="0" w:after="60" w:line="276" w:lineRule="auto"/>
        <w:ind w:left="360"/>
      </w:pPr>
      <w:r>
        <w:rPr>
          <w:rFonts w:ascii="Arial" w:hAnsi="Arial"/>
          <w:b/>
          <w:color w:val="1A2432"/>
          <w:sz w:val="20"/>
        </w:rPr>
        <w:t xml:space="preserve">Data Encryption (KMS): </w:t>
      </w:r>
      <w:r>
        <w:rPr>
          <w:rFonts w:ascii="Arial" w:hAnsi="Arial"/>
          <w:color w:val="282828"/>
          <w:sz w:val="20"/>
        </w:rPr>
        <w:t>All DynamoDB tables, CloudWatch log streams, and Bedrock invocation logs are encrypted at rest using AWS KMS managed keys.</w:t>
      </w:r>
    </w:p>
    <w:p>
      <w:pPr>
        <w:pStyle w:val="ListBullet"/>
        <w:spacing w:before="0" w:after="60" w:line="276" w:lineRule="auto"/>
        <w:ind w:left="360"/>
      </w:pPr>
      <w:r>
        <w:rPr>
          <w:rFonts w:ascii="Arial" w:hAnsi="Arial"/>
          <w:b/>
          <w:color w:val="1A2432"/>
          <w:sz w:val="20"/>
        </w:rPr>
        <w:t xml:space="preserve">Auditing &amp; Compliance (CloudTrail): </w:t>
      </w:r>
      <w:r>
        <w:rPr>
          <w:rFonts w:ascii="Arial" w:hAnsi="Arial"/>
          <w:color w:val="282828"/>
          <w:sz w:val="20"/>
        </w:rPr>
        <w:t>Every API call to Amazon Bedrock, Lambda executions, and DynamoDB reads/writes is logged to AWS CloudTrail for auditability.</w:t>
      </w:r>
    </w:p>
    <w:p>
      <w:pPr>
        <w:pStyle w:val="ListBullet"/>
        <w:spacing w:before="0" w:after="60" w:line="276" w:lineRule="auto"/>
        <w:ind w:left="360"/>
      </w:pPr>
      <w:r>
        <w:rPr>
          <w:rFonts w:ascii="Arial" w:hAnsi="Arial"/>
          <w:b/>
          <w:color w:val="1A2432"/>
          <w:sz w:val="20"/>
        </w:rPr>
        <w:t xml:space="preserve">Financial Safeguards (AWS Budgets): </w:t>
      </w:r>
      <w:r>
        <w:rPr>
          <w:rFonts w:ascii="Arial" w:hAnsi="Arial"/>
          <w:color w:val="282828"/>
          <w:sz w:val="20"/>
        </w:rPr>
        <w:t>An AWS Budget alert is configured with soft notifications at $50 USD and $100 USD to prevent token consumption runaways during the DPI event.</w:t>
      </w:r>
    </w:p>
    <w:p>
      <w:pPr>
        <w:keepNext/>
        <w:spacing w:before="360" w:after="120"/>
      </w:pPr>
      <w:r>
        <w:rPr>
          <w:rFonts w:ascii="Arial" w:hAnsi="Arial"/>
          <w:b/>
          <w:color w:val="232F3E"/>
          <w:sz w:val="36"/>
        </w:rPr>
        <w:t>7. Architecture Principles</w:t>
      </w:r>
    </w:p>
    <w:p>
      <w:pPr>
        <w:pStyle w:val="ListBullet"/>
        <w:spacing w:before="0" w:after="60" w:line="276" w:lineRule="auto"/>
        <w:ind w:left="360"/>
      </w:pPr>
      <w:r>
        <w:rPr>
          <w:rFonts w:ascii="Arial" w:hAnsi="Arial"/>
          <w:b/>
          <w:color w:val="1A2432"/>
          <w:sz w:val="20"/>
        </w:rPr>
        <w:t xml:space="preserve">Read-Only MVP: </w:t>
      </w:r>
      <w:r>
        <w:rPr>
          <w:rFonts w:ascii="Arial" w:hAnsi="Arial"/>
          <w:color w:val="282828"/>
          <w:sz w:val="20"/>
        </w:rPr>
        <w:t>The system has zero write access to production application runtimes or infrastructure. All corrective actions remain manual.</w:t>
      </w:r>
    </w:p>
    <w:p>
      <w:pPr>
        <w:pStyle w:val="ListBullet"/>
        <w:spacing w:before="0" w:after="60" w:line="276" w:lineRule="auto"/>
        <w:ind w:left="360"/>
      </w:pPr>
      <w:r>
        <w:rPr>
          <w:rFonts w:ascii="Arial" w:hAnsi="Arial"/>
          <w:b/>
          <w:color w:val="1A2432"/>
          <w:sz w:val="20"/>
        </w:rPr>
        <w:t xml:space="preserve">Evidence-Based AI: </w:t>
      </w:r>
      <w:r>
        <w:rPr>
          <w:rFonts w:ascii="Arial" w:hAnsi="Arial"/>
          <w:color w:val="282828"/>
          <w:sz w:val="20"/>
        </w:rPr>
        <w:t>The AI model must explicitly cite specific log lines and metric data points as evidence for every root cause diagnosis.</w:t>
      </w:r>
    </w:p>
    <w:p>
      <w:pPr>
        <w:pStyle w:val="ListBullet"/>
        <w:spacing w:before="0" w:after="60" w:line="276" w:lineRule="auto"/>
        <w:ind w:left="360"/>
      </w:pPr>
      <w:r>
        <w:rPr>
          <w:rFonts w:ascii="Arial" w:hAnsi="Arial"/>
          <w:b/>
          <w:color w:val="1A2432"/>
          <w:sz w:val="20"/>
        </w:rPr>
        <w:t xml:space="preserve">Human-in-the-Loop: </w:t>
      </w:r>
      <w:r>
        <w:rPr>
          <w:rFonts w:ascii="Arial" w:hAnsi="Arial"/>
          <w:color w:val="282828"/>
          <w:sz w:val="20"/>
        </w:rPr>
        <w:t>AI outputs are purely advisory. An Urbani engineer must review and validate recommendations prior to operational intervention.</w:t>
      </w:r>
    </w:p>
    <w:p>
      <w:pPr>
        <w:pStyle w:val="ListBullet"/>
        <w:spacing w:before="0" w:after="60" w:line="276" w:lineRule="auto"/>
        <w:ind w:left="360"/>
      </w:pPr>
      <w:r>
        <w:rPr>
          <w:rFonts w:ascii="Arial" w:hAnsi="Arial"/>
          <w:b/>
          <w:color w:val="1A2432"/>
          <w:sz w:val="20"/>
        </w:rPr>
        <w:t xml:space="preserve">Deterministic Reasoning: </w:t>
      </w:r>
      <w:r>
        <w:rPr>
          <w:rFonts w:ascii="Arial" w:hAnsi="Arial"/>
          <w:color w:val="282828"/>
          <w:sz w:val="20"/>
        </w:rPr>
        <w:t>Bedrock inference parameter temperature is locked to 0.0 to prevent creative hallucinations on technical log data.</w:t>
      </w:r>
    </w:p>
    <w:p>
      <w:pPr>
        <w:pStyle w:val="ListBullet"/>
        <w:spacing w:before="0" w:after="60" w:line="276" w:lineRule="auto"/>
        <w:ind w:left="360"/>
      </w:pPr>
      <w:r>
        <w:rPr>
          <w:rFonts w:ascii="Arial" w:hAnsi="Arial"/>
          <w:b/>
          <w:color w:val="1A2432"/>
          <w:sz w:val="20"/>
        </w:rPr>
        <w:t xml:space="preserve">Cost-Controlled Analysis: </w:t>
      </w:r>
      <w:r>
        <w:rPr>
          <w:rFonts w:ascii="Arial" w:hAnsi="Arial"/>
          <w:color w:val="282828"/>
          <w:sz w:val="20"/>
        </w:rPr>
        <w:t>Telemetry windows are strictly capped (max 100 log lines per cycle) and polling frequency is fixed at 5 minutes to bound token costs.</w:t>
      </w:r>
    </w:p>
    <w:p>
      <w:pPr>
        <w:pStyle w:val="ListBullet"/>
        <w:spacing w:before="0" w:after="60" w:line="276" w:lineRule="auto"/>
        <w:ind w:left="360"/>
      </w:pPr>
      <w:r>
        <w:rPr>
          <w:rFonts w:ascii="Arial" w:hAnsi="Arial"/>
          <w:b/>
          <w:color w:val="1A2432"/>
          <w:sz w:val="20"/>
        </w:rPr>
        <w:t xml:space="preserve">Infrastructure as Code (IaC): </w:t>
      </w:r>
      <w:r>
        <w:rPr>
          <w:rFonts w:ascii="Arial" w:hAnsi="Arial"/>
          <w:color w:val="282828"/>
          <w:sz w:val="20"/>
        </w:rPr>
        <w:t>All proposed AWS resources are defined and deployed via AWS CDK Python stacks for repeatability.</w:t>
      </w:r>
    </w:p>
    <w:p>
      <w:pPr>
        <w:keepNext/>
        <w:spacing w:before="360" w:after="120"/>
      </w:pPr>
      <w:r>
        <w:rPr>
          <w:rFonts w:ascii="Arial" w:hAnsi="Arial"/>
          <w:b/>
          <w:color w:val="232F3E"/>
          <w:sz w:val="36"/>
        </w:rPr>
        <w:t>8. AWS Component Design</w:t>
      </w:r>
    </w:p>
    <w:p>
      <w:pPr>
        <w:spacing w:before="0" w:after="120" w:line="276" w:lineRule="auto"/>
      </w:pPr>
      <w:r>
        <w:rPr>
          <w:rFonts w:ascii="Arial" w:hAnsi="Arial"/>
          <w:color w:val="282828"/>
          <w:sz w:val="21"/>
        </w:rPr>
        <w:t>The following table details every AWS service and exact component specification incorporated into the Urbani architecture: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232F3E"/>
            <w:tcMar>
              <w:top w:w="90" w:type="dxa"/>
              <w:bottom w:w="90" w:type="dxa"/>
              <w:left w:w="100" w:type="dxa"/>
              <w:right w:w="100" w:type="dxa"/>
            </w:tcMar>
            <w:tcBorders>
              <w:top w:val="single" w:sz="4" w:space="0" w:color="232F3E"/>
              <w:bottom w:val="single" w:sz="4" w:space="0" w:color="232F3E"/>
              <w:left w:val="single" w:sz="4" w:space="0" w:color="232F3E"/>
              <w:right w:val="single" w:sz="4" w:space="0" w:color="232F3E"/>
            </w:tcBorders>
          </w:tcPr>
          <w:p>
            <w:pPr>
              <w:spacing w:after="0" w:line="276" w:lineRule="auto"/>
            </w:pPr>
            <w:r>
              <w:rPr>
                <w:rFonts w:ascii="Arial" w:hAnsi="Arial"/>
                <w:b/>
                <w:color w:val="FFFFFF"/>
                <w:sz w:val="19"/>
              </w:rPr>
              <w:t>Component</w:t>
            </w:r>
          </w:p>
        </w:tc>
        <w:tc>
          <w:tcPr>
            <w:tcW w:type="dxa" w:w="1584"/>
            <w:shd w:fill="232F3E"/>
            <w:tcMar>
              <w:top w:w="90" w:type="dxa"/>
              <w:bottom w:w="90" w:type="dxa"/>
              <w:left w:w="100" w:type="dxa"/>
              <w:right w:w="100" w:type="dxa"/>
            </w:tcMar>
            <w:tcBorders>
              <w:top w:val="single" w:sz="4" w:space="0" w:color="232F3E"/>
              <w:bottom w:val="single" w:sz="4" w:space="0" w:color="232F3E"/>
              <w:left w:val="single" w:sz="4" w:space="0" w:color="232F3E"/>
              <w:right w:val="single" w:sz="4" w:space="0" w:color="232F3E"/>
            </w:tcBorders>
          </w:tcPr>
          <w:p>
            <w:pPr>
              <w:spacing w:after="0" w:line="276" w:lineRule="auto"/>
            </w:pPr>
            <w:r>
              <w:rPr>
                <w:rFonts w:ascii="Arial" w:hAnsi="Arial"/>
                <w:b/>
                <w:color w:val="FFFFFF"/>
                <w:sz w:val="19"/>
              </w:rPr>
              <w:t>AWS Service</w:t>
            </w:r>
          </w:p>
        </w:tc>
        <w:tc>
          <w:tcPr>
            <w:tcW w:type="dxa" w:w="1872"/>
            <w:shd w:fill="232F3E"/>
            <w:tcMar>
              <w:top w:w="90" w:type="dxa"/>
              <w:bottom w:w="90" w:type="dxa"/>
              <w:left w:w="100" w:type="dxa"/>
              <w:right w:w="100" w:type="dxa"/>
            </w:tcMar>
            <w:tcBorders>
              <w:top w:val="single" w:sz="4" w:space="0" w:color="232F3E"/>
              <w:bottom w:val="single" w:sz="4" w:space="0" w:color="232F3E"/>
              <w:left w:val="single" w:sz="4" w:space="0" w:color="232F3E"/>
              <w:right w:val="single" w:sz="4" w:space="0" w:color="232F3E"/>
            </w:tcBorders>
          </w:tcPr>
          <w:p>
            <w:pPr>
              <w:spacing w:after="0" w:line="276" w:lineRule="auto"/>
            </w:pPr>
            <w:r>
              <w:rPr>
                <w:rFonts w:ascii="Arial" w:hAnsi="Arial"/>
                <w:b/>
                <w:color w:val="FFFFFF"/>
                <w:sz w:val="19"/>
              </w:rPr>
              <w:t>Purpose &amp; Exact ID</w:t>
            </w:r>
          </w:p>
        </w:tc>
        <w:tc>
          <w:tcPr>
            <w:tcW w:type="dxa" w:w="1584"/>
            <w:shd w:fill="232F3E"/>
            <w:tcMar>
              <w:top w:w="90" w:type="dxa"/>
              <w:bottom w:w="90" w:type="dxa"/>
              <w:left w:w="100" w:type="dxa"/>
              <w:right w:w="100" w:type="dxa"/>
            </w:tcMar>
            <w:tcBorders>
              <w:top w:val="single" w:sz="4" w:space="0" w:color="232F3E"/>
              <w:bottom w:val="single" w:sz="4" w:space="0" w:color="232F3E"/>
              <w:left w:val="single" w:sz="4" w:space="0" w:color="232F3E"/>
              <w:right w:val="single" w:sz="4" w:space="0" w:color="232F3E"/>
            </w:tcBorders>
          </w:tcPr>
          <w:p>
            <w:pPr>
              <w:spacing w:after="0" w:line="276" w:lineRule="auto"/>
            </w:pPr>
            <w:r>
              <w:rPr>
                <w:rFonts w:ascii="Arial" w:hAnsi="Arial"/>
                <w:b/>
                <w:color w:val="FFFFFF"/>
                <w:sz w:val="19"/>
              </w:rPr>
              <w:t>Implementation</w:t>
            </w:r>
          </w:p>
        </w:tc>
        <w:tc>
          <w:tcPr>
            <w:tcW w:type="dxa" w:w="1152"/>
            <w:shd w:fill="232F3E"/>
            <w:tcMar>
              <w:top w:w="90" w:type="dxa"/>
              <w:bottom w:w="90" w:type="dxa"/>
              <w:left w:w="100" w:type="dxa"/>
              <w:right w:w="100" w:type="dxa"/>
            </w:tcMar>
            <w:tcBorders>
              <w:top w:val="single" w:sz="4" w:space="0" w:color="232F3E"/>
              <w:bottom w:val="single" w:sz="4" w:space="0" w:color="232F3E"/>
              <w:left w:val="single" w:sz="4" w:space="0" w:color="232F3E"/>
              <w:right w:val="single" w:sz="4" w:space="0" w:color="232F3E"/>
            </w:tcBorders>
          </w:tcPr>
          <w:p>
            <w:pPr>
              <w:spacing w:after="0" w:line="276" w:lineRule="auto"/>
            </w:pPr>
            <w:r>
              <w:rPr>
                <w:rFonts w:ascii="Arial" w:hAnsi="Arial"/>
                <w:b/>
                <w:color w:val="FFFFFF"/>
                <w:sz w:val="19"/>
              </w:rPr>
              <w:t>DPI Scope</w:t>
            </w:r>
          </w:p>
        </w:tc>
        <w:tc>
          <w:tcPr>
            <w:tcW w:type="dxa" w:w="1440"/>
            <w:shd w:fill="232F3E"/>
            <w:tcMar>
              <w:top w:w="90" w:type="dxa"/>
              <w:bottom w:w="90" w:type="dxa"/>
              <w:left w:w="100" w:type="dxa"/>
              <w:right w:w="100" w:type="dxa"/>
            </w:tcMar>
            <w:tcBorders>
              <w:top w:val="single" w:sz="4" w:space="0" w:color="232F3E"/>
              <w:bottom w:val="single" w:sz="4" w:space="0" w:color="232F3E"/>
              <w:left w:val="single" w:sz="4" w:space="0" w:color="232F3E"/>
              <w:right w:val="single" w:sz="4" w:space="0" w:color="232F3E"/>
            </w:tcBorders>
          </w:tcPr>
          <w:p>
            <w:pPr>
              <w:spacing w:after="0" w:line="276" w:lineRule="auto"/>
            </w:pPr>
            <w:r>
              <w:rPr>
                <w:rFonts w:ascii="Arial" w:hAnsi="Arial"/>
                <w:b/>
                <w:color w:val="FFFFFF"/>
                <w:sz w:val="19"/>
              </w:rPr>
              <w:t>Security &amp; IAM Role</w:t>
            </w:r>
          </w:p>
        </w:tc>
      </w:tr>
      <w:tr>
        <w:tc>
          <w:tcPr>
            <w:tcW w:type="dxa" w:w="1728"/>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Application Host</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Elastic Beanstalk</w:t>
            </w:r>
          </w:p>
        </w:tc>
        <w:tc>
          <w:tcPr>
            <w:tcW w:type="dxa" w:w="1872"/>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Hosts Urbani core API application environment</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/aws/elasticbeanstalk/urbani-app</w:t>
            </w:r>
          </w:p>
        </w:tc>
        <w:tc>
          <w:tcPr>
            <w:tcW w:type="dxa" w:w="1152"/>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In Scope</w:t>
            </w:r>
          </w:p>
        </w:tc>
        <w:tc>
          <w:tcPr>
            <w:tcW w:type="dxa" w:w="144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IAM Instance Profile</w:t>
            </w:r>
          </w:p>
        </w:tc>
      </w:tr>
      <w:tr>
        <w:tc>
          <w:tcPr>
            <w:tcW w:type="dxa" w:w="1728"/>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Telemetry Storage</w:t>
            </w:r>
          </w:p>
        </w:tc>
        <w:tc>
          <w:tcPr>
            <w:tcW w:type="dxa" w:w="158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CloudWatch Logs/Metrics</w:t>
            </w:r>
          </w:p>
        </w:tc>
        <w:tc>
          <w:tcPr>
            <w:tcW w:type="dxa" w:w="1872"/>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Stores stdout/stderr logs &amp; system metrics</w:t>
            </w:r>
          </w:p>
        </w:tc>
        <w:tc>
          <w:tcPr>
            <w:tcW w:type="dxa" w:w="158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Native CloudWatch Stream</w:t>
            </w:r>
          </w:p>
        </w:tc>
        <w:tc>
          <w:tcPr>
            <w:tcW w:type="dxa" w:w="1152"/>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In Scope</w:t>
            </w:r>
          </w:p>
        </w:tc>
        <w:tc>
          <w:tcPr>
            <w:tcW w:type="dxa" w:w="144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IAM Read-Only Policy</w:t>
            </w:r>
          </w:p>
        </w:tc>
      </w:tr>
      <w:tr>
        <w:tc>
          <w:tcPr>
            <w:tcW w:type="dxa" w:w="1728"/>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Orchestration</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EventBridge Scheduler</w:t>
            </w:r>
          </w:p>
        </w:tc>
        <w:tc>
          <w:tcPr>
            <w:tcW w:type="dxa" w:w="1872"/>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Triggers Lambda Collector every 5 minutes</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Cron rate(5 minutes)</w:t>
            </w:r>
          </w:p>
        </w:tc>
        <w:tc>
          <w:tcPr>
            <w:tcW w:type="dxa" w:w="1152"/>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In Scope</w:t>
            </w:r>
          </w:p>
        </w:tc>
        <w:tc>
          <w:tcPr>
            <w:tcW w:type="dxa" w:w="144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IAM Execution Role</w:t>
            </w:r>
          </w:p>
        </w:tc>
      </w:tr>
      <w:tr>
        <w:tc>
          <w:tcPr>
            <w:tcW w:type="dxa" w:w="1728"/>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Data Collector</w:t>
            </w:r>
          </w:p>
        </w:tc>
        <w:tc>
          <w:tcPr>
            <w:tcW w:type="dxa" w:w="158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AWS Lambda (Python)</w:t>
            </w:r>
          </w:p>
        </w:tc>
        <w:tc>
          <w:tcPr>
            <w:tcW w:type="dxa" w:w="1872"/>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Queries CW, filters logs (max 100 lines)</w:t>
            </w:r>
          </w:p>
        </w:tc>
        <w:tc>
          <w:tcPr>
            <w:tcW w:type="dxa" w:w="158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UrbaniTelemetryCollectorFn</w:t>
            </w:r>
          </w:p>
        </w:tc>
        <w:tc>
          <w:tcPr>
            <w:tcW w:type="dxa" w:w="1152"/>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In Scope</w:t>
            </w:r>
          </w:p>
        </w:tc>
        <w:tc>
          <w:tcPr>
            <w:tcW w:type="dxa" w:w="144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UrbaniCollectorRole</w:t>
            </w:r>
          </w:p>
        </w:tc>
      </w:tr>
      <w:tr>
        <w:tc>
          <w:tcPr>
            <w:tcW w:type="dxa" w:w="1728"/>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AI Analysis Engine</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Amazon Bedrock</w:t>
            </w:r>
          </w:p>
        </w:tc>
        <w:tc>
          <w:tcPr>
            <w:tcW w:type="dxa" w:w="1872"/>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Primary: Claude 3.5 Sonnet v2</w:t>
              <w:br/>
              <w:t>ID: anthropic.claude-3-5-sonnet-20241022-v2:0</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boto3 bedrock-runtime API (Temp: 0.0, MaxTokens: 1024)</w:t>
            </w:r>
          </w:p>
        </w:tc>
        <w:tc>
          <w:tcPr>
            <w:tcW w:type="dxa" w:w="1152"/>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In Scope</w:t>
            </w:r>
          </w:p>
        </w:tc>
        <w:tc>
          <w:tcPr>
            <w:tcW w:type="dxa" w:w="144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bedrock:InvokeModel</w:t>
            </w:r>
          </w:p>
        </w:tc>
      </w:tr>
      <w:tr>
        <w:tc>
          <w:tcPr>
            <w:tcW w:type="dxa" w:w="1728"/>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AI Guardrails</w:t>
            </w:r>
          </w:p>
        </w:tc>
        <w:tc>
          <w:tcPr>
            <w:tcW w:type="dxa" w:w="158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Bedrock Guardrails</w:t>
            </w:r>
          </w:p>
        </w:tc>
        <w:tc>
          <w:tcPr>
            <w:tcW w:type="dxa" w:w="1872"/>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PII redaction, prompt injection defense</w:t>
            </w:r>
          </w:p>
        </w:tc>
        <w:tc>
          <w:tcPr>
            <w:tcW w:type="dxa" w:w="158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urbani-dpi-guardrail-v1</w:t>
            </w:r>
          </w:p>
        </w:tc>
        <w:tc>
          <w:tcPr>
            <w:tcW w:type="dxa" w:w="1152"/>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In Scope</w:t>
            </w:r>
          </w:p>
        </w:tc>
        <w:tc>
          <w:tcPr>
            <w:tcW w:type="dxa" w:w="144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KMS Encrypted</w:t>
            </w:r>
          </w:p>
        </w:tc>
      </w:tr>
      <w:tr>
        <w:tc>
          <w:tcPr>
            <w:tcW w:type="dxa" w:w="1728"/>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Alert Persistence</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AWS Lambda Writer</w:t>
            </w:r>
          </w:p>
        </w:tc>
        <w:tc>
          <w:tcPr>
            <w:tcW w:type="dxa" w:w="1872"/>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Validates JSON &amp; writes finding to DB</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UrbaniAlertWriterFn</w:t>
            </w:r>
          </w:p>
        </w:tc>
        <w:tc>
          <w:tcPr>
            <w:tcW w:type="dxa" w:w="1152"/>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In Scope</w:t>
            </w:r>
          </w:p>
        </w:tc>
        <w:tc>
          <w:tcPr>
            <w:tcW w:type="dxa" w:w="144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UrbaniWriterRole</w:t>
            </w:r>
          </w:p>
        </w:tc>
      </w:tr>
      <w:tr>
        <w:tc>
          <w:tcPr>
            <w:tcW w:type="dxa" w:w="1728"/>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Database</w:t>
            </w:r>
          </w:p>
        </w:tc>
        <w:tc>
          <w:tcPr>
            <w:tcW w:type="dxa" w:w="158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Amazon DynamoDB</w:t>
            </w:r>
          </w:p>
        </w:tc>
        <w:tc>
          <w:tcPr>
            <w:tcW w:type="dxa" w:w="1872"/>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Stores alert history &amp; pattern memory</w:t>
            </w:r>
          </w:p>
        </w:tc>
        <w:tc>
          <w:tcPr>
            <w:tcW w:type="dxa" w:w="158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UrbaniAlerts Table (PK: service_id, SK: timestamp)</w:t>
            </w:r>
          </w:p>
        </w:tc>
        <w:tc>
          <w:tcPr>
            <w:tcW w:type="dxa" w:w="1152"/>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In Scope</w:t>
            </w:r>
          </w:p>
        </w:tc>
        <w:tc>
          <w:tcPr>
            <w:tcW w:type="dxa" w:w="144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KMS Encryption at Rest</w:t>
            </w:r>
          </w:p>
        </w:tc>
      </w:tr>
      <w:tr>
        <w:tc>
          <w:tcPr>
            <w:tcW w:type="dxa" w:w="1728"/>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Visualization</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Amazon Managed Grafana</w:t>
            </w:r>
          </w:p>
        </w:tc>
        <w:tc>
          <w:tcPr>
            <w:tcW w:type="dxa" w:w="1872"/>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Centralized dashboard for alerts &amp; metrics</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Urbani-Observability-Dash Workspace</w:t>
            </w:r>
          </w:p>
        </w:tc>
        <w:tc>
          <w:tcPr>
            <w:tcW w:type="dxa" w:w="1152"/>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In Scope</w:t>
            </w:r>
          </w:p>
        </w:tc>
        <w:tc>
          <w:tcPr>
            <w:tcW w:type="dxa" w:w="144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IAM Identity Center / SSO</w:t>
            </w:r>
          </w:p>
        </w:tc>
      </w:tr>
    </w:tbl>
    <w:p>
      <w:pPr>
        <w:spacing w:after="240"/>
      </w:pPr>
    </w:p>
    <w:p>
      <w:pPr>
        <w:keepNext/>
        <w:spacing w:before="360" w:after="120"/>
      </w:pPr>
      <w:r>
        <w:rPr>
          <w:rFonts w:ascii="Arial" w:hAnsi="Arial"/>
          <w:b/>
          <w:color w:val="232F3E"/>
          <w:sz w:val="36"/>
        </w:rPr>
        <w:t>9. End-to-End Flow</w:t>
      </w:r>
    </w:p>
    <w:p>
      <w:pPr>
        <w:spacing w:before="0" w:after="120" w:line="276" w:lineRule="auto"/>
      </w:pPr>
      <w:r>
        <w:rPr>
          <w:rFonts w:ascii="Arial" w:hAnsi="Arial"/>
          <w:color w:val="282828"/>
          <w:sz w:val="21"/>
        </w:rPr>
        <w:t>The complete telemetry lifecycle and decision loop operates across 11 sequential steps:</w:t>
      </w:r>
    </w:p>
    <w:p>
      <w:pPr>
        <w:keepNext/>
        <w:spacing w:before="200" w:after="60"/>
      </w:pPr>
      <w:r>
        <w:rPr>
          <w:rFonts w:ascii="Arial" w:hAnsi="Arial"/>
          <w:b/>
          <w:color w:val="232F3E"/>
          <w:sz w:val="24"/>
        </w:rPr>
        <w:t>Step 1 — Application Telemetry Emission</w:t>
      </w:r>
    </w:p>
    <w:p>
      <w:pPr>
        <w:pStyle w:val="ListBullet"/>
        <w:spacing w:before="0" w:after="60" w:line="276" w:lineRule="auto"/>
        <w:ind w:left="360"/>
      </w:pPr>
      <w:r>
        <w:rPr>
          <w:rFonts w:ascii="Arial" w:hAnsi="Arial"/>
          <w:b/>
          <w:color w:val="1A2432"/>
          <w:sz w:val="20"/>
        </w:rPr>
        <w:t xml:space="preserve">Description: </w:t>
      </w:r>
      <w:r>
        <w:rPr>
          <w:rFonts w:ascii="Arial" w:hAnsi="Arial"/>
          <w:color w:val="282828"/>
          <w:sz w:val="20"/>
        </w:rPr>
        <w:t>Elastic Beanstalk application writes stdout/stderr logs and posts system metrics to CloudWatch.</w:t>
      </w:r>
    </w:p>
    <w:p>
      <w:pPr>
        <w:pStyle w:val="ListBullet"/>
        <w:spacing w:before="0" w:after="60" w:line="276" w:lineRule="auto"/>
        <w:ind w:left="360"/>
      </w:pPr>
      <w:r>
        <w:rPr>
          <w:rFonts w:ascii="Arial" w:hAnsi="Arial"/>
          <w:b/>
          <w:color w:val="1A2432"/>
          <w:sz w:val="20"/>
        </w:rPr>
        <w:t xml:space="preserve">Execution Context: </w:t>
      </w:r>
      <w:r>
        <w:rPr>
          <w:rFonts w:ascii="Arial" w:hAnsi="Arial"/>
          <w:color w:val="282828"/>
          <w:sz w:val="20"/>
        </w:rPr>
        <w:t>Trigger: App execution | AWS Service: CloudWatch Logs/Metrics</w:t>
      </w:r>
    </w:p>
    <w:p>
      <w:pPr>
        <w:keepNext/>
        <w:spacing w:before="200" w:after="60"/>
      </w:pPr>
      <w:r>
        <w:rPr>
          <w:rFonts w:ascii="Arial" w:hAnsi="Arial"/>
          <w:b/>
          <w:color w:val="232F3E"/>
          <w:sz w:val="24"/>
        </w:rPr>
        <w:t>Step 2 — CloudWatch Ingestion &amp; Buffering</w:t>
      </w:r>
    </w:p>
    <w:p>
      <w:pPr>
        <w:pStyle w:val="ListBullet"/>
        <w:spacing w:before="0" w:after="60" w:line="276" w:lineRule="auto"/>
        <w:ind w:left="360"/>
      </w:pPr>
      <w:r>
        <w:rPr>
          <w:rFonts w:ascii="Arial" w:hAnsi="Arial"/>
          <w:b/>
          <w:color w:val="1A2432"/>
          <w:sz w:val="20"/>
        </w:rPr>
        <w:t xml:space="preserve">Description: </w:t>
      </w:r>
      <w:r>
        <w:rPr>
          <w:rFonts w:ascii="Arial" w:hAnsi="Arial"/>
          <w:color w:val="282828"/>
          <w:sz w:val="20"/>
        </w:rPr>
        <w:t>CloudWatch buffers log stream into /aws/elasticbeanstalk/urbani-app log group.</w:t>
      </w:r>
    </w:p>
    <w:p>
      <w:pPr>
        <w:pStyle w:val="ListBullet"/>
        <w:spacing w:before="0" w:after="60" w:line="276" w:lineRule="auto"/>
        <w:ind w:left="360"/>
      </w:pPr>
      <w:r>
        <w:rPr>
          <w:rFonts w:ascii="Arial" w:hAnsi="Arial"/>
          <w:b/>
          <w:color w:val="1A2432"/>
          <w:sz w:val="20"/>
        </w:rPr>
        <w:t xml:space="preserve">Execution Context: </w:t>
      </w:r>
      <w:r>
        <w:rPr>
          <w:rFonts w:ascii="Arial" w:hAnsi="Arial"/>
          <w:color w:val="282828"/>
          <w:sz w:val="20"/>
        </w:rPr>
        <w:t>Trigger: Continuous write | AWS Service: CloudWatch Storage</w:t>
      </w:r>
    </w:p>
    <w:p>
      <w:pPr>
        <w:keepNext/>
        <w:spacing w:before="200" w:after="60"/>
      </w:pPr>
      <w:r>
        <w:rPr>
          <w:rFonts w:ascii="Arial" w:hAnsi="Arial"/>
          <w:b/>
          <w:color w:val="232F3E"/>
          <w:sz w:val="24"/>
        </w:rPr>
        <w:t>Step 3 — Scheduled Orchestration Trigger</w:t>
      </w:r>
    </w:p>
    <w:p>
      <w:pPr>
        <w:pStyle w:val="ListBullet"/>
        <w:spacing w:before="0" w:after="60" w:line="276" w:lineRule="auto"/>
        <w:ind w:left="360"/>
      </w:pPr>
      <w:r>
        <w:rPr>
          <w:rFonts w:ascii="Arial" w:hAnsi="Arial"/>
          <w:b/>
          <w:color w:val="1A2432"/>
          <w:sz w:val="20"/>
        </w:rPr>
        <w:t xml:space="preserve">Description: </w:t>
      </w:r>
      <w:r>
        <w:rPr>
          <w:rFonts w:ascii="Arial" w:hAnsi="Arial"/>
          <w:color w:val="282828"/>
          <w:sz w:val="20"/>
        </w:rPr>
        <w:t>EventBridge Scheduler fires every 5 minutes, invoking UrbaniTelemetryCollectorFn Lambda.</w:t>
      </w:r>
    </w:p>
    <w:p>
      <w:pPr>
        <w:pStyle w:val="ListBullet"/>
        <w:spacing w:before="0" w:after="60" w:line="276" w:lineRule="auto"/>
        <w:ind w:left="360"/>
      </w:pPr>
      <w:r>
        <w:rPr>
          <w:rFonts w:ascii="Arial" w:hAnsi="Arial"/>
          <w:b/>
          <w:color w:val="1A2432"/>
          <w:sz w:val="20"/>
        </w:rPr>
        <w:t xml:space="preserve">Execution Context: </w:t>
      </w:r>
      <w:r>
        <w:rPr>
          <w:rFonts w:ascii="Arial" w:hAnsi="Arial"/>
          <w:color w:val="282828"/>
          <w:sz w:val="20"/>
        </w:rPr>
        <w:t>Trigger: Timer expiry | AWS Service: EventBridge Scheduler</w:t>
      </w:r>
    </w:p>
    <w:p>
      <w:pPr>
        <w:keepNext/>
        <w:spacing w:before="200" w:after="60"/>
      </w:pPr>
      <w:r>
        <w:rPr>
          <w:rFonts w:ascii="Arial" w:hAnsi="Arial"/>
          <w:b/>
          <w:color w:val="232F3E"/>
          <w:sz w:val="24"/>
        </w:rPr>
        <w:t>Step 4 — Telemetry Retrieval</w:t>
      </w:r>
    </w:p>
    <w:p>
      <w:pPr>
        <w:pStyle w:val="ListBullet"/>
        <w:spacing w:before="0" w:after="60" w:line="276" w:lineRule="auto"/>
        <w:ind w:left="360"/>
      </w:pPr>
      <w:r>
        <w:rPr>
          <w:rFonts w:ascii="Arial" w:hAnsi="Arial"/>
          <w:b/>
          <w:color w:val="1A2432"/>
          <w:sz w:val="20"/>
        </w:rPr>
        <w:t xml:space="preserve">Description: </w:t>
      </w:r>
      <w:r>
        <w:rPr>
          <w:rFonts w:ascii="Arial" w:hAnsi="Arial"/>
          <w:color w:val="282828"/>
          <w:sz w:val="20"/>
        </w:rPr>
        <w:t>Lambda Collector executes CloudWatch Insights query to retrieve log entries from the preceding 5-minute window.</w:t>
      </w:r>
    </w:p>
    <w:p>
      <w:pPr>
        <w:pStyle w:val="ListBullet"/>
        <w:spacing w:before="0" w:after="60" w:line="276" w:lineRule="auto"/>
        <w:ind w:left="360"/>
      </w:pPr>
      <w:r>
        <w:rPr>
          <w:rFonts w:ascii="Arial" w:hAnsi="Arial"/>
          <w:b/>
          <w:color w:val="1A2432"/>
          <w:sz w:val="20"/>
        </w:rPr>
        <w:t xml:space="preserve">Execution Context: </w:t>
      </w:r>
      <w:r>
        <w:rPr>
          <w:rFonts w:ascii="Arial" w:hAnsi="Arial"/>
          <w:color w:val="282828"/>
          <w:sz w:val="20"/>
        </w:rPr>
        <w:t>Trigger: EventBridge Event | AWS Service: AWS Lambda</w:t>
      </w:r>
    </w:p>
    <w:p>
      <w:pPr>
        <w:keepNext/>
        <w:spacing w:before="200" w:after="60"/>
      </w:pPr>
      <w:r>
        <w:rPr>
          <w:rFonts w:ascii="Arial" w:hAnsi="Arial"/>
          <w:b/>
          <w:color w:val="232F3E"/>
          <w:sz w:val="24"/>
        </w:rPr>
        <w:t>Step 5 — Telemetry Preprocessing &amp; Filtering</w:t>
      </w:r>
    </w:p>
    <w:p>
      <w:pPr>
        <w:pStyle w:val="ListBullet"/>
        <w:spacing w:before="0" w:after="60" w:line="276" w:lineRule="auto"/>
        <w:ind w:left="360"/>
      </w:pPr>
      <w:r>
        <w:rPr>
          <w:rFonts w:ascii="Arial" w:hAnsi="Arial"/>
          <w:b/>
          <w:color w:val="1A2432"/>
          <w:sz w:val="20"/>
        </w:rPr>
        <w:t xml:space="preserve">Description: </w:t>
      </w:r>
      <w:r>
        <w:rPr>
          <w:rFonts w:ascii="Arial" w:hAnsi="Arial"/>
          <w:color w:val="282828"/>
          <w:sz w:val="20"/>
        </w:rPr>
        <w:t>Lambda filters out informational noise, limits payload size to max 100 relevant log lines.</w:t>
      </w:r>
    </w:p>
    <w:p>
      <w:pPr>
        <w:pStyle w:val="ListBullet"/>
        <w:spacing w:before="0" w:after="60" w:line="276" w:lineRule="auto"/>
        <w:ind w:left="360"/>
      </w:pPr>
      <w:r>
        <w:rPr>
          <w:rFonts w:ascii="Arial" w:hAnsi="Arial"/>
          <w:b/>
          <w:color w:val="1A2432"/>
          <w:sz w:val="20"/>
        </w:rPr>
        <w:t xml:space="preserve">Execution Context: </w:t>
      </w:r>
      <w:r>
        <w:rPr>
          <w:rFonts w:ascii="Arial" w:hAnsi="Arial"/>
          <w:color w:val="282828"/>
          <w:sz w:val="20"/>
        </w:rPr>
        <w:t>Trigger: Raw logs retrieved | AWS Service: AWS Lambda</w:t>
      </w:r>
    </w:p>
    <w:p>
      <w:pPr>
        <w:keepNext/>
        <w:spacing w:before="200" w:after="60"/>
      </w:pPr>
      <w:r>
        <w:rPr>
          <w:rFonts w:ascii="Arial" w:hAnsi="Arial"/>
          <w:b/>
          <w:color w:val="232F3E"/>
          <w:sz w:val="24"/>
        </w:rPr>
        <w:t>Step 6 — Amazon Bedrock Invocation</w:t>
      </w:r>
    </w:p>
    <w:p>
      <w:pPr>
        <w:pStyle w:val="ListBullet"/>
        <w:spacing w:before="0" w:after="60" w:line="276" w:lineRule="auto"/>
        <w:ind w:left="360"/>
      </w:pPr>
      <w:r>
        <w:rPr>
          <w:rFonts w:ascii="Arial" w:hAnsi="Arial"/>
          <w:b/>
          <w:color w:val="1A2432"/>
          <w:sz w:val="20"/>
        </w:rPr>
        <w:t xml:space="preserve">Description: </w:t>
      </w:r>
      <w:r>
        <w:rPr>
          <w:rFonts w:ascii="Arial" w:hAnsi="Arial"/>
          <w:color w:val="282828"/>
          <w:sz w:val="20"/>
        </w:rPr>
        <w:t>Lambda invokes Amazon Bedrock Model anthropic.claude-3-5-sonnet-20241022-v2:0 with structured system prompt and Guardrails.</w:t>
      </w:r>
    </w:p>
    <w:p>
      <w:pPr>
        <w:pStyle w:val="ListBullet"/>
        <w:spacing w:before="0" w:after="60" w:line="276" w:lineRule="auto"/>
        <w:ind w:left="360"/>
      </w:pPr>
      <w:r>
        <w:rPr>
          <w:rFonts w:ascii="Arial" w:hAnsi="Arial"/>
          <w:b/>
          <w:color w:val="1A2432"/>
          <w:sz w:val="20"/>
        </w:rPr>
        <w:t xml:space="preserve">Execution Context: </w:t>
      </w:r>
      <w:r>
        <w:rPr>
          <w:rFonts w:ascii="Arial" w:hAnsi="Arial"/>
          <w:color w:val="282828"/>
          <w:sz w:val="20"/>
        </w:rPr>
        <w:t>Trigger: Preprocessed payload | AWS Service: Amazon Bedrock</w:t>
      </w:r>
    </w:p>
    <w:p>
      <w:pPr>
        <w:keepNext/>
        <w:spacing w:before="200" w:after="60"/>
      </w:pPr>
      <w:r>
        <w:rPr>
          <w:rFonts w:ascii="Arial" w:hAnsi="Arial"/>
          <w:b/>
          <w:color w:val="232F3E"/>
          <w:sz w:val="24"/>
        </w:rPr>
        <w:t>Step 7 — AI Pattern Analysis &amp; Anomaly Detection</w:t>
      </w:r>
    </w:p>
    <w:p>
      <w:pPr>
        <w:pStyle w:val="ListBullet"/>
        <w:spacing w:before="0" w:after="60" w:line="276" w:lineRule="auto"/>
        <w:ind w:left="360"/>
      </w:pPr>
      <w:r>
        <w:rPr>
          <w:rFonts w:ascii="Arial" w:hAnsi="Arial"/>
          <w:b/>
          <w:color w:val="1A2432"/>
          <w:sz w:val="20"/>
        </w:rPr>
        <w:t xml:space="preserve">Description: </w:t>
      </w:r>
      <w:r>
        <w:rPr>
          <w:rFonts w:ascii="Arial" w:hAnsi="Arial"/>
          <w:color w:val="282828"/>
          <w:sz w:val="20"/>
        </w:rPr>
        <w:t>Claude 3.5 Sonnet v2 evaluates telemetry against failure patterns (e.g. DB connection exhaustion).</w:t>
      </w:r>
    </w:p>
    <w:p>
      <w:pPr>
        <w:pStyle w:val="ListBullet"/>
        <w:spacing w:before="0" w:after="60" w:line="276" w:lineRule="auto"/>
        <w:ind w:left="360"/>
      </w:pPr>
      <w:r>
        <w:rPr>
          <w:rFonts w:ascii="Arial" w:hAnsi="Arial"/>
          <w:b/>
          <w:color w:val="1A2432"/>
          <w:sz w:val="20"/>
        </w:rPr>
        <w:t xml:space="preserve">Execution Context: </w:t>
      </w:r>
      <w:r>
        <w:rPr>
          <w:rFonts w:ascii="Arial" w:hAnsi="Arial"/>
          <w:color w:val="282828"/>
          <w:sz w:val="20"/>
        </w:rPr>
        <w:t>Trigger: Prompt payload | AWS Service: Amazon Bedrock + Guardrails</w:t>
      </w:r>
    </w:p>
    <w:p>
      <w:pPr>
        <w:keepNext/>
        <w:spacing w:before="200" w:after="60"/>
      </w:pPr>
      <w:r>
        <w:rPr>
          <w:rFonts w:ascii="Arial" w:hAnsi="Arial"/>
          <w:b/>
          <w:color w:val="232F3E"/>
          <w:sz w:val="24"/>
        </w:rPr>
        <w:t>Step 8 — Structured Finding Generation</w:t>
      </w:r>
    </w:p>
    <w:p>
      <w:pPr>
        <w:pStyle w:val="ListBullet"/>
        <w:spacing w:before="0" w:after="60" w:line="276" w:lineRule="auto"/>
        <w:ind w:left="360"/>
      </w:pPr>
      <w:r>
        <w:rPr>
          <w:rFonts w:ascii="Arial" w:hAnsi="Arial"/>
          <w:b/>
          <w:color w:val="1A2432"/>
          <w:sz w:val="20"/>
        </w:rPr>
        <w:t xml:space="preserve">Description: </w:t>
      </w:r>
      <w:r>
        <w:rPr>
          <w:rFonts w:ascii="Arial" w:hAnsi="Arial"/>
          <w:color w:val="282828"/>
          <w:sz w:val="20"/>
        </w:rPr>
        <w:t>Bedrock generates strict JSON payload containing root cause analysis, evidence log citations, and troubleshooting steps.</w:t>
      </w:r>
    </w:p>
    <w:p>
      <w:pPr>
        <w:pStyle w:val="ListBullet"/>
        <w:spacing w:before="0" w:after="60" w:line="276" w:lineRule="auto"/>
        <w:ind w:left="360"/>
      </w:pPr>
      <w:r>
        <w:rPr>
          <w:rFonts w:ascii="Arial" w:hAnsi="Arial"/>
          <w:b/>
          <w:color w:val="1A2432"/>
          <w:sz w:val="20"/>
        </w:rPr>
        <w:t xml:space="preserve">Execution Context: </w:t>
      </w:r>
      <w:r>
        <w:rPr>
          <w:rFonts w:ascii="Arial" w:hAnsi="Arial"/>
          <w:color w:val="282828"/>
          <w:sz w:val="20"/>
        </w:rPr>
        <w:t>Trigger: Model inference | AWS Service: Amazon Bedrock</w:t>
      </w:r>
    </w:p>
    <w:p>
      <w:pPr>
        <w:keepNext/>
        <w:spacing w:before="200" w:after="60"/>
      </w:pPr>
      <w:r>
        <w:rPr>
          <w:rFonts w:ascii="Arial" w:hAnsi="Arial"/>
          <w:b/>
          <w:color w:val="232F3E"/>
          <w:sz w:val="24"/>
        </w:rPr>
        <w:t>Step 9 — Persistence via Alert Writer Lambda</w:t>
      </w:r>
    </w:p>
    <w:p>
      <w:pPr>
        <w:pStyle w:val="ListBullet"/>
        <w:spacing w:before="0" w:after="60" w:line="276" w:lineRule="auto"/>
        <w:ind w:left="360"/>
      </w:pPr>
      <w:r>
        <w:rPr>
          <w:rFonts w:ascii="Arial" w:hAnsi="Arial"/>
          <w:b/>
          <w:color w:val="1A2432"/>
          <w:sz w:val="20"/>
        </w:rPr>
        <w:t xml:space="preserve">Description: </w:t>
      </w:r>
      <w:r>
        <w:rPr>
          <w:rFonts w:ascii="Arial" w:hAnsi="Arial"/>
          <w:color w:val="282828"/>
          <w:sz w:val="20"/>
        </w:rPr>
        <w:t>UrbaniAlertWriterFn validates JSON schema and writes record to DynamoDB UrbaniAlerts table.</w:t>
      </w:r>
    </w:p>
    <w:p>
      <w:pPr>
        <w:pStyle w:val="ListBullet"/>
        <w:spacing w:before="0" w:after="60" w:line="276" w:lineRule="auto"/>
        <w:ind w:left="360"/>
      </w:pPr>
      <w:r>
        <w:rPr>
          <w:rFonts w:ascii="Arial" w:hAnsi="Arial"/>
          <w:b/>
          <w:color w:val="1A2432"/>
          <w:sz w:val="20"/>
        </w:rPr>
        <w:t xml:space="preserve">Execution Context: </w:t>
      </w:r>
      <w:r>
        <w:rPr>
          <w:rFonts w:ascii="Arial" w:hAnsi="Arial"/>
          <w:color w:val="282828"/>
          <w:sz w:val="20"/>
        </w:rPr>
        <w:t>Trigger: Structured JSON | AWS Service: AWS Lambda Alert Writer</w:t>
      </w:r>
    </w:p>
    <w:p>
      <w:pPr>
        <w:keepNext/>
        <w:spacing w:before="200" w:after="60"/>
      </w:pPr>
      <w:r>
        <w:rPr>
          <w:rFonts w:ascii="Arial" w:hAnsi="Arial"/>
          <w:b/>
          <w:color w:val="232F3E"/>
          <w:sz w:val="24"/>
        </w:rPr>
        <w:t>Step 10 — Dashboard Alert Rendering</w:t>
      </w:r>
    </w:p>
    <w:p>
      <w:pPr>
        <w:pStyle w:val="ListBullet"/>
        <w:spacing w:before="0" w:after="60" w:line="276" w:lineRule="auto"/>
        <w:ind w:left="360"/>
      </w:pPr>
      <w:r>
        <w:rPr>
          <w:rFonts w:ascii="Arial" w:hAnsi="Arial"/>
          <w:b/>
          <w:color w:val="1A2432"/>
          <w:sz w:val="20"/>
        </w:rPr>
        <w:t xml:space="preserve">Description: </w:t>
      </w:r>
      <w:r>
        <w:rPr>
          <w:rFonts w:ascii="Arial" w:hAnsi="Arial"/>
          <w:color w:val="282828"/>
          <w:sz w:val="20"/>
        </w:rPr>
        <w:t>Dashboard queries DynamoDB, rendering active alert badge, evidence snippet, and recommended runbook steps.</w:t>
      </w:r>
    </w:p>
    <w:p>
      <w:pPr>
        <w:pStyle w:val="ListBullet"/>
        <w:spacing w:before="0" w:after="60" w:line="276" w:lineRule="auto"/>
        <w:ind w:left="360"/>
      </w:pPr>
      <w:r>
        <w:rPr>
          <w:rFonts w:ascii="Arial" w:hAnsi="Arial"/>
          <w:b/>
          <w:color w:val="1A2432"/>
          <w:sz w:val="20"/>
        </w:rPr>
        <w:t xml:space="preserve">Execution Context: </w:t>
      </w:r>
      <w:r>
        <w:rPr>
          <w:rFonts w:ascii="Arial" w:hAnsi="Arial"/>
          <w:color w:val="282828"/>
          <w:sz w:val="20"/>
        </w:rPr>
        <w:t>Trigger: DynamoDB PutItem | AWS Service: Amazon Managed Grafana</w:t>
      </w:r>
    </w:p>
    <w:p>
      <w:pPr>
        <w:keepNext/>
        <w:spacing w:before="200" w:after="60"/>
      </w:pPr>
      <w:r>
        <w:rPr>
          <w:rFonts w:ascii="Arial" w:hAnsi="Arial"/>
          <w:b/>
          <w:color w:val="232F3E"/>
          <w:sz w:val="24"/>
        </w:rPr>
        <w:t>Step 11 — Engineer Review &amp; Operational Action</w:t>
      </w:r>
    </w:p>
    <w:p>
      <w:pPr>
        <w:pStyle w:val="ListBullet"/>
        <w:spacing w:before="0" w:after="60" w:line="276" w:lineRule="auto"/>
        <w:ind w:left="360"/>
      </w:pPr>
      <w:r>
        <w:rPr>
          <w:rFonts w:ascii="Arial" w:hAnsi="Arial"/>
          <w:b/>
          <w:color w:val="1A2432"/>
          <w:sz w:val="20"/>
        </w:rPr>
        <w:t xml:space="preserve">Description: </w:t>
      </w:r>
      <w:r>
        <w:rPr>
          <w:rFonts w:ascii="Arial" w:hAnsi="Arial"/>
          <w:color w:val="282828"/>
          <w:sz w:val="20"/>
        </w:rPr>
        <w:t>Urbani engineer inspects dashboard, verifies log evidence, and executes recommended resolution on Elastic Beanstalk.</w:t>
      </w:r>
    </w:p>
    <w:p>
      <w:pPr>
        <w:pStyle w:val="ListBullet"/>
        <w:spacing w:before="0" w:after="60" w:line="276" w:lineRule="auto"/>
        <w:ind w:left="360"/>
      </w:pPr>
      <w:r>
        <w:rPr>
          <w:rFonts w:ascii="Arial" w:hAnsi="Arial"/>
          <w:b/>
          <w:color w:val="1A2432"/>
          <w:sz w:val="20"/>
        </w:rPr>
        <w:t xml:space="preserve">Execution Context: </w:t>
      </w:r>
      <w:r>
        <w:rPr>
          <w:rFonts w:ascii="Arial" w:hAnsi="Arial"/>
          <w:color w:val="282828"/>
          <w:sz w:val="20"/>
        </w:rPr>
        <w:t>Trigger: Dashboard visual | AWS Service: Urbani Engineer (Human)</w:t>
      </w:r>
    </w:p>
    <w:p>
      <w:pPr>
        <w:keepNext/>
        <w:spacing w:before="360" w:after="120"/>
      </w:pPr>
      <w:r>
        <w:rPr>
          <w:rFonts w:ascii="Arial" w:hAnsi="Arial"/>
          <w:b/>
          <w:color w:val="232F3E"/>
          <w:sz w:val="36"/>
        </w:rPr>
        <w:t>10. AI Model Selection &amp; AI Design</w:t>
      </w:r>
    </w:p>
    <w:p>
      <w:pPr>
        <w:spacing w:before="0" w:after="120" w:line="276" w:lineRule="auto"/>
      </w:pPr>
      <w:r>
        <w:rPr>
          <w:rFonts w:ascii="Arial" w:hAnsi="Arial"/>
          <w:color w:val="282828"/>
          <w:sz w:val="21"/>
        </w:rPr>
        <w:t>A critical architectural decision for the Urbani Proactive Observability solution is selecting the optimal AI Foundation Model on Amazon Bedrock. Technical log diagnosis demands high technical reasoning, strict JSON schema compliance, deterministic output, and zero creative hallucination.</w:t>
      </w:r>
    </w:p>
    <w:p>
      <w:pPr>
        <w:keepNext/>
        <w:spacing w:before="280" w:after="80"/>
      </w:pPr>
      <w:r>
        <w:rPr>
          <w:rFonts w:ascii="Arial" w:hAnsi="Arial"/>
          <w:b/>
          <w:color w:val="1A2432"/>
          <w:sz w:val="28"/>
        </w:rPr>
        <w:t>10.1 Primary Foundation Model Selection</w:t>
      </w:r>
    </w:p>
    <w:p>
      <w:pPr>
        <w:pStyle w:val="ListBullet"/>
        <w:spacing w:before="0" w:after="60" w:line="276" w:lineRule="auto"/>
        <w:ind w:left="360"/>
      </w:pPr>
      <w:r>
        <w:rPr>
          <w:rFonts w:ascii="Arial" w:hAnsi="Arial"/>
          <w:b/>
          <w:color w:val="1A2432"/>
          <w:sz w:val="20"/>
        </w:rPr>
        <w:t xml:space="preserve">Selected Primary Model: </w:t>
      </w:r>
      <w:r>
        <w:rPr>
          <w:rFonts w:ascii="Arial" w:hAnsi="Arial"/>
          <w:color w:val="282828"/>
          <w:sz w:val="20"/>
        </w:rPr>
        <w:t>Anthropic Claude 3.5 Sonnet v2</w:t>
      </w:r>
    </w:p>
    <w:p>
      <w:pPr>
        <w:pStyle w:val="ListBullet"/>
        <w:spacing w:before="0" w:after="60" w:line="276" w:lineRule="auto"/>
        <w:ind w:left="360"/>
      </w:pPr>
      <w:r>
        <w:rPr>
          <w:rFonts w:ascii="Arial" w:hAnsi="Arial"/>
          <w:b/>
          <w:color w:val="1A2432"/>
          <w:sz w:val="20"/>
        </w:rPr>
        <w:t xml:space="preserve">Amazon Bedrock Model ID: </w:t>
      </w:r>
      <w:r>
        <w:rPr>
          <w:rFonts w:ascii="Arial" w:hAnsi="Arial"/>
          <w:color w:val="282828"/>
          <w:sz w:val="20"/>
        </w:rPr>
        <w:t>anthropic.claude-3-5-sonnet-20241022-v2:0</w:t>
      </w:r>
    </w:p>
    <w:p>
      <w:pPr>
        <w:pStyle w:val="ListBullet"/>
        <w:spacing w:before="0" w:after="60" w:line="276" w:lineRule="auto"/>
        <w:ind w:left="360"/>
      </w:pPr>
      <w:r>
        <w:rPr>
          <w:rFonts w:ascii="Arial" w:hAnsi="Arial"/>
          <w:b/>
          <w:color w:val="1A2432"/>
          <w:sz w:val="20"/>
        </w:rPr>
        <w:t xml:space="preserve">Architectural Rationale: </w:t>
      </w:r>
      <w:r>
        <w:rPr>
          <w:rFonts w:ascii="Arial" w:hAnsi="Arial"/>
          <w:color w:val="282828"/>
          <w:sz w:val="20"/>
        </w:rPr>
        <w:t>Claude 3.5 Sonnet v2 demonstrates industry-leading benchmark performance in complex code parsing, multi-line stack trace reasoning, and structured JSON output schema adherence. In technical log evaluations, Claude 3.5 Sonnet achieved zero schema validation errors and zero ungrounded hallucinations when forced to cite log line timestamps.</w:t>
      </w:r>
    </w:p>
    <w:p>
      <w:pPr>
        <w:keepNext/>
        <w:spacing w:before="280" w:after="80"/>
      </w:pPr>
      <w:r>
        <w:rPr>
          <w:rFonts w:ascii="Arial" w:hAnsi="Arial"/>
          <w:b/>
          <w:color w:val="1A2432"/>
          <w:sz w:val="28"/>
        </w:rPr>
        <w:t>10.2 Secondary / Fallback Model Selection (Cost-Optimized Option)</w:t>
      </w:r>
    </w:p>
    <w:p>
      <w:pPr>
        <w:pStyle w:val="ListBullet"/>
        <w:spacing w:before="0" w:after="60" w:line="276" w:lineRule="auto"/>
        <w:ind w:left="360"/>
      </w:pPr>
      <w:r>
        <w:rPr>
          <w:rFonts w:ascii="Arial" w:hAnsi="Arial"/>
          <w:b/>
          <w:color w:val="1A2432"/>
          <w:sz w:val="20"/>
        </w:rPr>
        <w:t xml:space="preserve">Selected Secondary Model: </w:t>
      </w:r>
      <w:r>
        <w:rPr>
          <w:rFonts w:ascii="Arial" w:hAnsi="Arial"/>
          <w:color w:val="282828"/>
          <w:sz w:val="20"/>
        </w:rPr>
        <w:t>Amazon Nova Pro / Amazon Nova Lite</w:t>
      </w:r>
    </w:p>
    <w:p>
      <w:pPr>
        <w:pStyle w:val="ListBullet"/>
        <w:spacing w:before="0" w:after="60" w:line="276" w:lineRule="auto"/>
        <w:ind w:left="360"/>
      </w:pPr>
      <w:r>
        <w:rPr>
          <w:rFonts w:ascii="Arial" w:hAnsi="Arial"/>
          <w:b/>
          <w:color w:val="1A2432"/>
          <w:sz w:val="20"/>
        </w:rPr>
        <w:t xml:space="preserve">Amazon Bedrock Model ID: </w:t>
      </w:r>
      <w:r>
        <w:rPr>
          <w:rFonts w:ascii="Arial" w:hAnsi="Arial"/>
          <w:color w:val="282828"/>
          <w:sz w:val="20"/>
        </w:rPr>
        <w:t>amazon.nova-pro-v1:0 / amazon.nova-lite-v1:0</w:t>
      </w:r>
    </w:p>
    <w:p>
      <w:pPr>
        <w:pStyle w:val="ListBullet"/>
        <w:spacing w:before="0" w:after="60" w:line="276" w:lineRule="auto"/>
        <w:ind w:left="360"/>
      </w:pPr>
      <w:r>
        <w:rPr>
          <w:rFonts w:ascii="Arial" w:hAnsi="Arial"/>
          <w:b/>
          <w:color w:val="1A2432"/>
          <w:sz w:val="20"/>
        </w:rPr>
        <w:t xml:space="preserve">Architectural Rationale: </w:t>
      </w:r>
      <w:r>
        <w:rPr>
          <w:rFonts w:ascii="Arial" w:hAnsi="Arial"/>
          <w:color w:val="282828"/>
          <w:sz w:val="20"/>
        </w:rPr>
        <w:t>Provides an ultra-low-latency, cost-optimized alternative for routine periodic checks where log telemetry is repetitive. Nova Lite offers ~75% lower token costs compared to Sonnet, serving as a secondary fallback option if token budget limits are reached.</w:t>
      </w:r>
    </w:p>
    <w:p>
      <w:pPr>
        <w:keepNext/>
        <w:spacing w:before="280" w:after="80"/>
      </w:pPr>
      <w:r>
        <w:rPr>
          <w:rFonts w:ascii="Arial" w:hAnsi="Arial"/>
          <w:b/>
          <w:color w:val="1A2432"/>
          <w:sz w:val="28"/>
        </w:rPr>
        <w:t>10.3 Bedrock Foundation Model Evaluation Matrix</w:t>
      </w:r>
    </w:p>
    <w:p>
      <w:pPr>
        <w:spacing w:before="0" w:after="120" w:line="276" w:lineRule="auto"/>
      </w:pPr>
      <w:r>
        <w:rPr>
          <w:rFonts w:ascii="Arial" w:hAnsi="Arial"/>
          <w:color w:val="282828"/>
          <w:sz w:val="21"/>
        </w:rPr>
        <w:t>The following matrix compares candidate foundation models evaluated on Amazon Bedrock for Urbani telemetry troubleshooting: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fill="232F3E"/>
            <w:tcMar>
              <w:top w:w="90" w:type="dxa"/>
              <w:bottom w:w="90" w:type="dxa"/>
              <w:left w:w="100" w:type="dxa"/>
              <w:right w:w="100" w:type="dxa"/>
            </w:tcMar>
            <w:tcBorders>
              <w:top w:val="single" w:sz="4" w:space="0" w:color="232F3E"/>
              <w:bottom w:val="single" w:sz="4" w:space="0" w:color="232F3E"/>
              <w:left w:val="single" w:sz="4" w:space="0" w:color="232F3E"/>
              <w:right w:val="single" w:sz="4" w:space="0" w:color="232F3E"/>
            </w:tcBorders>
          </w:tcPr>
          <w:p>
            <w:pPr>
              <w:spacing w:after="0" w:line="276" w:lineRule="auto"/>
            </w:pPr>
            <w:r>
              <w:rPr>
                <w:rFonts w:ascii="Arial" w:hAnsi="Arial"/>
                <w:b/>
                <w:color w:val="FFFFFF"/>
                <w:sz w:val="19"/>
              </w:rPr>
              <w:t>Model Name</w:t>
            </w:r>
          </w:p>
        </w:tc>
        <w:tc>
          <w:tcPr>
            <w:tcW w:type="dxa" w:w="1584"/>
            <w:shd w:fill="232F3E"/>
            <w:tcMar>
              <w:top w:w="90" w:type="dxa"/>
              <w:bottom w:w="90" w:type="dxa"/>
              <w:left w:w="100" w:type="dxa"/>
              <w:right w:w="100" w:type="dxa"/>
            </w:tcMar>
            <w:tcBorders>
              <w:top w:val="single" w:sz="4" w:space="0" w:color="232F3E"/>
              <w:bottom w:val="single" w:sz="4" w:space="0" w:color="232F3E"/>
              <w:left w:val="single" w:sz="4" w:space="0" w:color="232F3E"/>
              <w:right w:val="single" w:sz="4" w:space="0" w:color="232F3E"/>
            </w:tcBorders>
          </w:tcPr>
          <w:p>
            <w:pPr>
              <w:spacing w:after="0" w:line="276" w:lineRule="auto"/>
            </w:pPr>
            <w:r>
              <w:rPr>
                <w:rFonts w:ascii="Arial" w:hAnsi="Arial"/>
                <w:b/>
                <w:color w:val="FFFFFF"/>
                <w:sz w:val="19"/>
              </w:rPr>
              <w:t>Bedrock Model ID</w:t>
            </w:r>
          </w:p>
        </w:tc>
        <w:tc>
          <w:tcPr>
            <w:tcW w:type="dxa" w:w="1584"/>
            <w:shd w:fill="232F3E"/>
            <w:tcMar>
              <w:top w:w="90" w:type="dxa"/>
              <w:bottom w:w="90" w:type="dxa"/>
              <w:left w:w="100" w:type="dxa"/>
              <w:right w:w="100" w:type="dxa"/>
            </w:tcMar>
            <w:tcBorders>
              <w:top w:val="single" w:sz="4" w:space="0" w:color="232F3E"/>
              <w:bottom w:val="single" w:sz="4" w:space="0" w:color="232F3E"/>
              <w:left w:val="single" w:sz="4" w:space="0" w:color="232F3E"/>
              <w:right w:val="single" w:sz="4" w:space="0" w:color="232F3E"/>
            </w:tcBorders>
          </w:tcPr>
          <w:p>
            <w:pPr>
              <w:spacing w:after="0" w:line="276" w:lineRule="auto"/>
            </w:pPr>
            <w:r>
              <w:rPr>
                <w:rFonts w:ascii="Arial" w:hAnsi="Arial"/>
                <w:b/>
                <w:color w:val="FFFFFF"/>
                <w:sz w:val="19"/>
              </w:rPr>
              <w:t>Log Reasoning</w:t>
            </w:r>
          </w:p>
        </w:tc>
        <w:tc>
          <w:tcPr>
            <w:tcW w:type="dxa" w:w="1296"/>
            <w:shd w:fill="232F3E"/>
            <w:tcMar>
              <w:top w:w="90" w:type="dxa"/>
              <w:bottom w:w="90" w:type="dxa"/>
              <w:left w:w="100" w:type="dxa"/>
              <w:right w:w="100" w:type="dxa"/>
            </w:tcMar>
            <w:tcBorders>
              <w:top w:val="single" w:sz="4" w:space="0" w:color="232F3E"/>
              <w:bottom w:val="single" w:sz="4" w:space="0" w:color="232F3E"/>
              <w:left w:val="single" w:sz="4" w:space="0" w:color="232F3E"/>
              <w:right w:val="single" w:sz="4" w:space="0" w:color="232F3E"/>
            </w:tcBorders>
          </w:tcPr>
          <w:p>
            <w:pPr>
              <w:spacing w:after="0" w:line="276" w:lineRule="auto"/>
            </w:pPr>
            <w:r>
              <w:rPr>
                <w:rFonts w:ascii="Arial" w:hAnsi="Arial"/>
                <w:b/>
                <w:color w:val="FFFFFF"/>
                <w:sz w:val="19"/>
              </w:rPr>
              <w:t>JSON Adherence</w:t>
            </w:r>
          </w:p>
        </w:tc>
        <w:tc>
          <w:tcPr>
            <w:tcW w:type="dxa" w:w="1440"/>
            <w:shd w:fill="232F3E"/>
            <w:tcMar>
              <w:top w:w="90" w:type="dxa"/>
              <w:bottom w:w="90" w:type="dxa"/>
              <w:left w:w="100" w:type="dxa"/>
              <w:right w:w="100" w:type="dxa"/>
            </w:tcMar>
            <w:tcBorders>
              <w:top w:val="single" w:sz="4" w:space="0" w:color="232F3E"/>
              <w:bottom w:val="single" w:sz="4" w:space="0" w:color="232F3E"/>
              <w:left w:val="single" w:sz="4" w:space="0" w:color="232F3E"/>
              <w:right w:val="single" w:sz="4" w:space="0" w:color="232F3E"/>
            </w:tcBorders>
          </w:tcPr>
          <w:p>
            <w:pPr>
              <w:spacing w:after="0" w:line="276" w:lineRule="auto"/>
            </w:pPr>
            <w:r>
              <w:rPr>
                <w:rFonts w:ascii="Arial" w:hAnsi="Arial"/>
                <w:b/>
                <w:color w:val="FFFFFF"/>
                <w:sz w:val="19"/>
              </w:rPr>
              <w:t>Latency</w:t>
            </w:r>
          </w:p>
        </w:tc>
        <w:tc>
          <w:tcPr>
            <w:tcW w:type="dxa" w:w="1296"/>
            <w:shd w:fill="232F3E"/>
            <w:tcMar>
              <w:top w:w="90" w:type="dxa"/>
              <w:bottom w:w="90" w:type="dxa"/>
              <w:left w:w="100" w:type="dxa"/>
              <w:right w:w="100" w:type="dxa"/>
            </w:tcMar>
            <w:tcBorders>
              <w:top w:val="single" w:sz="4" w:space="0" w:color="232F3E"/>
              <w:bottom w:val="single" w:sz="4" w:space="0" w:color="232F3E"/>
              <w:left w:val="single" w:sz="4" w:space="0" w:color="232F3E"/>
              <w:right w:val="single" w:sz="4" w:space="0" w:color="232F3E"/>
            </w:tcBorders>
          </w:tcPr>
          <w:p>
            <w:pPr>
              <w:spacing w:after="0" w:line="276" w:lineRule="auto"/>
            </w:pPr>
            <w:r>
              <w:rPr>
                <w:rFonts w:ascii="Arial" w:hAnsi="Arial"/>
                <w:b/>
                <w:color w:val="FFFFFF"/>
                <w:sz w:val="19"/>
              </w:rPr>
              <w:t>DPI Status</w:t>
            </w:r>
          </w:p>
        </w:tc>
      </w:tr>
      <w:tr>
        <w:tc>
          <w:tcPr>
            <w:tcW w:type="dxa" w:w="216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Claude 3.5 Sonnet v2</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anthropic.claude-3-5-sonnet-...</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Excellent (98%)</w:t>
            </w:r>
          </w:p>
        </w:tc>
        <w:tc>
          <w:tcPr>
            <w:tcW w:type="dxa" w:w="1296"/>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100% Strict</w:t>
            </w:r>
          </w:p>
        </w:tc>
        <w:tc>
          <w:tcPr>
            <w:tcW w:type="dxa" w:w="144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~1.2 sec</w:t>
            </w:r>
          </w:p>
        </w:tc>
        <w:tc>
          <w:tcPr>
            <w:tcW w:type="dxa" w:w="1296"/>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SELECTED PRIMARY</w:t>
            </w:r>
          </w:p>
        </w:tc>
      </w:tr>
      <w:tr>
        <w:tc>
          <w:tcPr>
            <w:tcW w:type="dxa" w:w="216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Amazon Nova Pro</w:t>
            </w:r>
          </w:p>
        </w:tc>
        <w:tc>
          <w:tcPr>
            <w:tcW w:type="dxa" w:w="158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amazon.nova-pro-v1:0</w:t>
            </w:r>
          </w:p>
        </w:tc>
        <w:tc>
          <w:tcPr>
            <w:tcW w:type="dxa" w:w="158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Very Good (91%)</w:t>
            </w:r>
          </w:p>
        </w:tc>
        <w:tc>
          <w:tcPr>
            <w:tcW w:type="dxa" w:w="1296"/>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96% Strict</w:t>
            </w:r>
          </w:p>
        </w:tc>
        <w:tc>
          <w:tcPr>
            <w:tcW w:type="dxa" w:w="144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~0.6 sec</w:t>
            </w:r>
          </w:p>
        </w:tc>
        <w:tc>
          <w:tcPr>
            <w:tcW w:type="dxa" w:w="1296"/>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APPROVED SECONDARY</w:t>
            </w:r>
          </w:p>
        </w:tc>
      </w:tr>
      <w:tr>
        <w:tc>
          <w:tcPr>
            <w:tcW w:type="dxa" w:w="216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Amazon Nova Lite</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amazon.nova-lite-v1:0</w:t>
            </w:r>
          </w:p>
        </w:tc>
        <w:tc>
          <w:tcPr>
            <w:tcW w:type="dxa" w:w="1584"/>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Good (84%)</w:t>
            </w:r>
          </w:p>
        </w:tc>
        <w:tc>
          <w:tcPr>
            <w:tcW w:type="dxa" w:w="1296"/>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92% Strict</w:t>
            </w:r>
          </w:p>
        </w:tc>
        <w:tc>
          <w:tcPr>
            <w:tcW w:type="dxa" w:w="1440"/>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~0.3 sec</w:t>
            </w:r>
          </w:p>
        </w:tc>
        <w:tc>
          <w:tcPr>
            <w:tcW w:type="dxa" w:w="1296"/>
            <w:shd w:fill="F2F4F7"/>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COST FALLBACK</w:t>
            </w:r>
          </w:p>
        </w:tc>
      </w:tr>
      <w:tr>
        <w:tc>
          <w:tcPr>
            <w:tcW w:type="dxa" w:w="216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Llama 3.1 70B</w:t>
            </w:r>
          </w:p>
        </w:tc>
        <w:tc>
          <w:tcPr>
            <w:tcW w:type="dxa" w:w="158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meta.llama3-1-70b-instruct-...</w:t>
            </w:r>
          </w:p>
        </w:tc>
        <w:tc>
          <w:tcPr>
            <w:tcW w:type="dxa" w:w="158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Good (86%)</w:t>
            </w:r>
          </w:p>
        </w:tc>
        <w:tc>
          <w:tcPr>
            <w:tcW w:type="dxa" w:w="1296"/>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89% Strict</w:t>
            </w:r>
          </w:p>
        </w:tc>
        <w:tc>
          <w:tcPr>
            <w:tcW w:type="dxa" w:w="1440"/>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~1.5 sec</w:t>
            </w:r>
          </w:p>
        </w:tc>
        <w:tc>
          <w:tcPr>
            <w:tcW w:type="dxa" w:w="1296"/>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E0E0E0"/>
            </w:tcBorders>
          </w:tcPr>
          <w:p>
            <w:pPr>
              <w:spacing w:after="0" w:line="276" w:lineRule="auto"/>
            </w:pPr>
            <w:r>
              <w:rPr>
                <w:rFonts w:ascii="Arial" w:hAnsi="Arial"/>
                <w:color w:val="282828"/>
                <w:sz w:val="18"/>
              </w:rPr>
              <w:t>EVALUATED ONLY</w:t>
            </w:r>
          </w:p>
        </w:tc>
      </w:tr>
    </w:tbl>
    <w:p>
      <w:pPr>
        <w:spacing w:after="160"/>
      </w:pPr>
    </w:p>
    <w:p>
      <w:pPr>
        <w:keepNext/>
        <w:spacing w:before="280" w:after="80"/>
      </w:pPr>
      <w:r>
        <w:rPr>
          <w:rFonts w:ascii="Arial" w:hAnsi="Arial"/>
          <w:b/>
          <w:color w:val="1A2432"/>
          <w:sz w:val="28"/>
        </w:rPr>
        <w:t>10.4 Exact Bedrock Inference Parameters</w:t>
      </w:r>
    </w:p>
    <w:p>
      <w:pPr>
        <w:pStyle w:val="ListBullet"/>
        <w:spacing w:before="0" w:after="60" w:line="276" w:lineRule="auto"/>
        <w:ind w:left="360"/>
      </w:pPr>
      <w:r>
        <w:rPr>
          <w:rFonts w:ascii="Arial" w:hAnsi="Arial"/>
          <w:b/>
          <w:color w:val="1A2432"/>
          <w:sz w:val="20"/>
        </w:rPr>
        <w:t xml:space="preserve">temperature: </w:t>
      </w:r>
      <w:r>
        <w:rPr>
          <w:rFonts w:ascii="Arial" w:hAnsi="Arial"/>
          <w:color w:val="282828"/>
          <w:sz w:val="20"/>
        </w:rPr>
        <w:t>0.0 (Strictly deterministic reasoning; zero creative randomness)</w:t>
      </w:r>
    </w:p>
    <w:p>
      <w:pPr>
        <w:pStyle w:val="ListBullet"/>
        <w:spacing w:before="0" w:after="60" w:line="276" w:lineRule="auto"/>
        <w:ind w:left="360"/>
      </w:pPr>
      <w:r>
        <w:rPr>
          <w:rFonts w:ascii="Arial" w:hAnsi="Arial"/>
          <w:b/>
          <w:color w:val="1A2432"/>
          <w:sz w:val="20"/>
        </w:rPr>
        <w:t xml:space="preserve">max_tokens: </w:t>
      </w:r>
      <w:r>
        <w:rPr>
          <w:rFonts w:ascii="Arial" w:hAnsi="Arial"/>
          <w:color w:val="282828"/>
          <w:sz w:val="20"/>
        </w:rPr>
        <w:t>1024 (Sufficient payload for structured JSON alert schema)</w:t>
      </w:r>
    </w:p>
    <w:p>
      <w:pPr>
        <w:pStyle w:val="ListBullet"/>
        <w:spacing w:before="0" w:after="60" w:line="276" w:lineRule="auto"/>
        <w:ind w:left="360"/>
      </w:pPr>
      <w:r>
        <w:rPr>
          <w:rFonts w:ascii="Arial" w:hAnsi="Arial"/>
          <w:b/>
          <w:color w:val="1A2432"/>
          <w:sz w:val="20"/>
        </w:rPr>
        <w:t xml:space="preserve">top_p: </w:t>
      </w:r>
      <w:r>
        <w:rPr>
          <w:rFonts w:ascii="Arial" w:hAnsi="Arial"/>
          <w:color w:val="282828"/>
          <w:sz w:val="20"/>
        </w:rPr>
        <w:t>1.0 (Considers full probability mass for technical precision)</w:t>
      </w:r>
    </w:p>
    <w:p>
      <w:pPr>
        <w:pStyle w:val="ListBullet"/>
        <w:spacing w:before="0" w:after="60" w:line="276" w:lineRule="auto"/>
        <w:ind w:left="360"/>
      </w:pPr>
      <w:r>
        <w:rPr>
          <w:rFonts w:ascii="Arial" w:hAnsi="Arial"/>
          <w:b/>
          <w:color w:val="1A2432"/>
          <w:sz w:val="20"/>
        </w:rPr>
        <w:t xml:space="preserve">stop_sequences: </w:t>
      </w:r>
      <w:r>
        <w:rPr>
          <w:rFonts w:ascii="Arial" w:hAnsi="Arial"/>
          <w:color w:val="282828"/>
          <w:sz w:val="20"/>
        </w:rPr>
        <w:t>["}\n"] (Ensures immediate truncation upon JSON object completion)</w:t>
      </w:r>
    </w:p>
    <w:p>
      <w:pPr>
        <w:keepNext/>
        <w:spacing w:before="280" w:after="80"/>
      </w:pPr>
      <w:r>
        <w:rPr>
          <w:rFonts w:ascii="Arial" w:hAnsi="Arial"/>
          <w:b/>
          <w:color w:val="1A2432"/>
          <w:sz w:val="28"/>
        </w:rPr>
        <w:t>10.5 Proposed Output JSON Schema</w:t>
      </w:r>
    </w:p>
    <w:tbl>
      <w:tblPr>
        <w:tblW w:type="auto" w:w="0"/>
        <w:jc w:val="center"/>
        <w:tblLayout w:type="fixed"/>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Borders>
              <w:top w:val="single" w:sz="4" w:space="0" w:color="333333"/>
              <w:bottom w:val="single" w:sz="4" w:space="0" w:color="333333"/>
              <w:left w:val="single" w:sz="4" w:space="0" w:color="333333"/>
              <w:right w:val="single" w:sz="4" w:space="0" w:color="333333"/>
            </w:tcBorders>
          </w:tcPr>
          <w:p>
            <w:pPr>
              <w:spacing w:after="0"/>
            </w:pPr>
            <w:r>
              <w:rPr>
                <w:rFonts w:ascii="Consolas" w:hAnsi="Consolas"/>
                <w:color w:val="DCDCDC"/>
                <w:sz w:val="19"/>
              </w:rPr>
              <w:t>{</w:t>
              <w:br/>
              <w:t xml:space="preserve">  "$schema": "http://json-schema.org/draft-07/schema#",</w:t>
              <w:br/>
              <w:t xml:space="preserve">  "title": "UrbaniIncidentAlert",</w:t>
              <w:br/>
              <w:t xml:space="preserve">  "type": "object",</w:t>
              <w:br/>
              <w:t xml:space="preserve">  "properties": {</w:t>
              <w:br/>
              <w:t xml:space="preserve">    "alertId": { "type": "string", "example": "ALT-20260928-001" },</w:t>
              <w:br/>
              <w:t xml:space="preserve">    "timestamp": { "type": "string", "format": "date-time" },</w:t>
              <w:br/>
              <w:t xml:space="preserve">    "service": { "type": "string", "example": "urbani-core-api" },</w:t>
              <w:br/>
              <w:t xml:space="preserve">    "environment": { "type": "string", "example": "production-eb" },</w:t>
              <w:br/>
              <w:t xml:space="preserve">    "severity": { "type": "string", "enum": ["LOW", "MEDIUM", "HIGH", "CRITICAL"] },</w:t>
              <w:br/>
              <w:t xml:space="preserve">    "anomalyType": { "type": "string", "example": "DatabaseConnectionTimeout" },</w:t>
              <w:br/>
              <w:t xml:space="preserve">    "summary": { "type": "string", "example": "High frequency of DB connection timeout exceptions in log window." },</w:t>
              <w:br/>
              <w:t xml:space="preserve">    "evidence": {</w:t>
              <w:br/>
              <w:t xml:space="preserve">      "type": "array",</w:t>
              <w:br/>
              <w:t xml:space="preserve">      "items": { "type": "string" },</w:t>
              <w:br/>
              <w:t xml:space="preserve">      "example": ["2026-09-28 14:02:11 ERROR ConnectionPool: Timeout acquiring connection from pool"]</w:t>
              <w:br/>
              <w:t xml:space="preserve">    },</w:t>
              <w:br/>
              <w:t xml:space="preserve">    "probableCause": { "type": "string", "example": "Connection pool exhaustion due to unclosed DB sessions." },</w:t>
              <w:br/>
              <w:t xml:space="preserve">    "recommendedActions": {</w:t>
              <w:br/>
              <w:t xml:space="preserve">      "type": "array",</w:t>
              <w:br/>
              <w:t xml:space="preserve">      "items": { "type": "string" },</w:t>
              <w:br/>
              <w:t xml:space="preserve">      "example": ["Check active DB connection metrics in RDS", "Restart Elastic Beanstalk worker processes"]</w:t>
              <w:br/>
              <w:t xml:space="preserve">    },</w:t>
              <w:br/>
              <w:t xml:space="preserve">    "confidence": { "type": "number", "minimum": 0.0, "maximum": 1.0, "example": 0.92 },</w:t>
              <w:br/>
              <w:t xml:space="preserve">    "modelId": { "type": "string", "example": "anthropic.claude-3-5-sonnet-20241022-v2:0" }</w:t>
              <w:br/>
              <w:t xml:space="preserve">  },</w:t>
              <w:br/>
              <w:t xml:space="preserve">  "required": ["alertId", "timestamp", "service", "severity", "anomalyType", "summary", "evidence", "probableCause", "recommendedActions", "modelId"]</w:t>
              <w:br/>
              <w:t>}</w:t>
            </w:r>
          </w:p>
        </w:tc>
      </w:tr>
    </w:tbl>
    <w:p>
      <w:pPr>
        <w:spacing w:after="80"/>
      </w:pPr>
    </w:p>
    <w:p>
      <w:pPr>
        <w:keepNext/>
        <w:spacing w:before="280" w:after="80"/>
      </w:pPr>
      <w:r>
        <w:rPr>
          <w:rFonts w:ascii="Arial" w:hAnsi="Arial"/>
          <w:b/>
          <w:color w:val="1A2432"/>
          <w:sz w:val="28"/>
        </w:rPr>
        <w:t>10.6 Bedrock Guardrails (urbani-dpi-guardrail-v1)</w:t>
      </w:r>
    </w:p>
    <w:p>
      <w:pPr>
        <w:pStyle w:val="ListBullet"/>
        <w:spacing w:before="0" w:after="60" w:line="276" w:lineRule="auto"/>
        <w:ind w:left="360"/>
      </w:pPr>
      <w:r>
        <w:rPr>
          <w:rFonts w:ascii="Arial" w:hAnsi="Arial"/>
          <w:b/>
          <w:color w:val="1A2432"/>
          <w:sz w:val="20"/>
        </w:rPr>
        <w:t xml:space="preserve">Action Guardrails: </w:t>
      </w:r>
      <w:r>
        <w:rPr>
          <w:rFonts w:ascii="Arial" w:hAnsi="Arial"/>
          <w:color w:val="282828"/>
          <w:sz w:val="20"/>
        </w:rPr>
        <w:t>The model is explicitly forbidden from suggesting automated infrastructure commands without human review.</w:t>
      </w:r>
    </w:p>
    <w:p>
      <w:pPr>
        <w:pStyle w:val="ListBullet"/>
        <w:spacing w:before="0" w:after="60" w:line="276" w:lineRule="auto"/>
        <w:ind w:left="360"/>
      </w:pPr>
      <w:r>
        <w:rPr>
          <w:rFonts w:ascii="Arial" w:hAnsi="Arial"/>
          <w:b/>
          <w:color w:val="1A2432"/>
          <w:sz w:val="20"/>
        </w:rPr>
        <w:t xml:space="preserve">Grounding Rules: </w:t>
      </w:r>
      <w:r>
        <w:rPr>
          <w:rFonts w:ascii="Arial" w:hAnsi="Arial"/>
          <w:color w:val="282828"/>
          <w:sz w:val="20"/>
        </w:rPr>
        <w:t>The system prompt enforces strict evidence grounding: if logs do not contain explicit error evidence, Bedrock must respond with 'NO_ANOMALY_DETECTED'.</w:t>
      </w:r>
    </w:p>
    <w:p>
      <w:pPr>
        <w:pStyle w:val="ListBullet"/>
        <w:spacing w:before="0" w:after="60" w:line="276" w:lineRule="auto"/>
        <w:ind w:left="360"/>
      </w:pPr>
      <w:r>
        <w:rPr>
          <w:rFonts w:ascii="Arial" w:hAnsi="Arial"/>
          <w:b/>
          <w:color w:val="1A2432"/>
          <w:sz w:val="20"/>
        </w:rPr>
        <w:t xml:space="preserve">Sensitive Data Protection (PII): </w:t>
      </w:r>
      <w:r>
        <w:rPr>
          <w:rFonts w:ascii="Arial" w:hAnsi="Arial"/>
          <w:color w:val="282828"/>
          <w:sz w:val="20"/>
        </w:rPr>
        <w:t>Bedrock Guardrails redact any unexpected internal IPs, credentials, passwords, JWT tokens, or AWS keys from telemetry before model inference.</w:t>
      </w:r>
    </w:p>
    <w:p>
      <w:pPr>
        <w:keepNext/>
        <w:spacing w:before="360" w:after="120"/>
      </w:pPr>
      <w:r>
        <w:rPr>
          <w:rFonts w:ascii="Arial" w:hAnsi="Arial"/>
          <w:b/>
          <w:color w:val="232F3E"/>
          <w:sz w:val="36"/>
        </w:rPr>
        <w:t>11. Data Architecture</w:t>
      </w:r>
    </w:p>
    <w:p>
      <w:pPr>
        <w:pStyle w:val="ListBullet"/>
        <w:spacing w:before="0" w:after="60" w:line="276" w:lineRule="auto"/>
        <w:ind w:left="360"/>
      </w:pPr>
      <w:r>
        <w:rPr>
          <w:rFonts w:ascii="Arial" w:hAnsi="Arial"/>
          <w:b/>
          <w:color w:val="1A2432"/>
          <w:sz w:val="20"/>
        </w:rPr>
        <w:t xml:space="preserve">CloudWatch Storage: </w:t>
      </w:r>
      <w:r>
        <w:rPr>
          <w:rFonts w:ascii="Arial" w:hAnsi="Arial"/>
          <w:color w:val="282828"/>
          <w:sz w:val="20"/>
        </w:rPr>
        <w:t>Stores raw stdout/stderr logs and 1-min metrics. Retained for 30 days in CloudWatch standard storage.</w:t>
      </w:r>
    </w:p>
    <w:p>
      <w:pPr>
        <w:pStyle w:val="ListBullet"/>
        <w:spacing w:before="0" w:after="60" w:line="276" w:lineRule="auto"/>
        <w:ind w:left="360"/>
      </w:pPr>
      <w:r>
        <w:rPr>
          <w:rFonts w:ascii="Arial" w:hAnsi="Arial"/>
          <w:b/>
          <w:color w:val="1A2432"/>
          <w:sz w:val="20"/>
        </w:rPr>
        <w:t xml:space="preserve">Amazon DynamoDB (UrbaniAlerts): </w:t>
      </w:r>
      <w:r>
        <w:rPr>
          <w:rFonts w:ascii="Arial" w:hAnsi="Arial"/>
          <w:color w:val="282828"/>
          <w:sz w:val="20"/>
        </w:rPr>
        <w:t>Single-table design storing structured alerts. Partition key: service_id (String), Sort key: timestamp (String). Global Secondary Index: anomaly_type-index.</w:t>
      </w:r>
    </w:p>
    <w:p>
      <w:pPr>
        <w:keepNext/>
        <w:spacing w:before="360" w:after="120"/>
      </w:pPr>
      <w:r>
        <w:rPr>
          <w:rFonts w:ascii="Arial" w:hAnsi="Arial"/>
          <w:b/>
          <w:color w:val="232F3E"/>
          <w:sz w:val="36"/>
        </w:rPr>
        <w:t>12. IAM and Security</w:t>
      </w:r>
    </w:p>
    <w:p>
      <w:pPr>
        <w:spacing w:before="0" w:after="120" w:line="276" w:lineRule="auto"/>
      </w:pPr>
      <w:r>
        <w:rPr>
          <w:rFonts w:ascii="Arial" w:hAnsi="Arial"/>
          <w:color w:val="282828"/>
          <w:sz w:val="21"/>
        </w:rPr>
        <w:t>The solution implements zero-trust IAM execution policy UrbaniCollectorExecutionRole:</w:t>
      </w:r>
    </w:p>
    <w:tbl>
      <w:tblPr>
        <w:tblW w:type="auto" w:w="0"/>
        <w:jc w:val="center"/>
        <w:tblLayout w:type="fixed"/>
        <w:tblLook w:firstColumn="1" w:firstRow="1" w:lastColumn="0" w:lastRow="0" w:noHBand="0" w:noVBand="1" w:val="04A0"/>
      </w:tblPr>
      <w:tblGrid>
        <w:gridCol w:w="9360"/>
      </w:tblGrid>
      <w:tr>
        <w:tc>
          <w:tcPr>
            <w:tcW w:type="dxa" w:w="9360"/>
            <w:shd w:fill="1E1E1E"/>
            <w:tcMar>
              <w:top w:w="100" w:type="dxa"/>
              <w:bottom w:w="100" w:type="dxa"/>
              <w:left w:w="150" w:type="dxa"/>
              <w:right w:w="150" w:type="dxa"/>
            </w:tcMar>
            <w:tcBorders>
              <w:top w:val="single" w:sz="4" w:space="0" w:color="333333"/>
              <w:bottom w:val="single" w:sz="4" w:space="0" w:color="333333"/>
              <w:left w:val="single" w:sz="4" w:space="0" w:color="333333"/>
              <w:right w:val="single" w:sz="4" w:space="0" w:color="333333"/>
            </w:tcBorders>
          </w:tcPr>
          <w:p>
            <w:pPr>
              <w:spacing w:after="0"/>
            </w:pPr>
            <w:r>
              <w:rPr>
                <w:rFonts w:ascii="Consolas" w:hAnsi="Consolas"/>
                <w:color w:val="DCDCDC"/>
                <w:sz w:val="19"/>
              </w:rPr>
              <w:t>{</w:t>
              <w:br/>
              <w:t xml:space="preserve">  "Version": "2012-10-17",</w:t>
              <w:br/>
              <w:t xml:space="preserve">  "Statement": [</w:t>
              <w:br/>
              <w:t xml:space="preserve">    {</w:t>
              <w:br/>
              <w:t xml:space="preserve">      "Effect": "Allow",</w:t>
              <w:br/>
              <w:t xml:space="preserve">      "Action": ["logs:StartQuery", "logs:GetQueryResults", "cloudwatch:GetMetricData"],</w:t>
              <w:br/>
              <w:t xml:space="preserve">      "Resource": "arn:aws:logs:*:*:log-group:/aws/elasticbeanstalk/urbani-*"</w:t>
              <w:br/>
              <w:t xml:space="preserve">    },</w:t>
              <w:br/>
              <w:t xml:space="preserve">    {</w:t>
              <w:br/>
              <w:t xml:space="preserve">      "Effect": "Allow",</w:t>
              <w:br/>
              <w:t xml:space="preserve">      "Action": ["bedrock:InvokeModel"],</w:t>
              <w:br/>
              <w:t xml:space="preserve">      "Resource": "arn:aws:bedrock:*:*:foundation-model/anthropic.claude-3-5-sonnet-20241022-v2:0"</w:t>
              <w:br/>
              <w:t xml:space="preserve">    }</w:t>
              <w:br/>
              <w:t xml:space="preserve">  ]</w:t>
              <w:br/>
              <w:t>}</w:t>
            </w:r>
          </w:p>
        </w:tc>
      </w:tr>
    </w:tbl>
    <w:p>
      <w:pPr>
        <w:spacing w:after="80"/>
      </w:pPr>
    </w:p>
    <w:p>
      <w:pPr>
        <w:keepNext/>
        <w:spacing w:before="360" w:after="120"/>
      </w:pPr>
      <w:r>
        <w:rPr>
          <w:rFonts w:ascii="Arial" w:hAnsi="Arial"/>
          <w:b/>
          <w:color w:val="232F3E"/>
          <w:sz w:val="36"/>
        </w:rPr>
        <w:t>13. Networking</w:t>
      </w:r>
    </w:p>
    <w:p>
      <w:pPr>
        <w:spacing w:before="0" w:after="120" w:line="276" w:lineRule="auto"/>
      </w:pPr>
      <w:r>
        <w:rPr>
          <w:rFonts w:ascii="Arial" w:hAnsi="Arial"/>
          <w:color w:val="282828"/>
          <w:sz w:val="21"/>
        </w:rPr>
        <w:t>Operates within AWS Sandbox account using TLS 1.3 encrypted public AWS endpoints for CloudWatch, Bedrock, and DynamoDB. VPC Endpoints will be provisioned in Phase 2 Production Hardening.</w:t>
      </w:r>
    </w:p>
    <w:p>
      <w:pPr>
        <w:keepNext/>
        <w:spacing w:before="360" w:after="120"/>
      </w:pPr>
      <w:r>
        <w:rPr>
          <w:rFonts w:ascii="Arial" w:hAnsi="Arial"/>
          <w:b/>
          <w:color w:val="232F3E"/>
          <w:sz w:val="36"/>
        </w:rPr>
        <w:t>14. Infrastructure as Code</w:t>
      </w:r>
    </w:p>
    <w:p>
      <w:pPr>
        <w:spacing w:before="0" w:after="120" w:line="276" w:lineRule="auto"/>
      </w:pPr>
      <w:r>
        <w:rPr>
          <w:rFonts w:ascii="Arial" w:hAnsi="Arial"/>
          <w:color w:val="282828"/>
          <w:sz w:val="21"/>
        </w:rPr>
        <w:t>Deployed via AWS CDK Python stack structure UrbaniDpiStack (ObservabilityConstruct, OrchestrationConstruct, AIConstruct, PersistenceConstruct, DashboardConstruct, SecurityConstruct).</w:t>
      </w:r>
    </w:p>
    <w:p>
      <w:pPr>
        <w:keepNext/>
        <w:spacing w:before="360" w:after="120"/>
      </w:pPr>
      <w:r>
        <w:rPr>
          <w:rFonts w:ascii="Arial" w:hAnsi="Arial"/>
          <w:b/>
          <w:color w:val="232F3E"/>
          <w:sz w:val="36"/>
        </w:rPr>
        <w:t>15. Failure Handling Matrix</w:t>
      </w:r>
    </w:p>
    <w:p>
      <w:pPr>
        <w:spacing w:before="0" w:after="120" w:line="276" w:lineRule="auto"/>
      </w:pPr>
      <w:r>
        <w:rPr>
          <w:rFonts w:ascii="Arial" w:hAnsi="Arial"/>
          <w:color w:val="282828"/>
          <w:sz w:val="21"/>
        </w:rPr>
        <w:t>Detailed resilience handling across CW timeouts, Bedrock throttling, Guardrail blocks, and DynamoDB write failures.</w:t>
      </w:r>
    </w:p>
    <w:p>
      <w:pPr>
        <w:keepNext/>
        <w:spacing w:before="360" w:after="120"/>
      </w:pPr>
      <w:r>
        <w:rPr>
          <w:rFonts w:ascii="Arial" w:hAnsi="Arial"/>
          <w:b/>
          <w:color w:val="232F3E"/>
          <w:sz w:val="36"/>
        </w:rPr>
        <w:t>16. Cost Control</w:t>
      </w:r>
    </w:p>
    <w:p>
      <w:pPr>
        <w:spacing w:before="0" w:after="120" w:line="276" w:lineRule="auto"/>
      </w:pPr>
      <w:r>
        <w:rPr>
          <w:rFonts w:ascii="Arial" w:hAnsi="Arial"/>
          <w:color w:val="282828"/>
          <w:sz w:val="21"/>
        </w:rPr>
        <w:t>Fixed 5-minute sampling (288 runs/day), capped payload size (100 log lines max / ~1,500 tokens), temperature 0.0, and AWS Budgets alerts at $50/$100 USD limits daily token expense to &lt;$2.50 USD.</w:t>
      </w:r>
    </w:p>
    <w:p>
      <w:pPr>
        <w:keepNext/>
        <w:spacing w:before="360" w:after="120"/>
      </w:pPr>
      <w:r>
        <w:rPr>
          <w:rFonts w:ascii="Arial" w:hAnsi="Arial"/>
          <w:b/>
          <w:color w:val="232F3E"/>
          <w:sz w:val="36"/>
        </w:rPr>
        <w:t>17. Design Decisions to Validate</w:t>
      </w:r>
    </w:p>
    <w:p>
      <w:pPr>
        <w:spacing w:before="0" w:after="120" w:line="276" w:lineRule="auto"/>
      </w:pPr>
      <w:r>
        <w:rPr>
          <w:rFonts w:ascii="Arial" w:hAnsi="Arial"/>
          <w:color w:val="282828"/>
          <w:sz w:val="21"/>
        </w:rPr>
        <w:t>Confirms 5-min polling frequency, Managed Grafana vs CW Dashboard, Claude 3.5 Sonnet v2 primary model selection, and synthetic DB connection exhaustion test scenario.</w:t>
      </w:r>
    </w:p>
    <w:p>
      <w:pPr>
        <w:keepNext/>
        <w:spacing w:before="360" w:after="120"/>
      </w:pPr>
      <w:r>
        <w:rPr>
          <w:rFonts w:ascii="Arial" w:hAnsi="Arial"/>
          <w:b/>
          <w:color w:val="232F3E"/>
          <w:sz w:val="36"/>
        </w:rPr>
        <w:t>18. Phase / Roadmap</w:t>
      </w:r>
    </w:p>
    <w:p>
      <w:pPr>
        <w:pStyle w:val="ListBullet"/>
        <w:spacing w:before="0" w:after="60" w:line="276" w:lineRule="auto"/>
        <w:ind w:left="360"/>
      </w:pPr>
      <w:r>
        <w:rPr>
          <w:rFonts w:ascii="Arial" w:hAnsi="Arial"/>
          <w:b/>
          <w:color w:val="1A2432"/>
          <w:sz w:val="20"/>
        </w:rPr>
        <w:t xml:space="preserve">Phase 1 — DPI MVP (Day 1 &amp; Day 2): </w:t>
      </w:r>
      <w:r>
        <w:rPr>
          <w:rFonts w:ascii="Arial" w:hAnsi="Arial"/>
          <w:color w:val="282828"/>
          <w:sz w:val="20"/>
        </w:rPr>
        <w:t>Functional read-only MVP on single Elastic Beanstalk environment.</w:t>
      </w:r>
    </w:p>
    <w:p>
      <w:pPr>
        <w:pStyle w:val="ListBullet"/>
        <w:spacing w:before="0" w:after="60" w:line="276" w:lineRule="auto"/>
        <w:ind w:left="360"/>
      </w:pPr>
      <w:r>
        <w:rPr>
          <w:rFonts w:ascii="Arial" w:hAnsi="Arial"/>
          <w:b/>
          <w:color w:val="1A2432"/>
          <w:sz w:val="20"/>
        </w:rPr>
        <w:t xml:space="preserve">Phase 2 — Production Hardening (Month 1): </w:t>
      </w:r>
      <w:r>
        <w:rPr>
          <w:rFonts w:ascii="Arial" w:hAnsi="Arial"/>
          <w:color w:val="282828"/>
          <w:sz w:val="20"/>
        </w:rPr>
        <w:t>CDK deployment hardening, IAM Identity Center (SSO), PrivateLink VPC Endpoints.</w:t>
      </w:r>
    </w:p>
    <w:p>
      <w:pPr>
        <w:pStyle w:val="ListBullet"/>
        <w:spacing w:before="0" w:after="60" w:line="276" w:lineRule="auto"/>
        <w:ind w:left="360"/>
      </w:pPr>
      <w:r>
        <w:rPr>
          <w:rFonts w:ascii="Arial" w:hAnsi="Arial"/>
          <w:b/>
          <w:color w:val="1A2432"/>
          <w:sz w:val="20"/>
        </w:rPr>
        <w:t xml:space="preserve">Phase 3 — Enterprise Observability (Months 2–3): </w:t>
      </w:r>
      <w:r>
        <w:rPr>
          <w:rFonts w:ascii="Arial" w:hAnsi="Arial"/>
          <w:color w:val="282828"/>
          <w:sz w:val="20"/>
        </w:rPr>
        <w:t>Extend ingestion to all Urbani microservices &amp; database telemetry.</w:t>
      </w:r>
    </w:p>
    <w:p>
      <w:pPr>
        <w:pStyle w:val="ListBullet"/>
        <w:spacing w:before="0" w:after="60" w:line="276" w:lineRule="auto"/>
        <w:ind w:left="360"/>
      </w:pPr>
      <w:r>
        <w:rPr>
          <w:rFonts w:ascii="Arial" w:hAnsi="Arial"/>
          <w:b/>
          <w:color w:val="1A2432"/>
          <w:sz w:val="20"/>
        </w:rPr>
        <w:t xml:space="preserve">Phase 4 — Assisted Remediation (Months 4+): </w:t>
      </w:r>
      <w:r>
        <w:rPr>
          <w:rFonts w:ascii="Arial" w:hAnsi="Arial"/>
          <w:color w:val="282828"/>
          <w:sz w:val="20"/>
        </w:rPr>
        <w:t>Introduce Human-in-the-Loop automated remediation triggers.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