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VIGNESHWARA CHINNADURAI</w:t>
      </w:r>
    </w:p>
    <w:p>
      <w:pPr>
        <w:jc w:val="center"/>
      </w:pPr>
      <w:r>
        <w:rPr>
          <w:rFonts w:ascii="Times New Roman" w:hAnsi="Times New Roman"/>
          <w:b/>
          <w:sz w:val="26"/>
        </w:rPr>
        <w:t xml:space="preserve">Roll Number: </w:t>
      </w:r>
      <w:r>
        <w:rPr>
          <w:rFonts w:ascii="Times New Roman" w:hAnsi="Times New Roman"/>
          <w:sz w:val="26"/>
        </w:rPr>
        <w:t>2414504298</w:t>
      </w:r>
    </w:p>
    <w:p>
      <w:pPr>
        <w:jc w:val="center"/>
      </w:pPr>
      <w:r>
        <w:rPr>
          <w:rFonts w:ascii="Times New Roman" w:hAnsi="Times New Roman"/>
          <w:b/>
          <w:sz w:val="26"/>
        </w:rPr>
        <w:t xml:space="preserve">Program: </w:t>
      </w:r>
      <w:r>
        <w:rPr>
          <w:rFonts w:ascii="Times New Roman" w:hAnsi="Times New Roman"/>
          <w:sz w:val="26"/>
        </w:rPr>
        <w:t>Master of Business Administration (MBA)</w:t>
      </w:r>
    </w:p>
    <w:p>
      <w:pPr>
        <w:jc w:val="center"/>
      </w:pPr>
      <w:r>
        <w:rPr>
          <w:rFonts w:ascii="Times New Roman" w:hAnsi="Times New Roman"/>
          <w:b/>
          <w:sz w:val="26"/>
        </w:rPr>
        <w:t xml:space="preserve">Semester: </w:t>
      </w:r>
      <w:r>
        <w:rPr>
          <w:rFonts w:ascii="Times New Roman" w:hAnsi="Times New Roman"/>
          <w:sz w:val="26"/>
        </w:rPr>
        <w:t>IV</w:t>
      </w:r>
    </w:p>
    <w:p>
      <w:pPr>
        <w:jc w:val="center"/>
      </w:pPr>
      <w:r>
        <w:rPr>
          <w:rFonts w:ascii="Times New Roman" w:hAnsi="Times New Roman"/>
          <w:b/>
          <w:sz w:val="26"/>
        </w:rPr>
        <w:t xml:space="preserve">Course Code: </w:t>
      </w:r>
      <w:r>
        <w:rPr>
          <w:rFonts w:ascii="Times New Roman" w:hAnsi="Times New Roman"/>
          <w:sz w:val="26"/>
        </w:rPr>
        <w:t>DADS403</w:t>
      </w:r>
    </w:p>
    <w:p>
      <w:pPr>
        <w:jc w:val="center"/>
      </w:pPr>
      <w:r>
        <w:rPr>
          <w:rFonts w:ascii="Times New Roman" w:hAnsi="Times New Roman"/>
          <w:b/>
          <w:sz w:val="26"/>
        </w:rPr>
        <w:t xml:space="preserve">Course Name: </w:t>
      </w:r>
      <w:r>
        <w:rPr>
          <w:rFonts w:ascii="Times New Roman" w:hAnsi="Times New Roman"/>
          <w:sz w:val="26"/>
        </w:rPr>
        <w:t>Business Analytics</w:t>
      </w:r>
    </w:p>
    <w:p>
      <w:r>
        <w:br w:type="page"/>
      </w:r>
    </w:p>
    <w:p>
      <w:pPr>
        <w:spacing w:before="480" w:after="240"/>
        <w:jc w:val="center"/>
      </w:pPr>
      <w:r>
        <w:rPr>
          <w:rFonts w:ascii="Times New Roman" w:hAnsi="Times New Roman"/>
          <w:b/>
          <w:sz w:val="28"/>
          <w:u w:val="single"/>
        </w:rPr>
        <w:t>Assignment Set – 1</w:t>
      </w:r>
    </w:p>
    <w:p>
      <w:pPr>
        <w:spacing w:before="360" w:after="160"/>
        <w:jc w:val="left"/>
      </w:pPr>
      <w:r>
        <w:rPr>
          <w:rFonts w:ascii="Times New Roman" w:hAnsi="Times New Roman"/>
          <w:b/>
          <w:sz w:val="24"/>
        </w:rPr>
        <w:t>Q1. What is Business Analytics? Discuss the role of Business Analytics in various domains of business. [5+5 = 10 Marks]</w:t>
      </w:r>
    </w:p>
    <w:p>
      <w:pPr>
        <w:jc w:val="both"/>
      </w:pPr>
      <w:r>
        <w:rPr>
          <w:rFonts w:ascii="Times New Roman" w:hAnsi="Times New Roman"/>
          <w:sz w:val="24"/>
        </w:rPr>
        <w:t>Business analytics is the practice of using data, statistical methods, and quantitative models to inform and improve business decisions. It spans three tiers: descriptive analytics (what happened), predictive analytics (what is likely to happen), and prescriptive analytics (what should be done about it). Most organisations today operate primarily at the descriptive level through dashboards and periodic reports, with the more analytically mature ones investing in predictive and prescriptive capabilities.</w:t>
      </w:r>
    </w:p>
    <w:p>
      <w:pPr>
        <w:jc w:val="both"/>
      </w:pPr>
      <w:r>
        <w:rPr>
          <w:rFonts w:ascii="Times New Roman" w:hAnsi="Times New Roman"/>
          <w:sz w:val="24"/>
        </w:rPr>
        <w:t>In marketing, analytics has shifted resource allocation from intuition-based to evidence-based. Customer segmentation models divide a customer base into groups with distinct purchasing patterns, enabling campaigns tailored to each segment. A/B testing provides controlled experimental evidence for choosing between two webpage designs or email subject lines. Attribution modelling traces which touchpoints along the customer journey contributed most to a conversion, so that advertising spend can be reallocated toward high-performing channels.</w:t>
      </w:r>
    </w:p>
    <w:p>
      <w:pPr>
        <w:jc w:val="both"/>
      </w:pPr>
      <w:r>
        <w:rPr>
          <w:rFonts w:ascii="Times New Roman" w:hAnsi="Times New Roman"/>
          <w:sz w:val="24"/>
        </w:rPr>
        <w:t>Finance adopted analytics earlier than most functions. Credit scoring models estimate the probability of loan default. Algorithmic trading strategies detect patterns in market microstructure data. Fraud detection systems flag anomalous transactions in real time using supervised classification on historical fraud cases. Without these models, the volume of modern financial transactions would overwhelm human reviewers entirely.</w:t>
      </w:r>
    </w:p>
    <w:p>
      <w:pPr>
        <w:jc w:val="both"/>
      </w:pPr>
      <w:r>
        <w:rPr>
          <w:rFonts w:ascii="Times New Roman" w:hAnsi="Times New Roman"/>
          <w:sz w:val="24"/>
        </w:rPr>
        <w:t>Supply chain management relies on demand forecasting models that feed into inventory optimisation, production scheduling, and logistics routing. Walmart’s analytics team, often cited as an early pioneer, used point-of-sale data to maintain lean inventories across thousands of stores while minimising stockouts. Amazon’s fulfilment network is another prominent example — predictive models pre-position goods in warehouses near anticipated demand centres before customers even place orders.</w:t>
      </w:r>
    </w:p>
    <w:p>
      <w:pPr>
        <w:jc w:val="both"/>
      </w:pPr>
      <w:r>
        <w:rPr>
          <w:rFonts w:ascii="Times New Roman" w:hAnsi="Times New Roman"/>
          <w:sz w:val="24"/>
        </w:rPr>
        <w:t>Healthcare analytics ranges from predicting patient readmission risk (which Medicare penalises hospitals for) to optimising nurse staffing schedules based on historical admission volumes. Human resources teams use predictive attrition models to identify employees likely to resign, allowing preemptive retention interventions. Manufacturing firms collect sensor data from equipment and apply anomaly detection models for predictive maintenance — replacing a component before it fails is far cheaper than unplanned downtime. Across all these domains, the common principle is the same: replace guesswork with evidence.</w:t>
      </w:r>
    </w:p>
    <w:p>
      <w:pPr>
        <w:spacing w:before="360" w:after="160"/>
        <w:jc w:val="left"/>
      </w:pPr>
      <w:r>
        <w:rPr>
          <w:rFonts w:ascii="Times New Roman" w:hAnsi="Times New Roman"/>
          <w:b/>
          <w:sz w:val="24"/>
        </w:rPr>
        <w:t>Q2(A). Discuss any one purpose of using Conjoint Analysis in detail. [5 Marks]</w:t>
      </w:r>
    </w:p>
    <w:p>
      <w:pPr>
        <w:jc w:val="both"/>
      </w:pPr>
      <w:r>
        <w:rPr>
          <w:rFonts w:ascii="Times New Roman" w:hAnsi="Times New Roman"/>
          <w:sz w:val="24"/>
        </w:rPr>
        <w:t>Conjoint analysis is a stated-preference technique used in market research to determine how consumers value different attributes of a product or service. Its most impactful application is in product design, where development teams face trade-offs between competing feature configurations and need a quantitative basis for choosing among them.</w:t>
      </w:r>
    </w:p>
    <w:p>
      <w:pPr>
        <w:jc w:val="both"/>
      </w:pPr>
      <w:r>
        <w:rPr>
          <w:rFonts w:ascii="Times New Roman" w:hAnsi="Times New Roman"/>
          <w:sz w:val="24"/>
        </w:rPr>
        <w:t>Consider a smartphone manufacturer deciding between a higher-resolution camera, a larger battery, a thinner chassis, and a lower price. Each improvement involves cost and engineering constraints, so maximising every attribute simultaneously is not feasible. A conjoint study presents respondents with hypothetical product profiles — combinations of attribute levels — and asks them to rank or choose between them. One profile might pair a 108 MP camera with a 4,000 mAh battery at ₹45,000; another might offer 48 MP with 5,500 mAh at ₹32,000.</w:t>
      </w:r>
    </w:p>
    <w:p>
      <w:pPr>
        <w:jc w:val="both"/>
      </w:pPr>
      <w:r>
        <w:rPr>
          <w:rFonts w:ascii="Times New Roman" w:hAnsi="Times New Roman"/>
          <w:sz w:val="24"/>
        </w:rPr>
        <w:t>Statistical decomposition of the choice data yields part-worth utility scores for each attribute level. If battery capacity has the highest utility swing and camera resolution beyond 64 MP contributes negligibly, the design implication is clear: invest in battery rather than camera megapixels. The method effectively lets consumers, through their revealed preferences, dictate the design specification — reducing the risk of launching a product that emphasises the wrong features.</w:t>
      </w:r>
    </w:p>
    <w:p>
      <w:pPr>
        <w:jc w:val="both"/>
      </w:pPr>
      <w:r>
        <w:rPr>
          <w:rFonts w:ascii="Times New Roman" w:hAnsi="Times New Roman"/>
          <w:sz w:val="24"/>
        </w:rPr>
        <w:t>Automobile brands, FMCG companies, and technology firms run conjoint studies regularly. Beyond product design, the outputs also support pricing strategy: by simulating how market share shifts when a feature is added or a price is changed, managers can evaluate scenarios before committing capital.</w:t>
      </w:r>
    </w:p>
    <w:p>
      <w:pPr>
        <w:spacing w:before="360" w:after="160"/>
        <w:jc w:val="left"/>
      </w:pPr>
      <w:r>
        <w:rPr>
          <w:rFonts w:ascii="Times New Roman" w:hAnsi="Times New Roman"/>
          <w:b/>
          <w:sz w:val="24"/>
        </w:rPr>
        <w:t>Q2(B). Explain the following terms and how they are calculated: TRP, GRP. [5 Marks]</w:t>
      </w:r>
    </w:p>
    <w:p>
      <w:pPr>
        <w:jc w:val="both"/>
      </w:pPr>
      <w:r>
        <w:rPr>
          <w:rFonts w:ascii="Times New Roman" w:hAnsi="Times New Roman"/>
          <w:sz w:val="24"/>
        </w:rPr>
        <w:t>TRP (Target Rating Point) measures advertising exposure within a specific target audience segment. If the target audience is women aged 25–40 and the campaign reached 20 per cent of that group with an average frequency of 4 exposures, TRP equals 20 × 4 = 80. The calculation can equivalently be expressed as (target impressions / target universe) × 100. TRP is the metric media planners rely on when evaluating whether a campaign is reaching the right eyeballs, not merely any eyeballs.</w:t>
      </w:r>
    </w:p>
    <w:p>
      <w:pPr>
        <w:jc w:val="both"/>
      </w:pPr>
      <w:r>
        <w:rPr>
          <w:rFonts w:ascii="Times New Roman" w:hAnsi="Times New Roman"/>
          <w:sz w:val="24"/>
        </w:rPr>
        <w:t>GRP (Gross Rating Point) uses the same formula but is measured against the total population rather than a target segment. If 35 per cent of all television viewers saw an advertisement an average of 3 times, the GRP is 105. A high GRP indicates heavy market-wide exposure but says nothing about whether the exposure was concentrated among the intended buyers.</w:t>
      </w:r>
    </w:p>
    <w:p>
      <w:pPr>
        <w:jc w:val="both"/>
      </w:pPr>
      <w:r>
        <w:rPr>
          <w:rFonts w:ascii="Times New Roman" w:hAnsi="Times New Roman"/>
          <w:sz w:val="24"/>
        </w:rPr>
        <w:t>The distinction matters because a campaign can accumulate high GRP while delivering low TRP, meaning most impressions fell outside the intended demographic — a situation that represents wasted expenditure. Media buyers use TRP to compare the efficiency of alternative ad placements (prime-time television versus streaming platforms versus digital display) in reaching the defined target audience, enabling more precise budget allocation.</w:t>
      </w:r>
    </w:p>
    <w:p>
      <w:pPr>
        <w:spacing w:before="360" w:after="160"/>
        <w:jc w:val="left"/>
      </w:pPr>
      <w:r>
        <w:rPr>
          <w:rFonts w:ascii="Times New Roman" w:hAnsi="Times New Roman"/>
          <w:b/>
          <w:sz w:val="24"/>
        </w:rPr>
        <w:t>Q3. Discuss MDS and Perceptual Map in detail. [5+5 = 10 Marks]</w:t>
      </w:r>
    </w:p>
    <w:p>
      <w:pPr>
        <w:jc w:val="both"/>
      </w:pPr>
      <w:r>
        <w:rPr>
          <w:rFonts w:ascii="Times New Roman" w:hAnsi="Times New Roman"/>
          <w:sz w:val="24"/>
        </w:rPr>
        <w:t>Multidimensional Scaling (MDS) is a statistical technique that converts a matrix of pairwise similarities or dissimilarities into a spatial configuration where inter-point distances reflect the original relationships. If consumers judge Brand A and Brand B as very similar, MDS places their corresponding points close together on the map; brands perceived as very different appear far apart.</w:t>
      </w:r>
    </w:p>
    <w:p>
      <w:pPr>
        <w:jc w:val="both"/>
      </w:pPr>
      <w:r>
        <w:rPr>
          <w:rFonts w:ascii="Times New Roman" w:hAnsi="Times New Roman"/>
          <w:sz w:val="24"/>
        </w:rPr>
        <w:t>Metric MDS attempts to preserve the actual numerical distances and is appropriate when the input data is measured on a ratio or interval scale. Non-metric MDS preserves only the rank order of distances, which suits survey data where respondents provide ordinal judgements ("A is more similar to B than to C") rather than precise measurements. The fit quality is assessed through a stress statistic — lower stress indicates a more faithful representation of the original dissimilarity structure in the reduced space.</w:t>
      </w:r>
    </w:p>
    <w:p>
      <w:pPr>
        <w:jc w:val="both"/>
      </w:pPr>
      <w:r>
        <w:rPr>
          <w:rFonts w:ascii="Times New Roman" w:hAnsi="Times New Roman"/>
          <w:sz w:val="24"/>
        </w:rPr>
        <w:t>A perceptual map is the visual output that MDS produces, though it can also be derived via factor analysis or correspondence analysis. It is a two-dimensional plot where each brand, product, or stimulus occupies a position based on how consumers perceive it. The axes are interpreted post hoc by examining which attributes correlate with each dimension — one axis might correspond to "premium vs affordable" and the other to "traditional vs innovative".</w:t>
      </w:r>
    </w:p>
    <w:p>
      <w:pPr>
        <w:jc w:val="both"/>
      </w:pPr>
      <w:r>
        <w:rPr>
          <w:rFonts w:ascii="Times New Roman" w:hAnsi="Times New Roman"/>
          <w:sz w:val="24"/>
        </w:rPr>
        <w:t>Marketers value perceptual maps because they reveal competitive positioning at a glance. If two brands cluster together, they are competing head-to-head and are likely to compete primarily on price. An empty region of the map may represent an unserved market segment — an opportunity for a new product or repositioning effort. For example, in the fast-food industry, a perceptual map might show two major chains overlapping in the "affordable, indulgent" quadrant while the "affordable, healthy" space has only one competitor, highlighting where a new entrant could differentiate.</w:t>
      </w:r>
    </w:p>
    <w:p>
      <w:r>
        <w:br w:type="page"/>
      </w:r>
    </w:p>
    <w:p>
      <w:pPr>
        <w:spacing w:before="480" w:after="240"/>
        <w:jc w:val="center"/>
      </w:pPr>
      <w:r>
        <w:rPr>
          <w:rFonts w:ascii="Times New Roman" w:hAnsi="Times New Roman"/>
          <w:b/>
          <w:sz w:val="28"/>
          <w:u w:val="single"/>
        </w:rPr>
        <w:t>Assignment Set – 2</w:t>
      </w:r>
    </w:p>
    <w:p>
      <w:pPr>
        <w:spacing w:before="360" w:after="160"/>
        <w:jc w:val="left"/>
      </w:pPr>
      <w:r>
        <w:rPr>
          <w:rFonts w:ascii="Times New Roman" w:hAnsi="Times New Roman"/>
          <w:b/>
          <w:sz w:val="24"/>
        </w:rPr>
        <w:t>Q4. What is Propensity Modelling? Briefly discuss different types of Propensity Modelling. [5+5 = 10 Marks]</w:t>
      </w:r>
    </w:p>
    <w:p>
      <w:pPr>
        <w:jc w:val="both"/>
      </w:pPr>
      <w:r>
        <w:rPr>
          <w:rFonts w:ascii="Times New Roman" w:hAnsi="Times New Roman"/>
          <w:sz w:val="24"/>
        </w:rPr>
        <w:t>Propensity modelling uses historical data and supervised learning to estimate the probability that an individual will perform a specific action — purchasing a product, cancelling a subscription, responding to an offer, or clicking an advertisement. Rather than treating all customers identically, each person receives a score that reflects their individual likelihood, enabling targeted and cost-efficient interventions.</w:t>
      </w:r>
    </w:p>
    <w:p>
      <w:pPr>
        <w:jc w:val="both"/>
      </w:pPr>
      <w:r>
        <w:rPr>
          <w:rFonts w:ascii="Times New Roman" w:hAnsi="Times New Roman"/>
          <w:sz w:val="24"/>
        </w:rPr>
        <w:t>Propensity-to-purchase models score customers by their likelihood of buying. An e-commerce company might train a gradient boosting model on features such as browsing history, time since last purchase, cart additions, and email open rates. High-scoring individuals receive promotional nudges; low-scoring ones are deprioritised, reducing marketing waste and improving return on spend.</w:t>
      </w:r>
    </w:p>
    <w:p>
      <w:pPr>
        <w:jc w:val="both"/>
      </w:pPr>
      <w:r>
        <w:rPr>
          <w:rFonts w:ascii="Times New Roman" w:hAnsi="Times New Roman"/>
          <w:sz w:val="24"/>
        </w:rPr>
        <w:t>Propensity-to-churn models predict which customers are likely to leave. Telecom operators, streaming services, and SaaS platforms depend on these models because acquiring a new customer usually costs several times more than retaining an existing one. A customer flagged as high-risk might receive a loyalty offer, a personalised check-in, or a contract incentive before they make the decision to switch.</w:t>
      </w:r>
    </w:p>
    <w:p>
      <w:pPr>
        <w:jc w:val="both"/>
      </w:pPr>
      <w:r>
        <w:rPr>
          <w:rFonts w:ascii="Times New Roman" w:hAnsi="Times New Roman"/>
          <w:sz w:val="24"/>
        </w:rPr>
        <w:t>Propensity-to-engage models estimate who will interact with a marketing message — open an email, click a push notification, or watch an ad. This allows campaign timing and channel selection to be personalised. Propensity-to-convert models focus on moving leads through the sales funnel, scoring prospects by their likelihood of becoming paying customers. And propensity-to-respond models, used heavily in direct marketing, predict who will act on a specific offer. The underlying methodology — logistic regression, random forest, XGBoost, or neural networks on labelled historical outcomes — is shared across all variants; what differs is the target variable.</w:t>
      </w:r>
    </w:p>
    <w:p>
      <w:pPr>
        <w:spacing w:before="360" w:after="160"/>
        <w:jc w:val="left"/>
      </w:pPr>
      <w:r>
        <w:rPr>
          <w:rFonts w:ascii="Times New Roman" w:hAnsi="Times New Roman"/>
          <w:b/>
          <w:sz w:val="24"/>
        </w:rPr>
        <w:t>Q5. Briefly discuss any five Digital Marketing techniques. [10 Marks]</w:t>
      </w:r>
    </w:p>
    <w:p>
      <w:pPr>
        <w:jc w:val="both"/>
      </w:pPr>
      <w:r>
        <w:rPr>
          <w:rFonts w:ascii="Times New Roman" w:hAnsi="Times New Roman"/>
          <w:sz w:val="24"/>
        </w:rPr>
        <w:t>Search Engine Optimisation (SEO) aims to improve a website’s visibility in organic search results. This involves keyword research, on-page optimisation (title tags, meta descriptions, content relevance), technical improvements (page speed, mobile responsiveness, structured data markup), and off-page efforts (earning backlinks from reputable domains). The advantage of SEO is sustained traffic without per-click cost; the disadvantage is that results take months and require ongoing maintenance as search engine algorithms evolve.</w:t>
      </w:r>
    </w:p>
    <w:p>
      <w:pPr>
        <w:jc w:val="both"/>
      </w:pPr>
      <w:r>
        <w:rPr>
          <w:rFonts w:ascii="Times New Roman" w:hAnsi="Times New Roman"/>
          <w:sz w:val="24"/>
        </w:rPr>
        <w:t>Pay-Per-Click advertising (PPC), particularly through Google Ads and social media platforms, provides immediate visibility. Advertisers bid on keywords or audience segments and pay each time a user clicks. Effective PPC requires continuous A/B testing of ad copy, landing page optimisation, and bid management. It delivers fast results but traffic stops the moment the budget is paused, making it a complement to SEO rather than a replacement.</w:t>
      </w:r>
    </w:p>
    <w:p>
      <w:pPr>
        <w:jc w:val="both"/>
      </w:pPr>
      <w:r>
        <w:rPr>
          <w:rFonts w:ascii="Times New Roman" w:hAnsi="Times New Roman"/>
          <w:sz w:val="24"/>
        </w:rPr>
        <w:t>Social Media Marketing leverages platforms such as Instagram, LinkedIn, YouTube, and TikTok for both organic community building and paid advertising. Each platform has a distinct audience and content format: LinkedIn favours professional thought leadership; TikTok rewards short, entertaining video. Targeting capabilities on paid social are highly granular — demographics, interests, behaviours, and even lookalike audiences modelled from existing customer lists.</w:t>
      </w:r>
    </w:p>
    <w:p>
      <w:pPr>
        <w:jc w:val="both"/>
      </w:pPr>
      <w:r>
        <w:rPr>
          <w:rFonts w:ascii="Times New Roman" w:hAnsi="Times New Roman"/>
          <w:sz w:val="24"/>
        </w:rPr>
        <w:t>Content Marketing creates and distributes valuable material — blog posts, whitepapers, videos, podcasts, infographics — to attract and retain an audience. A cybersecurity firm publishing detailed incident response guides establishes authority; when a prospect is ready to purchase, that pre-existing trust influences the buying decision. Content marketing and SEO reinforce each other, as quality content attracts both readers and backlinks.</w:t>
      </w:r>
    </w:p>
    <w:p>
      <w:pPr>
        <w:jc w:val="both"/>
      </w:pPr>
      <w:r>
        <w:rPr>
          <w:rFonts w:ascii="Times New Roman" w:hAnsi="Times New Roman"/>
          <w:sz w:val="24"/>
        </w:rPr>
        <w:t>Email Marketing remains one of the highest-ROI digital channels. Modern practice relies on segmentation and behaviour-triggered automation: abandoned cart reminders, post-purchase follow-ups, and personalised product recommendations. Well-segmented campaigns report open rates significantly above the industry average for generic newsletters. Unlike social media, the email list is owned by the business, insulating it from platform algorithm changes that can abruptly reduce organic reach.</w:t>
      </w:r>
    </w:p>
    <w:p>
      <w:pPr>
        <w:spacing w:before="360" w:after="160"/>
        <w:jc w:val="left"/>
      </w:pPr>
      <w:r>
        <w:rPr>
          <w:rFonts w:ascii="Times New Roman" w:hAnsi="Times New Roman"/>
          <w:b/>
          <w:sz w:val="24"/>
        </w:rPr>
        <w:t>Q6. Elaborate RPA. Discuss the 5-step implementation approach of RPA. [5+5 = 10 Marks]</w:t>
      </w:r>
    </w:p>
    <w:p>
      <w:pPr>
        <w:jc w:val="both"/>
      </w:pPr>
      <w:r>
        <w:rPr>
          <w:rFonts w:ascii="Times New Roman" w:hAnsi="Times New Roman"/>
          <w:sz w:val="24"/>
        </w:rPr>
        <w:t>Robotic Process Automation (RPA) deploys software bots to execute rule-based, repetitive tasks that humans perform on computer interfaces. The bots interact at the user interface level — clicking buttons, entering text, navigating menus, transferring data between applications — without requiring backend API integration. This makes RPA deployable on legacy systems where modifying the underlying code is impractical or prohibited. Major platforms include UiPath, Automation Anywhere, and Blue Prism.</w:t>
      </w:r>
    </w:p>
    <w:p>
      <w:pPr>
        <w:jc w:val="both"/>
      </w:pPr>
      <w:r>
        <w:rPr>
          <w:rFonts w:ascii="Times New Roman" w:hAnsi="Times New Roman"/>
          <w:sz w:val="24"/>
        </w:rPr>
        <w:t>Step one: process identification and assessment. Candidate tasks are evaluated for suitability. Ideal candidates are high-volume, rule-based, stable, and involve structured digital inputs. Tasks requiring significant human judgement, frequent exception handling, or constantly changing interfaces are poor fits. A scoring matrix ranking processes by automation potential and business impact helps prioritise the pipeline.</w:t>
      </w:r>
    </w:p>
    <w:p>
      <w:pPr>
        <w:jc w:val="both"/>
      </w:pPr>
      <w:r>
        <w:rPr>
          <w:rFonts w:ascii="Times New Roman" w:hAnsi="Times New Roman"/>
          <w:sz w:val="24"/>
        </w:rPr>
        <w:t>Step two: process design. Every click, keystroke, decision branch, and exception path is documented in a Process Definition Document (PDD). This detailed mapping is critical because the bot has no capacity for improvisation — any undocumented scenario will cause a failure at runtime.</w:t>
      </w:r>
    </w:p>
    <w:p>
      <w:pPr>
        <w:jc w:val="both"/>
      </w:pPr>
      <w:r>
        <w:rPr>
          <w:rFonts w:ascii="Times New Roman" w:hAnsi="Times New Roman"/>
          <w:sz w:val="24"/>
        </w:rPr>
        <w:t>Step three: bot development. Using the RPA platform’s visual studio, developers build the automated workflow by dragging activities into a sequence and configuring each step: application selectors, data variables, conditional logic, loops, and error handlers. Most platforms are low-code, though complex automations still require scripting for edge cases.</w:t>
      </w:r>
    </w:p>
    <w:p>
      <w:pPr>
        <w:jc w:val="both"/>
      </w:pPr>
      <w:r>
        <w:rPr>
          <w:rFonts w:ascii="Times New Roman" w:hAnsi="Times New Roman"/>
          <w:sz w:val="24"/>
        </w:rPr>
        <w:t>Step four: testing. The bot is executed against a comprehensive set of scenarios in a sandboxed environment — normal cases, boundary cases, missing data, system timeouts, and duplicate inputs. User acceptance testing with process owners validates that the output matches what a human would produce.</w:t>
      </w:r>
    </w:p>
    <w:p>
      <w:pPr>
        <w:jc w:val="both"/>
      </w:pPr>
      <w:r>
        <w:rPr>
          <w:rFonts w:ascii="Times New Roman" w:hAnsi="Times New Roman"/>
          <w:sz w:val="24"/>
        </w:rPr>
        <w:t>Step five: deployment and monitoring. The bot is promoted to production and scheduled or triggered as needed. Performance dashboards track throughput, error rates, and processing times. Maintenance is ongoing — application updates, layout changes, or new business rules can break the bot, requiring prompt adjustment. Many organisations establish a Centre of Excellence to govern the bot portfolio, measure ROI, and identify new automation opportunities systematically.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