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VIGNESHWARA CHINNADURAI</w:t>
      </w:r>
    </w:p>
    <w:p>
      <w:pPr>
        <w:jc w:val="center"/>
      </w:pPr>
      <w:r>
        <w:rPr>
          <w:rFonts w:ascii="Times New Roman" w:hAnsi="Times New Roman"/>
          <w:b/>
          <w:sz w:val="26"/>
        </w:rPr>
        <w:t xml:space="preserve">Roll Number: </w:t>
      </w:r>
      <w:r>
        <w:rPr>
          <w:rFonts w:ascii="Times New Roman" w:hAnsi="Times New Roman"/>
          <w:sz w:val="26"/>
        </w:rPr>
        <w:t>2414504298</w:t>
      </w:r>
    </w:p>
    <w:p>
      <w:pPr>
        <w:jc w:val="center"/>
      </w:pPr>
      <w:r>
        <w:rPr>
          <w:rFonts w:ascii="Times New Roman" w:hAnsi="Times New Roman"/>
          <w:b/>
          <w:sz w:val="26"/>
        </w:rPr>
        <w:t xml:space="preserve">Program: </w:t>
      </w:r>
      <w:r>
        <w:rPr>
          <w:rFonts w:ascii="Times New Roman" w:hAnsi="Times New Roman"/>
          <w:sz w:val="26"/>
        </w:rPr>
        <w:t>Master of Business Administration (MBA)</w:t>
      </w:r>
    </w:p>
    <w:p>
      <w:pPr>
        <w:jc w:val="center"/>
      </w:pPr>
      <w:r>
        <w:rPr>
          <w:rFonts w:ascii="Times New Roman" w:hAnsi="Times New Roman"/>
          <w:b/>
          <w:sz w:val="26"/>
        </w:rPr>
        <w:t xml:space="preserve">Semester: </w:t>
      </w:r>
      <w:r>
        <w:rPr>
          <w:rFonts w:ascii="Times New Roman" w:hAnsi="Times New Roman"/>
          <w:sz w:val="26"/>
        </w:rPr>
        <w:t>IV</w:t>
      </w:r>
    </w:p>
    <w:p>
      <w:pPr>
        <w:jc w:val="center"/>
      </w:pPr>
      <w:r>
        <w:rPr>
          <w:rFonts w:ascii="Times New Roman" w:hAnsi="Times New Roman"/>
          <w:b/>
          <w:sz w:val="26"/>
        </w:rPr>
        <w:t xml:space="preserve">Course Code: </w:t>
      </w:r>
      <w:r>
        <w:rPr>
          <w:rFonts w:ascii="Times New Roman" w:hAnsi="Times New Roman"/>
          <w:sz w:val="26"/>
        </w:rPr>
        <w:t>DMBA406</w:t>
      </w:r>
    </w:p>
    <w:p>
      <w:pPr>
        <w:jc w:val="center"/>
      </w:pPr>
      <w:r>
        <w:rPr>
          <w:rFonts w:ascii="Times New Roman" w:hAnsi="Times New Roman"/>
          <w:b/>
          <w:sz w:val="26"/>
        </w:rPr>
        <w:t xml:space="preserve">Course Name: </w:t>
      </w:r>
      <w:r>
        <w:rPr>
          <w:rFonts w:ascii="Times New Roman" w:hAnsi="Times New Roman"/>
          <w:sz w:val="26"/>
        </w:rPr>
        <w:t>International Business Management</w:t>
      </w:r>
    </w:p>
    <w:p>
      <w:r>
        <w:br w:type="page"/>
      </w:r>
    </w:p>
    <w:p>
      <w:pPr>
        <w:spacing w:before="480" w:after="240"/>
        <w:jc w:val="center"/>
      </w:pPr>
      <w:r>
        <w:rPr>
          <w:rFonts w:ascii="Times New Roman" w:hAnsi="Times New Roman"/>
          <w:b/>
          <w:sz w:val="28"/>
          <w:u w:val="single"/>
        </w:rPr>
        <w:t>Assignment Set – 1</w:t>
      </w:r>
    </w:p>
    <w:p>
      <w:pPr>
        <w:spacing w:before="360" w:after="160"/>
        <w:jc w:val="left"/>
      </w:pPr>
      <w:r>
        <w:rPr>
          <w:rFonts w:ascii="Times New Roman" w:hAnsi="Times New Roman"/>
          <w:b/>
          <w:sz w:val="24"/>
        </w:rPr>
        <w:t>Q1. Explain the importance of International Business. Explain the challenges faced while doing international business. [5+5 = 10 Marks]</w:t>
      </w:r>
    </w:p>
    <w:p>
      <w:pPr>
        <w:jc w:val="both"/>
      </w:pPr>
      <w:r>
        <w:rPr>
          <w:rFonts w:ascii="Times New Roman" w:hAnsi="Times New Roman"/>
          <w:sz w:val="24"/>
        </w:rPr>
        <w:t>International business encompasses any commercial transaction that crosses national borders — trade in goods and services, foreign direct investment, licensing, franchising, and cross-border partnerships. Its importance has grown to the point where most mid-sized and large firms engage in some form of international activity.</w:t>
      </w:r>
    </w:p>
    <w:p>
      <w:pPr>
        <w:jc w:val="both"/>
      </w:pPr>
      <w:r>
        <w:rPr>
          <w:rFonts w:ascii="Times New Roman" w:hAnsi="Times New Roman"/>
          <w:sz w:val="24"/>
        </w:rPr>
        <w:t>Market expansion is the most direct motivation. Domestic markets are finite. Apple generated 58 per cent of its FY 2024 revenue outside the United States. Indian IT majors such as TCS and Infosys earn the bulk of their income from clients in North America and Europe. For companies that have saturated their home market, international operations represent the primary avenue for continued revenue growth.</w:t>
      </w:r>
    </w:p>
    <w:p>
      <w:pPr>
        <w:jc w:val="both"/>
      </w:pPr>
      <w:r>
        <w:rPr>
          <w:rFonts w:ascii="Times New Roman" w:hAnsi="Times New Roman"/>
          <w:sz w:val="24"/>
        </w:rPr>
        <w:t>Risk diversification across geographies insulates a firm from localised economic downturns, regulatory shifts, or demand shocks. A recession in one market may coincide with expansion in another, stabilising aggregate performance. Access to resources is another driver: lower-cost labour in Vietnam, engineering depth in Germany, rare earth minerals in the Democratic Republic of Congo. Operating internationally allows firms to source each input from where it is most efficiently produced.</w:t>
      </w:r>
    </w:p>
    <w:p>
      <w:pPr>
        <w:jc w:val="both"/>
      </w:pPr>
      <w:r>
        <w:rPr>
          <w:rFonts w:ascii="Times New Roman" w:hAnsi="Times New Roman"/>
          <w:sz w:val="24"/>
        </w:rPr>
        <w:t>The challenges are equally significant. Cultural differences affect negotiation styles, marketing messages, management practices, and consumer expectations. What constitutes a convincing advertisement in Brazil may be confusing or offensive in Japan. McDonald’s sells the McAloo Tikki in India and the Teriyaki Burger in Japan precisely because a uniform global menu would underperform.</w:t>
      </w:r>
    </w:p>
    <w:p>
      <w:pPr>
        <w:jc w:val="both"/>
      </w:pPr>
      <w:r>
        <w:rPr>
          <w:rFonts w:ascii="Times New Roman" w:hAnsi="Times New Roman"/>
          <w:sz w:val="24"/>
        </w:rPr>
        <w:t>Regulatory complexity multiplies with each country entered. Tax codes, labour laws, environmental regulations, data privacy statutes (such as GDPR in the EU), and import tariffs all differ. Currency fluctuations introduce financial risk — an Indian exporter earning dollars faces margin compression when the rupee appreciates. Political instability, trade wars, and sanctions (the impact of Western sanctions on Russian-facing operations after 2022 is a recent example) can disrupt supply chains and market access with little warning.</w:t>
      </w:r>
    </w:p>
    <w:p>
      <w:pPr>
        <w:spacing w:before="360" w:after="160"/>
        <w:jc w:val="left"/>
      </w:pPr>
      <w:r>
        <w:rPr>
          <w:rFonts w:ascii="Times New Roman" w:hAnsi="Times New Roman"/>
          <w:b/>
          <w:sz w:val="24"/>
        </w:rPr>
        <w:t>Q2. Write short notes on: 1. Impact of Demographic Environment on IB, 2. Culture and its impact on international business. [5+5 = 10 Marks]</w:t>
      </w:r>
    </w:p>
    <w:p>
      <w:pPr>
        <w:jc w:val="both"/>
      </w:pPr>
      <w:r>
        <w:rPr>
          <w:rFonts w:ascii="Times New Roman" w:hAnsi="Times New Roman"/>
          <w:sz w:val="24"/>
        </w:rPr>
        <w:t>Demographic factors — age distribution, income level, urbanisation rate, education attainment, and population growth — shape both the demand side and the supply side of international business.</w:t>
      </w:r>
    </w:p>
    <w:p>
      <w:pPr>
        <w:jc w:val="both"/>
      </w:pPr>
      <w:r>
        <w:rPr>
          <w:rFonts w:ascii="Times New Roman" w:hAnsi="Times New Roman"/>
          <w:sz w:val="24"/>
        </w:rPr>
        <w:t>Age structure determines product demand. Japan’s median age exceeds 48; demand for elder care, healthcare, and retirement financial products dominates. India’s median age is around 28, driving demand for education, entry-level consumer goods, and digital services. Income distribution dictates purchasing power: luxury brands concentrate on high-income countries or the wealthy urban segments of developing economies, while consumer goods giants like Unilever adapt packaging and pricing (single-use sachets, smaller pack sizes) to serve lower-income consumers profitably.</w:t>
      </w:r>
    </w:p>
    <w:p>
      <w:pPr>
        <w:jc w:val="both"/>
      </w:pPr>
      <w:r>
        <w:rPr>
          <w:rFonts w:ascii="Times New Roman" w:hAnsi="Times New Roman"/>
          <w:sz w:val="24"/>
        </w:rPr>
        <w:t>Urbanisation rates affect channel strategy — urban populations are easier to reach through organised retail and e-commerce, whereas rural populations may require distributor networks. Educational attainment influences workforce quality: countries with high literacy and tertiary education rates attract knowledge-industry investment, while those with lower education levels tend to attract labour-intensive manufacturing.</w:t>
      </w:r>
    </w:p>
    <w:p>
      <w:pPr>
        <w:jc w:val="both"/>
      </w:pPr>
      <w:r>
        <w:rPr>
          <w:rFonts w:ascii="Times New Roman" w:hAnsi="Times New Roman"/>
          <w:sz w:val="24"/>
        </w:rPr>
        <w:t>Culture encompasses the shared values, norms, beliefs, and behavioural patterns of a society. Hofstede’s framework identifies dimensions such as individualism versus collectivism, power distance, uncertainty avoidance, and long-term orientation. These dimensions have practical consequences: in high power-distance cultures, employees defer to hierarchical authority, and marketing that emphasises status and prestige resonates; in low power-distance cultures, egalitarian messaging performs better.</w:t>
      </w:r>
    </w:p>
    <w:p>
      <w:pPr>
        <w:jc w:val="both"/>
      </w:pPr>
      <w:r>
        <w:rPr>
          <w:rFonts w:ascii="Times New Roman" w:hAnsi="Times New Roman"/>
          <w:sz w:val="24"/>
        </w:rPr>
        <w:t>Marketing missteps driven by cultural ignorance are well documented. Colours carry different symbolism — white denotes mourning in several East Asian cultures versus purity in Western ones. Humour, religious sensitivities, and gender norms vary widely. Management practices also require adaptation: a direct, confrontational feedback style common in American corporations can damage relationships in cultures where saving face is paramount. International firms that invest in cross-cultural training and employ local managers tend to avoid costly miscalculations.</w:t>
      </w:r>
    </w:p>
    <w:p>
      <w:pPr>
        <w:spacing w:before="360" w:after="160"/>
        <w:jc w:val="left"/>
      </w:pPr>
      <w:r>
        <w:rPr>
          <w:rFonts w:ascii="Times New Roman" w:hAnsi="Times New Roman"/>
          <w:b/>
          <w:sz w:val="24"/>
        </w:rPr>
        <w:t>Q3. Write notes on: Negative impact of Globalization, International Labor Organization. [5+5 = 10 Marks]</w:t>
      </w:r>
    </w:p>
    <w:p>
      <w:pPr>
        <w:jc w:val="both"/>
      </w:pPr>
      <w:r>
        <w:rPr>
          <w:rFonts w:ascii="Times New Roman" w:hAnsi="Times New Roman"/>
          <w:sz w:val="24"/>
        </w:rPr>
        <w:t>Globalisation has delivered aggregate economic growth, but the distribution of its benefits has been uneven, generating several well-documented negative consequences.</w:t>
      </w:r>
    </w:p>
    <w:p>
      <w:pPr>
        <w:jc w:val="both"/>
      </w:pPr>
      <w:r>
        <w:rPr>
          <w:rFonts w:ascii="Times New Roman" w:hAnsi="Times New Roman"/>
          <w:sz w:val="24"/>
        </w:rPr>
        <w:t>Income inequality has widened. The gains have accrued disproportionately to capital owners and skilled workers, while unskilled labour in developed countries has faced stagnant wages and job displacement as manufacturing migrated to lower-cost locations. The hollowing out of mid-skill manufacturing employment in the American Midwest and parts of Northern England are frequently cited examples.</w:t>
      </w:r>
    </w:p>
    <w:p>
      <w:pPr>
        <w:jc w:val="both"/>
      </w:pPr>
      <w:r>
        <w:rPr>
          <w:rFonts w:ascii="Times New Roman" w:hAnsi="Times New Roman"/>
          <w:sz w:val="24"/>
        </w:rPr>
        <w:t>Labour exploitation persists in global supply chains. The 2013 Rana Plaza factory collapse in Bangladesh, which killed over 1,100 garment workers, exposed the human cost of relentless cost reduction in apparel sourcing. Although subsequent initiatives like the Accord on Fire and Building Safety improved conditions in that specific industry, forced labour and unsafe working conditions remain prevalent in sectors such as mining, agriculture, and electronics assembly.</w:t>
      </w:r>
    </w:p>
    <w:p>
      <w:pPr>
        <w:jc w:val="both"/>
      </w:pPr>
      <w:r>
        <w:rPr>
          <w:rFonts w:ascii="Times New Roman" w:hAnsi="Times New Roman"/>
          <w:sz w:val="24"/>
        </w:rPr>
        <w:t>Environmental degradation has accelerated. Increased production and long-distance shipping raise carbon emissions. Countries competing for foreign investment sometimes weaken environmental standards — the so-called "race to the bottom". Cultural homogenisation is a subtler concern: the spread of global brands and Western media can erode local traditions, languages, and artisanal industries.</w:t>
      </w:r>
    </w:p>
    <w:p>
      <w:pPr>
        <w:jc w:val="both"/>
      </w:pPr>
      <w:r>
        <w:rPr>
          <w:rFonts w:ascii="Times New Roman" w:hAnsi="Times New Roman"/>
          <w:sz w:val="24"/>
        </w:rPr>
        <w:t>The International Labour Organization (ILO) was established in 1919 and is headquartered in Geneva. It is the only United Nations agency with a tripartite governance structure: governments, employers, and workers all participate in setting standards and policies.</w:t>
      </w:r>
    </w:p>
    <w:p>
      <w:pPr>
        <w:jc w:val="both"/>
      </w:pPr>
      <w:r>
        <w:rPr>
          <w:rFonts w:ascii="Times New Roman" w:hAnsi="Times New Roman"/>
          <w:sz w:val="24"/>
        </w:rPr>
        <w:t>The ILO’s core function is developing international labour standards through conventions and recommendations. The eight fundamental conventions cover freedom of association, collective bargaining, elimination of forced and child labour, and non-discrimination. Countries that ratify a convention commit to implementing its provisions in domestic law.</w:t>
      </w:r>
    </w:p>
    <w:p>
      <w:pPr>
        <w:jc w:val="both"/>
      </w:pPr>
      <w:r>
        <w:rPr>
          <w:rFonts w:ascii="Times New Roman" w:hAnsi="Times New Roman"/>
          <w:sz w:val="24"/>
        </w:rPr>
        <w:t>Beyond standard-setting, the ILO provides technical assistance to member states — supporting labour law reform, social protection system development, occupational safety improvement, and employment programmes. It publishes authoritative data on global employment trends, wages, and working conditions. In the context of globalisation, the ILO advocates for a "fair globalisation" agenda that links trade policy to labour rights, aiming to prevent economic growth from being built on worker exploitation.</w:t>
      </w:r>
    </w:p>
    <w:p>
      <w:r>
        <w:br w:type="page"/>
      </w:r>
    </w:p>
    <w:p>
      <w:pPr>
        <w:spacing w:before="480" w:after="240"/>
        <w:jc w:val="center"/>
      </w:pPr>
      <w:r>
        <w:rPr>
          <w:rFonts w:ascii="Times New Roman" w:hAnsi="Times New Roman"/>
          <w:b/>
          <w:sz w:val="28"/>
          <w:u w:val="single"/>
        </w:rPr>
        <w:t>Assignment Set – 2</w:t>
      </w:r>
    </w:p>
    <w:p>
      <w:pPr>
        <w:spacing w:before="360" w:after="160"/>
        <w:jc w:val="left"/>
      </w:pPr>
      <w:r>
        <w:rPr>
          <w:rFonts w:ascii="Times New Roman" w:hAnsi="Times New Roman"/>
          <w:b/>
          <w:sz w:val="24"/>
        </w:rPr>
        <w:t>Q4. What is International Financial Management? Explain the types of International Accounting Standards. [5+5 = 10 Marks]</w:t>
      </w:r>
    </w:p>
    <w:p>
      <w:pPr>
        <w:jc w:val="both"/>
      </w:pPr>
      <w:r>
        <w:rPr>
          <w:rFonts w:ascii="Times New Roman" w:hAnsi="Times New Roman"/>
          <w:sz w:val="24"/>
        </w:rPr>
        <w:t>International Financial Management (IFM) extends the principles of corporate finance to a multi-country operating environment. It addresses decisions that domestic finance does not encounter: in which currency to denominate contracts, how to hedge foreign exchange exposure, where to raise capital, how to structure transfer prices between subsidiaries, and how to minimise the consolidated tax burden across jurisdictions.</w:t>
      </w:r>
    </w:p>
    <w:p>
      <w:pPr>
        <w:jc w:val="both"/>
      </w:pPr>
      <w:r>
        <w:rPr>
          <w:rFonts w:ascii="Times New Roman" w:hAnsi="Times New Roman"/>
          <w:sz w:val="24"/>
        </w:rPr>
        <w:t>Foreign exchange risk is central. A Japanese firm earning euros in Germany is exposed to yen-euro fluctuations. Forward contracts, currency options, and cross-currency swaps are standard hedging instruments, each carrying its own cost and complexity. International capital budgeting adds country risk premiums to discount rates: a factory in a politically stable economy requires a lower hurdle rate than one in a jurisdiction with a history of expropriation.</w:t>
      </w:r>
    </w:p>
    <w:p>
      <w:pPr>
        <w:jc w:val="both"/>
      </w:pPr>
      <w:r>
        <w:rPr>
          <w:rFonts w:ascii="Times New Roman" w:hAnsi="Times New Roman"/>
          <w:sz w:val="24"/>
        </w:rPr>
        <w:t>International accounting standards exist to enable cross-border comparability of financial statements. Without them, the same economic transaction reported under different national rules could produce materially different profit figures, undermining investor trust.</w:t>
      </w:r>
    </w:p>
    <w:p>
      <w:pPr>
        <w:jc w:val="both"/>
      </w:pPr>
      <w:r>
        <w:rPr>
          <w:rFonts w:ascii="Times New Roman" w:hAnsi="Times New Roman"/>
          <w:sz w:val="24"/>
        </w:rPr>
        <w:t>International Accounting Standards (IAS) were issued by the International Accounting Standards Committee (IASC) from 1973 to 2001. Individual standards address specific topics: IAS 1 (presentation of financial statements), IAS 2 (inventories), IAS 16 (property, plant, and equipment), IAS 38 (intangible assets). Many IAS remain in force today.</w:t>
      </w:r>
    </w:p>
    <w:p>
      <w:pPr>
        <w:jc w:val="both"/>
      </w:pPr>
      <w:r>
        <w:rPr>
          <w:rFonts w:ascii="Times New Roman" w:hAnsi="Times New Roman"/>
          <w:sz w:val="24"/>
        </w:rPr>
        <w:t>In 2001, the International Accounting Standards Board (IASB) succeeded the IASC and began issuing International Financial Reporting Standards (IFRS). Key standards include IFRS 9 (financial instruments), IFRS 15 (revenue from contracts with customers), IFRS 16 (leases), and IFRS 17 (insurance contracts). Over 140 jurisdictions now require or permit IFRS for listed companies.</w:t>
      </w:r>
    </w:p>
    <w:p>
      <w:pPr>
        <w:jc w:val="both"/>
      </w:pPr>
      <w:r>
        <w:rPr>
          <w:rFonts w:ascii="Times New Roman" w:hAnsi="Times New Roman"/>
          <w:sz w:val="24"/>
        </w:rPr>
        <w:t>The United States uses Generally Accepted Accounting Principles (US GAAP), issued by the Financial Accounting Standards Board (FASB). GAAP is more rules-based; IFRS is more principles-based. Notable differences include inventory costing (GAAP permits LIFO; IFRS does not) and development cost capitalisation (IFRS requires it when criteria are met; GAAP generally expenses immediately). For multinational corporations reporting under one framework while operating in jurisdictions that mandate the other, reconciliation and dual compliance add non-trivial cost and complexity.</w:t>
      </w:r>
    </w:p>
    <w:p>
      <w:pPr>
        <w:spacing w:before="360" w:after="160"/>
        <w:jc w:val="left"/>
      </w:pPr>
      <w:r>
        <w:rPr>
          <w:rFonts w:ascii="Times New Roman" w:hAnsi="Times New Roman"/>
          <w:b/>
          <w:sz w:val="24"/>
        </w:rPr>
        <w:t>Q5. Explain FDI. Elaborate on the advantages and disadvantages of FDI. [2+8 = 10 Marks]</w:t>
      </w:r>
    </w:p>
    <w:p>
      <w:pPr>
        <w:jc w:val="both"/>
      </w:pPr>
      <w:r>
        <w:rPr>
          <w:rFonts w:ascii="Times New Roman" w:hAnsi="Times New Roman"/>
          <w:sz w:val="24"/>
        </w:rPr>
        <w:t>Foreign Direct Investment (FDI) is an investment made by a firm or individual in one country into business assets in another country, involving a significant degree of control over the foreign enterprise. The IMF threshold for "significant" is typically a 10 per cent ownership stake. FDI can take the form of greenfield investment (building new facilities), acquisition of an existing foreign company, or a joint venture with a local partner.</w:t>
      </w:r>
    </w:p>
    <w:p>
      <w:pPr>
        <w:jc w:val="both"/>
      </w:pPr>
      <w:r>
        <w:rPr>
          <w:rFonts w:ascii="Times New Roman" w:hAnsi="Times New Roman"/>
          <w:sz w:val="24"/>
        </w:rPr>
        <w:t>Advantages for the host country are substantial. Capital inflows fund infrastructure, factories, and technology that the domestic economy might not generate on its own. Job creation follows directly — a new manufacturing plant employs workers, and the multiplier effect creates additional employment in local services. Technology and knowledge transfer occurs as foreign firms introduce advanced production methods, management systems, and technical skills. Local employees absorb these capabilities and, in some cases, later establish their own enterprises. South Korea’s transition from a manufacturing base for foreign electronics firms to a global technology leader illustrates this pathway.</w:t>
      </w:r>
    </w:p>
    <w:p>
      <w:pPr>
        <w:jc w:val="both"/>
      </w:pPr>
      <w:r>
        <w:rPr>
          <w:rFonts w:ascii="Times New Roman" w:hAnsi="Times New Roman"/>
          <w:sz w:val="24"/>
        </w:rPr>
        <w:t>For the investing firm, FDI provides market access, resource access, and diversification. Producing locally avoids import tariffs and reduces shipping costs. Proximity to customers enables faster response to demand changes.</w:t>
      </w:r>
    </w:p>
    <w:p>
      <w:pPr>
        <w:jc w:val="both"/>
      </w:pPr>
      <w:r>
        <w:rPr>
          <w:rFonts w:ascii="Times New Roman" w:hAnsi="Times New Roman"/>
          <w:sz w:val="24"/>
        </w:rPr>
        <w:t>Disadvantages for the host country include profit repatriation — the foreign firm’s earnings ultimately flow abroad, and if outflows persistently exceed the initial investment, the net benefit is questionable. Dependence on foreign-controlled industries can reduce economic sovereignty; if a multinational decides to close a plant during a global downturn, the local community bears the cost of a decision made in a foreign boardroom. Environmental exploitation occurs when firms locate polluting operations in countries with weak enforcement. Concentration of FDI in a single sector creates fragility — a downturn in that sector disproportionately impacts the host economy.</w:t>
      </w:r>
    </w:p>
    <w:p>
      <w:pPr>
        <w:spacing w:before="360" w:after="160"/>
        <w:jc w:val="left"/>
      </w:pPr>
      <w:r>
        <w:rPr>
          <w:rFonts w:ascii="Times New Roman" w:hAnsi="Times New Roman"/>
          <w:b/>
          <w:sz w:val="24"/>
        </w:rPr>
        <w:t>Q6. Write notes on: Recruitment of Expatriates, Theory of Absolute Advantage. [5+5 = 10 Marks]</w:t>
      </w:r>
    </w:p>
    <w:p>
      <w:pPr>
        <w:jc w:val="both"/>
      </w:pPr>
      <w:r>
        <w:rPr>
          <w:rFonts w:ascii="Times New Roman" w:hAnsi="Times New Roman"/>
          <w:sz w:val="24"/>
        </w:rPr>
        <w:t>Expatriate recruitment is the process of selecting and deploying employees to work in a foreign subsidiary. Technical competence is a necessary but insufficient criterion; cross-cultural adaptability is frequently the differentiating factor between success and failure. Research estimates that 20 to 40 per cent of expatriate assignments end prematurely, often because the employee or their family cannot adjust to the host country environment.</w:t>
      </w:r>
    </w:p>
    <w:p>
      <w:pPr>
        <w:jc w:val="both"/>
      </w:pPr>
      <w:r>
        <w:rPr>
          <w:rFonts w:ascii="Times New Roman" w:hAnsi="Times New Roman"/>
          <w:sz w:val="24"/>
        </w:rPr>
        <w:t>Selection processes evaluate language proficiency, prior international experience, openness to new cultures, emotional resilience, and family readiness. Psychometric assessments and structured interviews are common tools. The family dimension is critical — a spouse who cannot work or a child who struggles in a new school system can undermine an otherwise strong assignment.</w:t>
      </w:r>
    </w:p>
    <w:p>
      <w:pPr>
        <w:jc w:val="both"/>
      </w:pPr>
      <w:r>
        <w:rPr>
          <w:rFonts w:ascii="Times New Roman" w:hAnsi="Times New Roman"/>
          <w:sz w:val="24"/>
        </w:rPr>
        <w:t>Compensation typically involves a base salary, cost-of-living differential, hardship allowance (for challenging locations), housing, children’s education, relocation support, and home-leave travel. The balance sheet approach — ensuring the expatriate is no worse off financially than they would be at home — is the most common framework, though it can make expatriate packages significantly more expensive than local hire equivalents.</w:t>
      </w:r>
    </w:p>
    <w:p>
      <w:pPr>
        <w:jc w:val="both"/>
      </w:pPr>
      <w:r>
        <w:rPr>
          <w:rFonts w:ascii="Times New Roman" w:hAnsi="Times New Roman"/>
          <w:sz w:val="24"/>
        </w:rPr>
        <w:t>The Theory of Absolute Advantage, articulated by Adam Smith in The Wealth of Nations (1776), states that a country should specialise in producing goods for which it is the lowest-cost producer and trade for goods that other countries produce more cheaply. If Portugal can produce wine at lower cost than England, and England can produce cloth at lower cost than Portugal, both countries gain by specialising and trading.</w:t>
      </w:r>
    </w:p>
    <w:p>
      <w:pPr>
        <w:jc w:val="both"/>
      </w:pPr>
      <w:r>
        <w:rPr>
          <w:rFonts w:ascii="Times New Roman" w:hAnsi="Times New Roman"/>
          <w:sz w:val="24"/>
        </w:rPr>
        <w:t>Smith’s argument was directed against mercantilism, which held that a nation’s wealth was measured by its gold reserves and that exports should be maximised while imports minimised. Absolute Advantage demonstrated that trade is not zero-sum — both parties can be better off after exchange. The theory’s limitation is that it does not address the case where one nation is more efficient at producing every good. David Ricardo’s later Theory of Comparative Advantage resolved this by showing that trade remains beneficial as long as relative opportunity costs differ, even if one country holds absolute advantages in all goods.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