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72"/>
        </w:rPr>
        <w:t>NovaArc Health</w:t>
      </w:r>
    </w:p>
    <w:p>
      <w:pPr>
        <w:jc w:val="center"/>
      </w:pPr>
      <w:r>
        <w:rPr>
          <w:color w:val="64748B"/>
          <w:sz w:val="36"/>
        </w:rPr>
        <w:t>AI-Powered RCM Workflow Platform</w:t>
      </w:r>
    </w:p>
    <w:p/>
    <w:p>
      <w:pPr>
        <w:jc w:val="center"/>
      </w:pPr>
      <w:r>
        <w:rPr>
          <w:b/>
          <w:sz w:val="28"/>
        </w:rPr>
        <w:t>Application Features &amp; Functionality Guide — Visual Edition</w:t>
      </w:r>
    </w:p>
    <w:p/>
    <w:p>
      <w:pPr>
        <w:jc w:val="center"/>
      </w:pPr>
      <w:r>
        <w:rPr>
          <w:color w:val="94A3B8"/>
          <w:sz w:val="22"/>
        </w:rPr>
        <w:t>Version 2.0  ·  March 2026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0f4ff"/>
          </w:tcPr>
          <w:p>
            <w:pPr>
              <w:jc w:val="center"/>
            </w:pPr>
            <w:r>
              <w:rPr>
                <w:b/>
                <w:color w:val="1E40AF"/>
                <w:sz w:val="44"/>
              </w:rPr>
              <w:t>300+</w:t>
              <w:br/>
            </w:r>
            <w:r>
              <w:rPr>
                <w:color w:val="64748B"/>
                <w:sz w:val="18"/>
              </w:rPr>
              <w:t>Claims Managed</w:t>
            </w:r>
          </w:p>
        </w:tc>
        <w:tc>
          <w:tcPr>
            <w:tcW w:type="dxa" w:w="3120"/>
            <w:shd w:val="clear" w:color="auto" w:fill="f0f4ff"/>
          </w:tcPr>
          <w:p>
            <w:pPr>
              <w:jc w:val="center"/>
            </w:pPr>
            <w:r>
              <w:rPr>
                <w:b/>
                <w:color w:val="1E40AF"/>
                <w:sz w:val="44"/>
              </w:rPr>
              <w:t>6</w:t>
              <w:br/>
            </w:r>
            <w:r>
              <w:rPr>
                <w:color w:val="64748B"/>
                <w:sz w:val="18"/>
              </w:rPr>
              <w:t>Role-Based Personas</w:t>
            </w:r>
          </w:p>
        </w:tc>
        <w:tc>
          <w:tcPr>
            <w:tcW w:type="dxa" w:w="3120"/>
            <w:shd w:val="clear" w:color="auto" w:fill="f0f4ff"/>
          </w:tcPr>
          <w:p>
            <w:pPr>
              <w:jc w:val="center"/>
            </w:pPr>
            <w:r>
              <w:rPr>
                <w:b/>
                <w:color w:val="1E40AF"/>
                <w:sz w:val="44"/>
              </w:rPr>
              <w:t>24</w:t>
              <w:br/>
            </w:r>
            <w:r>
              <w:rPr>
                <w:color w:val="64748B"/>
                <w:sz w:val="18"/>
              </w:rPr>
              <w:t>RPA Bots Automated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1.  Platform Overview</w:t>
      </w:r>
    </w:p>
    <w:p>
      <w:r>
        <w:t>NovaArc Health is an enterprise-grade AI-powered Revenue Cycle Management (RCM) workflow platform simulating industry-leading systems such as Waystar and R1 RCM. It delivers end-to-end RCM intelligence — from claim creation through payment posting — via a modern, role-aware interface accessible to all RCM team functions.</w:t>
      </w:r>
    </w:p>
    <w:p>
      <w:pPr>
        <w:pStyle w:val="Heading2"/>
      </w:pPr>
      <w:r>
        <w:rPr>
          <w:color w:val="1E40AF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React 18 + Tailwind CSS + Recharts  (Vite — port 5000)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Backend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Python FastAPI  (port 8000)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PostgreSQL — 300 seeded claims, 6 work queues, 12 EDI connections, 24 RPA bots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AI Layer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Rule-based AI assistant with 16+ query types; dynamic charts, tables &amp; metric cards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Auth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Role-based persona login; session stored in browser localStorage</w:t>
            </w:r>
          </w:p>
        </w:tc>
      </w:tr>
    </w:tbl>
    <w:p>
      <w:pPr>
        <w:pStyle w:val="Heading2"/>
      </w:pPr>
      <w:r>
        <w:rPr>
          <w:color w:val="1E40AF"/>
        </w:rPr>
        <w:t>Live Platform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Total AR Outstanding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$1.7M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Total Paid / Collected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$282K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Gross Collection Rate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Net Collection Rate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53.8%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Revenue Leakage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$1.4M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Denial Rate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59.0%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Denial Recovery Rate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AR &gt; 90 Days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97.7%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High-Value At Risk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59 claims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Total Claims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Clean Claim Rate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41.0%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Avg Claim Aging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255.8 days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2.  Login &amp; Persona Selection</w:t>
      </w:r>
    </w:p>
    <w:p>
      <w:r>
        <w:t>The platform presents a persona-based login screen on first visit. Users select their role from one of six cards in a 3×2 grid on a dark-themed landing page. Clicking a card auto-authenticates and redirects to the dashboard. A manual sign-in form is also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Login Page — Persona Selection Grid</w:t>
      </w:r>
    </w:p>
    <w:p/>
    <w:p>
      <w:pPr>
        <w:pStyle w:val="Heading2"/>
      </w:pPr>
      <w:r>
        <w:rPr>
          <w:color w:val="1E40AF"/>
        </w:rPr>
        <w:t>Persona Access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3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Privileges</w:t>
            </w:r>
          </w:p>
        </w:tc>
        <w:tc>
          <w:tcPr>
            <w:tcW w:type="dxa" w:w="23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Module Access</w:t>
            </w:r>
          </w:p>
        </w:tc>
        <w:tc>
          <w:tcPr>
            <w:tcW w:type="dxa" w:w="23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Credentials</w:t>
            </w:r>
          </w:p>
        </w:tc>
      </w:tr>
      <w:tr>
        <w:tc>
          <w:tcPr>
            <w:tcW w:type="dxa" w:w="2340"/>
            <w:shd w:val="clear" w:color="auto" w:fill="f8f9ff"/>
          </w:tcPr>
          <w:p>
            <w:r>
              <w:rPr>
                <w:b/>
                <w:sz w:val="16"/>
              </w:rPr>
              <w:t>Client Leadership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6"/>
              </w:rPr>
              <w:t>Revenue Analytics, AR Trends, Denial Insights, Financial Impact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6"/>
              </w:rPr>
              <w:t>Dashboard, Workflow Modules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6"/>
              </w:rPr>
              <w:t>clientlead / nova123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16"/>
              </w:rPr>
              <w:t>Operations Leadership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Operational KPIs, Team Productivity, Queue Performance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Dashboard, Workflow Modules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opslead / nova123</w:t>
            </w:r>
          </w:p>
        </w:tc>
      </w:tr>
      <w:tr>
        <w:tc>
          <w:tcPr>
            <w:tcW w:type="dxa" w:w="2340"/>
            <w:shd w:val="clear" w:color="auto" w:fill="f8f9ff"/>
          </w:tcPr>
          <w:p>
            <w:r>
              <w:rPr>
                <w:b/>
                <w:sz w:val="16"/>
              </w:rPr>
              <w:t>Operations Manager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6"/>
              </w:rPr>
              <w:t>Work Queues, Team Assignments, Escalations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6"/>
              </w:rPr>
              <w:t>Dashboard, Workflows, Claims, Work Queues, EDI Hub, RPA Bots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6"/>
              </w:rPr>
              <w:t>opsmgr / nova123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16"/>
              </w:rPr>
              <w:t>Team Lead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Agent Tasks, Claim Workflows, Quality Metrics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Dashboard, Workflows, Claims, Work Queues, Data Ingestion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teamlead / nova123</w:t>
            </w:r>
          </w:p>
        </w:tc>
      </w:tr>
      <w:tr>
        <w:tc>
          <w:tcPr>
            <w:tcW w:type="dxa" w:w="2340"/>
            <w:shd w:val="clear" w:color="auto" w:fill="f8f9ff"/>
          </w:tcPr>
          <w:p>
            <w:r>
              <w:rPr>
                <w:b/>
                <w:sz w:val="16"/>
              </w:rPr>
              <w:t>AR Executive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6"/>
              </w:rPr>
              <w:t>Claim Follow-ups, Denial Resolution, Appeals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6"/>
              </w:rPr>
              <w:t>Dashboard, Workflows, Claims, Work Queues, EDI Hub, RPA Bots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6"/>
              </w:rPr>
              <w:t>arexec / nova123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16"/>
              </w:rPr>
              <w:t>QA Auditor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Resolved Claims, Quality Scores, Compliance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Dashboard, Claim Inventory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qaauditor / nova123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3.  Executive Intelligence Dashboard</w:t>
      </w:r>
    </w:p>
    <w:p>
      <w:r>
        <w:t>The dashboard is the central hub, accessible to all 6 personas. It presents a tabbed interface with 6 analytical views plus an embedded AI assistant in the bottom-right corner. All data is served live from the PostgreSQL backend.</w:t>
      </w:r>
    </w:p>
    <w:p>
      <w:pPr>
        <w:pStyle w:val="Heading2"/>
      </w:pPr>
      <w:r>
        <w:rPr>
          <w:color w:val="1E40AF"/>
        </w:rPr>
        <w:t>3.1  Revenue Health</w:t>
      </w:r>
    </w:p>
    <w:p>
      <w:r>
        <w:t>Executive-level financial overview of the entire AR portfolio. Features a bar chart for AR aging distribution across 5 buckets and a Cash Flow Summary progress tracker.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Dashboard — Revenue Health Tab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Total AR Outstanding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$1.7M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Total Paid / Collected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$282K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Gross Collection Rate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Net Collection Rate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53.8%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Revenue Leakage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$1.4M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Expected Reimbursement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$524K</w:t>
            </w:r>
          </w:p>
        </w:tc>
      </w:tr>
    </w:tbl>
    <w:p/>
    <w:p>
      <w:r>
        <w:rPr>
          <w:b/>
        </w:rPr>
        <w:t>AR Aging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type="dxa" w:w="31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Claims</w:t>
            </w:r>
          </w:p>
        </w:tc>
        <w:tc>
          <w:tcPr>
            <w:tcW w:type="dxa" w:w="31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Total Value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0-30 Days</w:t>
            </w:r>
          </w:p>
        </w:tc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31-60 Days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61-90 Days</w:t>
            </w:r>
          </w:p>
        </w:tc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$49K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91-120 Days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$104K</w:t>
            </w:r>
          </w:p>
        </w:tc>
      </w:tr>
      <w:tr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&gt;120 Days</w:t>
            </w:r>
          </w:p>
        </w:tc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271</w:t>
            </w:r>
          </w:p>
        </w:tc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$1.5M</w:t>
            </w:r>
          </w:p>
        </w:tc>
      </w:tr>
    </w:tbl>
    <w:p/>
    <w:p>
      <w:pPr>
        <w:pStyle w:val="Heading2"/>
      </w:pPr>
      <w:r>
        <w:rPr>
          <w:color w:val="1E40AF"/>
        </w:rPr>
        <w:t>3.2  AR Health Analysis</w:t>
      </w:r>
    </w:p>
    <w:p>
      <w:r>
        <w:t>Deep analysis of AR health with interactive drill-down by Payer, Specialty, and Facility/Provider. Highlights at-risk receivables needing immediate attention.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_ar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Dashboard — AR Health Tab with Payer Drill-Down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AR &gt; 90 Days (%)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97.7%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High Balance AR (&gt;$5K)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102 claims  ·  $1.3M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Denied AR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177 claims  ·  $1.0M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Appealed AR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0 claims  ·  $0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40AF"/>
        </w:rPr>
        <w:t>3.3  Denial Intelligence</w:t>
      </w:r>
    </w:p>
    <w:p>
      <w:r>
        <w:t>Comprehensive denial analytics with top denial codes, a horizontal bar chart for denial code distribution, and KPIs for denial management effectiveness.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_den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Dashboard — Denial Intelligence Tab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Denial Rate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59.0%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Total Denial Value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$1.0M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Denial Recovery Rate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Write-off (Denial)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$714K</w:t>
            </w:r>
          </w:p>
        </w:tc>
      </w:tr>
    </w:tbl>
    <w:p/>
    <w:p>
      <w:r>
        <w:rPr>
          <w:b/>
        </w:rPr>
        <w:t>Top Denial Codes: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3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3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Total Value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CO-197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Precertification/Authorization Absent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$285K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CO-29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Timely Filing Limit Exceeded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$247K</w:t>
            </w:r>
          </w:p>
        </w:tc>
      </w:tr>
      <w:tr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CO-22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Coordination of Benefits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$227K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CO-96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Non-covered Charge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$157K</w:t>
            </w:r>
          </w:p>
        </w:tc>
      </w:tr>
      <w:tr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PR-2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Coinsurance - Patient Responsibility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$6K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CO-16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Claim lacks information or has billing error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$26K</w:t>
            </w:r>
          </w:p>
        </w:tc>
      </w:tr>
      <w:tr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OA-23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Payment adjusted to contracted amount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$28K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PR-1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Deductible - Patient Responsibility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$13K</w:t>
            </w:r>
          </w:p>
        </w:tc>
      </w:tr>
      <w:tr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CO-96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Non-covered charge - Not medically necessary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0f0"/>
          </w:tcPr>
          <w:p>
            <w:r>
              <w:rPr>
                <w:sz w:val="18"/>
              </w:rPr>
              <w:t>$26K</w:t>
            </w:r>
          </w:p>
        </w:tc>
      </w:tr>
    </w:tbl>
    <w:p/>
    <w:p>
      <w:pPr>
        <w:pStyle w:val="Heading2"/>
      </w:pPr>
      <w:r>
        <w:rPr>
          <w:color w:val="1E40AF"/>
        </w:rPr>
        <w:t>3.4  Payer Performance</w:t>
      </w:r>
    </w:p>
    <w:p>
      <w:r>
        <w:t>Side-by-side payer comparison with a bar chart (Charged vs Paid by Payer) and a detailed table covering payment timeliness, denial rate, underpayment rate, and AR aging.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shboard_pay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Dashboard — Payer Performance Tab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Payer</w:t>
            </w:r>
          </w:p>
        </w:tc>
        <w:tc>
          <w:tcPr>
            <w:tcW w:type="dxa" w:w="133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Claims</w:t>
            </w:r>
          </w:p>
        </w:tc>
        <w:tc>
          <w:tcPr>
            <w:tcW w:type="dxa" w:w="133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Charged</w:t>
            </w:r>
          </w:p>
        </w:tc>
        <w:tc>
          <w:tcPr>
            <w:tcW w:type="dxa" w:w="133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Paid</w:t>
            </w:r>
          </w:p>
        </w:tc>
        <w:tc>
          <w:tcPr>
            <w:tcW w:type="dxa" w:w="133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Avg Days</w:t>
            </w:r>
          </w:p>
        </w:tc>
        <w:tc>
          <w:tcPr>
            <w:tcW w:type="dxa" w:w="133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Denial Rate</w:t>
            </w:r>
          </w:p>
        </w:tc>
        <w:tc>
          <w:tcPr>
            <w:tcW w:type="dxa" w:w="133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Underpay Rate</w:t>
            </w:r>
          </w:p>
        </w:tc>
      </w:tr>
      <w:tr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WellCare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$277K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$89K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266.2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58.5%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UnitedHealthcare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$198K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$38K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234.2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61.5%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Optum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$174K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$1K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231.0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63.6%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Anthem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$157K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$28K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251.5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64.0%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Blue Cross Blue Shield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$144K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$23K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260.9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66.7%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Medicare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$136K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$18K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261.0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63.3%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1.1%</w:t>
            </w:r>
          </w:p>
        </w:tc>
      </w:tr>
      <w:tr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Centene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$132K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$23K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252.7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62.5%</w:t>
            </w:r>
          </w:p>
        </w:tc>
        <w:tc>
          <w:tcPr>
            <w:tcW w:type="dxa" w:w="1337"/>
            <w:shd w:val="clear" w:color="auto" w:fill="f0f8ff"/>
          </w:tcPr>
          <w:p>
            <w:r>
              <w:rPr>
                <w:sz w:val="18"/>
              </w:rPr>
              <w:t>1.5%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40AF"/>
        </w:rPr>
        <w:t>3.5  Risk to Cash Flow</w:t>
      </w:r>
    </w:p>
    <w:p>
      <w:r>
        <w:t>Proactive risk identification across five risk categories. Each card shows count of affected claims and total dollar value at risk, enabling prioritized intervention.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_ri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Dashboard — Risk to Cash Flow Tab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High Value at Risk (&gt;$10K)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59 claims  ·  $1.0M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Timely Filing Risk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115 claims  ·  $617K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Appeals Deadline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0 claims  ·  $0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Underpayment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$31K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Unworked AR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0 claims  ·  $0</w:t>
            </w:r>
          </w:p>
        </w:tc>
      </w:tr>
    </w:tbl>
    <w:p/>
    <w:p>
      <w:pPr>
        <w:pStyle w:val="Heading2"/>
      </w:pPr>
      <w:r>
        <w:rPr>
          <w:color w:val="1E40AF"/>
        </w:rPr>
        <w:t>3.6  Operations Overview</w:t>
      </w:r>
    </w:p>
    <w:p>
      <w:r>
        <w:t>Operational KPI dashboard covering claim throughput, clean claim rate, AR backlog, work queue summaries, and AI-generated narrative insights.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shboard_o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Dashboard — Operations Overview Tab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Total Claims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Clean Claim Rate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41.0%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Avg Aging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255.8 days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High Risk Claims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201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AR Backlog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 Process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Paid Claims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4.  AI Assistant (Embedded in Dashboard)</w:t>
      </w:r>
    </w:p>
    <w:p>
      <w:r>
        <w:t>The AI Assistant is a floating conversational chat panel embedded in the bottom-right corner of the dashboard. Users click the purple chat icon to open it without leaving the dashboard. It supports natural language queries about any aspect of the AR portfolio.</w:t>
      </w:r>
    </w:p>
    <w:p/>
    <w:p>
      <w:r>
        <w:rPr>
          <w:b/>
          <w:color w:val="1E40AF"/>
        </w:rPr>
        <w:t>■  Features</w:t>
      </w:r>
    </w:p>
    <w:p>
      <w:pPr>
        <w:pStyle w:val="ListBullet"/>
      </w:pPr>
      <w:r>
        <w:rPr>
          <w:sz w:val="18"/>
        </w:rPr>
        <w:t>Floating panel — 400px wide, expandable to 600px × 85vh</w:t>
      </w:r>
    </w:p>
    <w:p>
      <w:pPr>
        <w:pStyle w:val="ListBullet"/>
      </w:pPr>
      <w:r>
        <w:rPr>
          <w:sz w:val="18"/>
        </w:rPr>
        <w:t>10 quick-query suggestion chips shown before first message</w:t>
      </w:r>
    </w:p>
    <w:p>
      <w:pPr>
        <w:pStyle w:val="ListBullet"/>
      </w:pPr>
      <w:r>
        <w:rPr>
          <w:sz w:val="18"/>
        </w:rPr>
        <w:t>Full chat history with user (blue) and assistant (gradient) bubbles</w:t>
      </w:r>
    </w:p>
    <w:p>
      <w:pPr>
        <w:pStyle w:val="ListBullet"/>
      </w:pPr>
      <w:r>
        <w:rPr>
          <w:sz w:val="18"/>
        </w:rPr>
        <w:t>Animated typing indicator while AI processes</w:t>
      </w:r>
    </w:p>
    <w:p>
      <w:pPr>
        <w:pStyle w:val="ListBullet"/>
      </w:pPr>
      <w:r>
        <w:rPr>
          <w:sz w:val="18"/>
        </w:rPr>
        <w:t>Dynamic bar charts rendered inline for numeric/comparative queries</w:t>
      </w:r>
    </w:p>
    <w:p>
      <w:pPr>
        <w:pStyle w:val="ListBullet"/>
      </w:pPr>
      <w:r>
        <w:rPr>
          <w:sz w:val="18"/>
        </w:rPr>
        <w:t>Metric cards within responses (e.g. 'Claims &gt; 90 Days: 87 · Value: $423K')</w:t>
      </w:r>
    </w:p>
    <w:p>
      <w:pPr>
        <w:pStyle w:val="ListBullet"/>
      </w:pPr>
      <w:r>
        <w:rPr>
          <w:sz w:val="18"/>
        </w:rPr>
        <w:t>Data tables with up to 8 rows shown inline; CSV export button per response</w:t>
      </w:r>
    </w:p>
    <w:p>
      <w:pPr>
        <w:pStyle w:val="ListBullet"/>
      </w:pPr>
      <w:r>
        <w:rPr>
          <w:sz w:val="18"/>
        </w:rPr>
        <w:t>Minimize / Expand / Close controls in the panel header</w:t>
      </w:r>
    </w:p>
    <w:p/>
    <w:p>
      <w:r>
        <w:rPr>
          <w:b/>
          <w:color w:val="1E40AF"/>
        </w:rPr>
        <w:t>■  Supported Query Types (16+)</w:t>
      </w:r>
    </w:p>
    <w:p>
      <w:pPr>
        <w:pStyle w:val="ListBullet"/>
      </w:pPr>
      <w:r>
        <w:rPr>
          <w:sz w:val="18"/>
        </w:rPr>
        <w:t>AR over 90 days — count, value, payer breakdown chart</w:t>
      </w:r>
    </w:p>
    <w:p>
      <w:pPr>
        <w:pStyle w:val="ListBullet"/>
      </w:pPr>
      <w:r>
        <w:rPr>
          <w:sz w:val="18"/>
        </w:rPr>
        <w:t>Denial rate — rate, value, recovery rate, write-off</w:t>
      </w:r>
    </w:p>
    <w:p>
      <w:pPr>
        <w:pStyle w:val="ListBullet"/>
      </w:pPr>
      <w:r>
        <w:rPr>
          <w:sz w:val="18"/>
        </w:rPr>
        <w:t>Payer performance — comparison table + bar chart</w:t>
      </w:r>
    </w:p>
    <w:p>
      <w:pPr>
        <w:pStyle w:val="ListBullet"/>
      </w:pPr>
      <w:r>
        <w:rPr>
          <w:sz w:val="18"/>
        </w:rPr>
        <w:t>Collection rate — gross and net rates</w:t>
      </w:r>
    </w:p>
    <w:p>
      <w:pPr>
        <w:pStyle w:val="ListBullet"/>
      </w:pPr>
      <w:r>
        <w:rPr>
          <w:sz w:val="18"/>
        </w:rPr>
        <w:t>AR aging by specialty — specialty breakdown bar chart</w:t>
      </w:r>
    </w:p>
    <w:p>
      <w:pPr>
        <w:pStyle w:val="ListBullet"/>
      </w:pPr>
      <w:r>
        <w:rPr>
          <w:sz w:val="18"/>
        </w:rPr>
        <w:t>Revenue leakage — dollar value and percentage</w:t>
      </w:r>
    </w:p>
    <w:p>
      <w:pPr>
        <w:pStyle w:val="ListBullet"/>
      </w:pPr>
      <w:r>
        <w:rPr>
          <w:sz w:val="18"/>
        </w:rPr>
        <w:t>Unworked claims — count and value</w:t>
      </w:r>
    </w:p>
    <w:p>
      <w:pPr>
        <w:pStyle w:val="ListBullet"/>
      </w:pPr>
      <w:r>
        <w:rPr>
          <w:sz w:val="18"/>
        </w:rPr>
        <w:t>Claim status breakdown — paid, denied, pending, etc.</w:t>
      </w:r>
    </w:p>
    <w:p>
      <w:pPr>
        <w:pStyle w:val="ListBullet"/>
      </w:pPr>
      <w:r>
        <w:rPr>
          <w:sz w:val="18"/>
        </w:rPr>
        <w:t>Top denial codes — code, description, count, value table</w:t>
      </w:r>
    </w:p>
    <w:p>
      <w:pPr>
        <w:pStyle w:val="ListBullet"/>
      </w:pPr>
      <w:r>
        <w:rPr>
          <w:sz w:val="18"/>
        </w:rPr>
        <w:t>Risk indicators — all five risk categories</w:t>
      </w:r>
    </w:p>
    <w:p>
      <w:pPr>
        <w:pStyle w:val="ListBullet"/>
      </w:pPr>
      <w:r>
        <w:rPr>
          <w:sz w:val="18"/>
        </w:rPr>
        <w:t>High value claims — claims above threshold with detail</w:t>
      </w:r>
    </w:p>
    <w:p>
      <w:pPr>
        <w:pStyle w:val="ListBullet"/>
      </w:pPr>
      <w:r>
        <w:rPr>
          <w:sz w:val="18"/>
        </w:rPr>
        <w:t>Timely filing risk — approaching deadline claims</w:t>
      </w:r>
    </w:p>
    <w:p>
      <w:pPr>
        <w:pStyle w:val="ListBullet"/>
      </w:pPr>
      <w:r>
        <w:rPr>
          <w:sz w:val="18"/>
        </w:rPr>
        <w:t>Appeals pending — appeal counts and values</w:t>
      </w:r>
    </w:p>
    <w:p>
      <w:pPr>
        <w:pStyle w:val="ListBullet"/>
      </w:pPr>
      <w:r>
        <w:rPr>
          <w:sz w:val="18"/>
        </w:rPr>
        <w:t>Payer comparison — charged vs paid chart</w:t>
      </w:r>
    </w:p>
    <w:p>
      <w:pPr>
        <w:pStyle w:val="ListBullet"/>
      </w:pPr>
      <w:r>
        <w:rPr>
          <w:sz w:val="18"/>
        </w:rPr>
        <w:t>Clean claim rate — first-pass acceptance rate</w:t>
      </w:r>
    </w:p>
    <w:p>
      <w:pPr>
        <w:pStyle w:val="ListBullet"/>
      </w:pPr>
      <w:r>
        <w:rPr>
          <w:sz w:val="18"/>
        </w:rPr>
        <w:t>Help — lists all available query types</w:t>
      </w:r>
    </w:p>
    <w:p>
      <w:r>
        <w:br w:type="page"/>
      </w:r>
    </w:p>
    <w:p>
      <w:pPr>
        <w:pStyle w:val="Heading1"/>
      </w:pPr>
      <w:r>
        <w:rPr>
          <w:color w:val="1E3A8A"/>
        </w:rPr>
        <w:t>5.  Work Queues &amp; Claim Action Board</w:t>
      </w:r>
    </w:p>
    <w:p>
      <w:r>
        <w:t>Work Queues organize claims into priority-driven buckets, enabling efficient AR follow-up. Selecting a claim opens an inline Claim Action Board without navigating away.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orkqueu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Work Queues — 6 Priority-Based Queue Cards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Queue Name</w:t>
            </w:r>
          </w:p>
        </w:tc>
        <w:tc>
          <w:tcPr>
            <w:tcW w:type="dxa" w:w="23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Claims</w:t>
            </w:r>
          </w:p>
        </w:tc>
        <w:tc>
          <w:tcPr>
            <w:tcW w:type="dxa" w:w="234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High Risk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8f9ff"/>
          </w:tcPr>
          <w:p>
            <w:r>
              <w:rPr>
                <w:sz w:val="18"/>
              </w:rPr>
              <w:t>High Dollar AR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8"/>
              </w:rPr>
              <w:t>92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Authorization Denials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2340"/>
            <w:shd w:val="clear" w:color="auto" w:fill="f8f9ff"/>
          </w:tcPr>
          <w:p>
            <w:r>
              <w:rPr>
                <w:sz w:val="18"/>
              </w:rPr>
              <w:t>Eligibility Issues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Aging &gt;120 Days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2340"/>
            <w:shd w:val="clear" w:color="auto" w:fill="f8f9ff"/>
          </w:tcPr>
          <w:p>
            <w:r>
              <w:rPr>
                <w:sz w:val="18"/>
              </w:rPr>
              <w:t>Medicaid Claims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8f9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General 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color w:val="1E40AF"/>
        </w:rPr>
        <w:t>■  Claim Action Board Features</w:t>
      </w:r>
    </w:p>
    <w:p>
      <w:pPr>
        <w:pStyle w:val="ListBullet"/>
      </w:pPr>
      <w:r>
        <w:rPr>
          <w:sz w:val="18"/>
        </w:rPr>
        <w:t>Blue gradient header with Claim ID, payer, charge amount, and aging days</w:t>
      </w:r>
    </w:p>
    <w:p>
      <w:pPr>
        <w:pStyle w:val="ListBullet"/>
      </w:pPr>
      <w:r>
        <w:rPr>
          <w:sz w:val="18"/>
        </w:rPr>
        <w:t>Lifecycle Stage Indicator Bar: Submitted → Pending → Under Review → Denied / Paid</w:t>
      </w:r>
    </w:p>
    <w:p>
      <w:pPr>
        <w:pStyle w:val="ListBullet"/>
      </w:pPr>
      <w:r>
        <w:rPr>
          <w:sz w:val="18"/>
        </w:rPr>
        <w:t>Denial analytics section: denial code, reason, denial date, appeal deadline</w:t>
      </w:r>
    </w:p>
    <w:p>
      <w:pPr>
        <w:pStyle w:val="ListBullet"/>
      </w:pPr>
      <w:r>
        <w:rPr>
          <w:sz w:val="18"/>
        </w:rPr>
        <w:t>Next Best Action recommendation based on claim status and aging</w:t>
      </w:r>
    </w:p>
    <w:p>
      <w:pPr>
        <w:pStyle w:val="ListBullet"/>
      </w:pPr>
      <w:r>
        <w:rPr>
          <w:sz w:val="18"/>
        </w:rPr>
        <w:t>Action buttons: View Full Detail, Generate Appeal, EDI Inquiry</w:t>
      </w:r>
    </w:p>
    <w:p>
      <w:pPr>
        <w:pStyle w:val="ListBullet"/>
      </w:pPr>
      <w:r>
        <w:rPr>
          <w:sz w:val="18"/>
        </w:rPr>
        <w:t>AR Knowledge Base link (arlearningonline.com) for educational resources</w:t>
      </w:r>
    </w:p>
    <w:p>
      <w:r>
        <w:br w:type="page"/>
      </w:r>
    </w:p>
    <w:p>
      <w:pPr>
        <w:pStyle w:val="Heading1"/>
      </w:pPr>
      <w:r>
        <w:rPr>
          <w:color w:val="1E3A8A"/>
        </w:rPr>
        <w:t>6.  Claim Inventory</w:t>
      </w:r>
    </w:p>
    <w:p>
      <w:r>
        <w:t>A fully searchable and filterable table of all 300 claims. Supports multi-dimensional filtering and drill-in to individual claim detail pages.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la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Claim Inventory — Searchable &amp; Filterable Claim Table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Total Claims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300 claims in the system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Filters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Payer, Specialty, Denial Code, Aging Bucket, Search by Claim ID / Patient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Columns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Claim ID, Patient, Payer, DOS, Specialty, Charge, Aging, Denial Code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Pagination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25 claims per page with navigation</w:t>
            </w:r>
          </w:p>
        </w:tc>
      </w:tr>
    </w:tbl>
    <w:p/>
    <w:p>
      <w:pPr>
        <w:pStyle w:val="Heading2"/>
      </w:pPr>
      <w:r>
        <w:rPr>
          <w:color w:val="1E40AF"/>
        </w:rPr>
        <w:t>6.1  Claim Detail Page</w:t>
      </w:r>
    </w:p>
    <w:p>
      <w:r>
        <w:t>Clicking any claim ID navigates to the full Claim Detail page: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laim_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Claim Detail Page — Full Claim Record with AI Investigation</w:t>
      </w:r>
    </w:p>
    <w:p/>
    <w:p>
      <w:pPr>
        <w:pStyle w:val="ListBullet"/>
      </w:pPr>
      <w:r>
        <w:rPr>
          <w:sz w:val="18"/>
        </w:rPr>
        <w:t>Full claim header: patient demographics, dates, provider, facility</w:t>
      </w:r>
    </w:p>
    <w:p>
      <w:pPr>
        <w:pStyle w:val="ListBullet"/>
      </w:pPr>
      <w:r>
        <w:rPr>
          <w:sz w:val="18"/>
        </w:rPr>
        <w:t>Financial summary: billed, allowed, paid amounts</w:t>
      </w:r>
    </w:p>
    <w:p>
      <w:pPr>
        <w:pStyle w:val="ListBullet"/>
      </w:pPr>
      <w:r>
        <w:rPr>
          <w:sz w:val="18"/>
        </w:rPr>
        <w:t>4 tabbed sections: Details, AI Agents, Appeal, Notes</w:t>
      </w:r>
    </w:p>
    <w:p>
      <w:pPr>
        <w:pStyle w:val="ListBullet"/>
      </w:pPr>
      <w:r>
        <w:rPr>
          <w:sz w:val="18"/>
        </w:rPr>
        <w:t>AI Investigation Agent — one-click analysis with next best action</w:t>
      </w:r>
    </w:p>
    <w:p>
      <w:pPr>
        <w:pStyle w:val="ListBullet"/>
      </w:pPr>
      <w:r>
        <w:rPr>
          <w:sz w:val="18"/>
        </w:rPr>
        <w:t>Appeal Generator — AI-drafted appeal letter with pre-populated denial reason</w:t>
      </w:r>
    </w:p>
    <w:p>
      <w:pPr>
        <w:pStyle w:val="ListBullet"/>
      </w:pPr>
      <w:r>
        <w:rPr>
          <w:sz w:val="18"/>
        </w:rPr>
        <w:t>Notes field with save capability for claim-level documentation</w:t>
      </w:r>
    </w:p>
    <w:p>
      <w:r>
        <w:br w:type="page"/>
      </w:r>
    </w:p>
    <w:p>
      <w:pPr>
        <w:pStyle w:val="Heading1"/>
      </w:pPr>
      <w:r>
        <w:rPr>
          <w:color w:val="1E3A8A"/>
        </w:rPr>
        <w:t>7.  RCM Revenue Surge Workflow Modules</w:t>
      </w:r>
    </w:p>
    <w:p>
      <w:r>
        <w:t>A 5-step guided workflow covering the complete revenue cycle process, simulating enterprise RCM workflow systems.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workflow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RCM Revenue Surge Workflow — 5 Integrated Modules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6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Pre-Billing Review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Eligibility verification, authorization checks, charge capture validation before submission.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Charge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Charge audit, CDM reconciliation, modifier review, unbundling detection.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AR Follow-Up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Systematic follow-up queue prioritized by aging bucket and payer response time.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Denial Analytics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Root-cause analysis of denial patterns by payer, code, provider, and specialty.</w:t>
            </w:r>
          </w:p>
        </w:tc>
      </w:tr>
      <w:tr>
        <w:tc>
          <w:tcPr>
            <w:tcW w:type="dxa" w:w="4680"/>
            <w:shd w:val="clear" w:color="auto" w:fill="f0f4ff"/>
          </w:tcPr>
          <w:p>
            <w:r>
              <w:rPr>
                <w:b/>
                <w:sz w:val="18"/>
              </w:rPr>
              <w:t>Payment Posting</w:t>
            </w:r>
          </w:p>
        </w:tc>
        <w:tc>
          <w:tcPr>
            <w:tcW w:type="dxa" w:w="4680"/>
            <w:shd w:val="clear" w:color="auto" w:fill="f0f4ff"/>
          </w:tcPr>
          <w:p>
            <w:r>
              <w:rPr>
                <w:sz w:val="18"/>
              </w:rPr>
              <w:t>ERA/EFT reconciliation, variance detection, adjustment posting, patient balance transfer.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8.  EDI Hub</w:t>
      </w:r>
    </w:p>
    <w:p>
      <w:r>
        <w:t>Direct electronic payer connectivity through standard HIPAA EDI transactions. Simulates real-world clearinghouse functionality with connection health monitoring.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d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EDI Hub — 12 Payer Connections with Transaction History</w:t>
      </w:r>
    </w:p>
    <w:p/>
    <w:p>
      <w:pPr>
        <w:pStyle w:val="ListBullet"/>
      </w:pPr>
      <w:r>
        <w:rPr>
          <w:sz w:val="18"/>
        </w:rPr>
        <w:t>12 payer EDI connections: Aetna, BCBS, UnitedHealthcare, Cigna, Medicare, Medicaid, Humana, Tricare, Anthem, Molina, WellCare, Centene</w:t>
      </w:r>
    </w:p>
    <w:p>
      <w:pPr>
        <w:pStyle w:val="ListBullet"/>
      </w:pPr>
      <w:r>
        <w:rPr>
          <w:sz w:val="18"/>
        </w:rPr>
        <w:t>Connection status with color-coded indicators: Active (green), Maintenance (yellow), Error (red)</w:t>
      </w:r>
    </w:p>
    <w:p>
      <w:pPr>
        <w:pStyle w:val="ListBullet"/>
      </w:pPr>
      <w:r>
        <w:rPr>
          <w:sz w:val="18"/>
        </w:rPr>
        <w:t>837P — Professional Claim Submission to payer portals</w:t>
      </w:r>
    </w:p>
    <w:p>
      <w:pPr>
        <w:pStyle w:val="ListBullet"/>
      </w:pPr>
      <w:r>
        <w:rPr>
          <w:sz w:val="18"/>
        </w:rPr>
        <w:t>276 — Claim Status Request by Claim ID or date range</w:t>
      </w:r>
    </w:p>
    <w:p>
      <w:pPr>
        <w:pStyle w:val="ListBullet"/>
      </w:pPr>
      <w:r>
        <w:rPr>
          <w:sz w:val="18"/>
        </w:rPr>
        <w:t>277 — Structured status response display</w:t>
      </w:r>
    </w:p>
    <w:p>
      <w:pPr>
        <w:pStyle w:val="ListBullet"/>
      </w:pPr>
      <w:r>
        <w:rPr>
          <w:sz w:val="18"/>
        </w:rPr>
        <w:t>Transaction history with 48+ historical records</w:t>
      </w:r>
    </w:p>
    <w:p>
      <w:r>
        <w:br w:type="page"/>
      </w:r>
    </w:p>
    <w:p>
      <w:pPr>
        <w:pStyle w:val="Heading1"/>
      </w:pPr>
      <w:r>
        <w:rPr>
          <w:color w:val="1E3A8A"/>
        </w:rPr>
        <w:t>9.  RPA Bot Center</w:t>
      </w:r>
    </w:p>
    <w:p>
      <w:r>
        <w:t>Automated robotic process automation bots executing repetitive RCM tasks across payer portals, replacing manual web-portal navigation with scheduled automation.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p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RPA Bot Center — 24 Bots Across 8 Payers</w:t>
      </w:r>
    </w:p>
    <w:p/>
    <w:p>
      <w:pPr>
        <w:pStyle w:val="ListBullet"/>
      </w:pPr>
      <w:r>
        <w:rPr>
          <w:sz w:val="18"/>
        </w:rPr>
        <w:t>24 bots across 8 payers (Aetna, BCBS, UnitedHealthcare, Cigna, Medicare, Medicaid, Humana, Tricare)</w:t>
      </w:r>
    </w:p>
    <w:p>
      <w:pPr>
        <w:pStyle w:val="ListBullet"/>
      </w:pPr>
      <w:r>
        <w:rPr>
          <w:sz w:val="18"/>
        </w:rPr>
        <w:t>5 bot types: Claim Status Checker, Eligibility Verifier, Denial/EOB Retriever, Prior Auth Submitter, Payment Poster</w:t>
      </w:r>
    </w:p>
    <w:p>
      <w:pPr>
        <w:pStyle w:val="ListBullet"/>
      </w:pPr>
      <w:r>
        <w:rPr>
          <w:sz w:val="18"/>
        </w:rPr>
        <w:t>Run bot manually with a single click — displays real-time execution log</w:t>
      </w:r>
    </w:p>
    <w:p>
      <w:pPr>
        <w:pStyle w:val="ListBullet"/>
      </w:pPr>
      <w:r>
        <w:rPr>
          <w:sz w:val="18"/>
        </w:rPr>
        <w:t>Scheduling: configure automated run times (daily, weekly, on-demand)</w:t>
      </w:r>
    </w:p>
    <w:p>
      <w:pPr>
        <w:pStyle w:val="ListBullet"/>
      </w:pPr>
      <w:r>
        <w:rPr>
          <w:sz w:val="18"/>
        </w:rPr>
        <w:t>Bot status badges: Idle, Running, Completed, Failed</w:t>
      </w:r>
    </w:p>
    <w:p>
      <w:pPr>
        <w:pStyle w:val="ListBullet"/>
      </w:pPr>
      <w:r>
        <w:rPr>
          <w:sz w:val="18"/>
        </w:rPr>
        <w:t>93.4% average success rate across 2,799 total runs</w:t>
      </w:r>
    </w:p>
    <w:p>
      <w:r>
        <w:br w:type="page"/>
      </w:r>
    </w:p>
    <w:p>
      <w:pPr>
        <w:pStyle w:val="Heading1"/>
      </w:pPr>
      <w:r>
        <w:rPr>
          <w:color w:val="1E3A8A"/>
        </w:rPr>
        <w:t>10.  Data Ingestion</w:t>
      </w:r>
    </w:p>
    <w:p>
      <w:r>
        <w:t>Bulk claim upload portal exclusively for Team Leads. Supports structured file formats for importing large claim datasets.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ploa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Data Ingestion — Bulk Claim Upload Portal (Team Lead Only)</w:t>
      </w:r>
    </w:p>
    <w:p/>
    <w:p>
      <w:pPr>
        <w:pStyle w:val="ListBullet"/>
      </w:pPr>
      <w:r>
        <w:rPr>
          <w:sz w:val="18"/>
        </w:rPr>
        <w:t>Drag-and-drop file upload interface (CSV, XLSX, XLS — max 50MB)</w:t>
      </w:r>
    </w:p>
    <w:p>
      <w:pPr>
        <w:pStyle w:val="ListBullet"/>
      </w:pPr>
      <w:r>
        <w:rPr>
          <w:sz w:val="18"/>
        </w:rPr>
        <w:t>Column mapping interface to align source fields to the claim schema</w:t>
      </w:r>
    </w:p>
    <w:p>
      <w:pPr>
        <w:pStyle w:val="ListBullet"/>
      </w:pPr>
      <w:r>
        <w:rPr>
          <w:sz w:val="18"/>
        </w:rPr>
        <w:t>Pre-import validation with row-level error reporting</w:t>
      </w:r>
    </w:p>
    <w:p>
      <w:pPr>
        <w:pStyle w:val="ListBullet"/>
      </w:pPr>
      <w:r>
        <w:rPr>
          <w:sz w:val="18"/>
        </w:rPr>
        <w:t>Import progress indicator with success/failure counts</w:t>
      </w:r>
    </w:p>
    <w:p>
      <w:pPr>
        <w:pStyle w:val="ListBullet"/>
      </w:pPr>
      <w:r>
        <w:rPr>
          <w:sz w:val="18"/>
        </w:rPr>
        <w:t>Automatic claim seeding — claims appear immediately in inventory after upload</w:t>
      </w:r>
    </w:p>
    <w:p>
      <w:pPr>
        <w:pStyle w:val="ListBullet"/>
      </w:pPr>
      <w:r>
        <w:rPr>
          <w:sz w:val="18"/>
        </w:rPr>
        <w:t>Downloadable sample CSV template with all required field definitions</w:t>
      </w:r>
    </w:p>
    <w:p>
      <w:r>
        <w:br w:type="page"/>
      </w:r>
    </w:p>
    <w:p>
      <w:pPr>
        <w:pStyle w:val="Heading1"/>
      </w:pPr>
      <w:r>
        <w:rPr>
          <w:color w:val="1E3A8A"/>
        </w:rPr>
        <w:t>11.  Demo Credentials</w:t>
      </w:r>
    </w:p>
    <w:p>
      <w:r>
        <w:t xml:space="preserve">All accounts use password: </w:t>
      </w:r>
      <w:r>
        <w:rPr>
          <w:b/>
        </w:rPr>
        <w:t>nova123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31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31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clientlead</w:t>
            </w:r>
          </w:p>
        </w:tc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nova123</w:t>
            </w:r>
          </w:p>
        </w:tc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Client Leadership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opslead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nova123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Operations Leadership</w:t>
            </w:r>
          </w:p>
        </w:tc>
      </w:tr>
      <w:tr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opsmgr</w:t>
            </w:r>
          </w:p>
        </w:tc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nova123</w:t>
            </w:r>
          </w:p>
        </w:tc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Operations Manager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teamlead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nova123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Team Lead</w:t>
            </w:r>
          </w:p>
        </w:tc>
      </w:tr>
      <w:tr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arexec</w:t>
            </w:r>
          </w:p>
        </w:tc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nova123</w:t>
            </w:r>
          </w:p>
        </w:tc>
        <w:tc>
          <w:tcPr>
            <w:tcW w:type="dxa" w:w="3120"/>
            <w:shd w:val="clear" w:color="auto" w:fill="f8f9ff"/>
          </w:tcPr>
          <w:p>
            <w:r>
              <w:rPr>
                <w:sz w:val="18"/>
              </w:rPr>
              <w:t>AR Executive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qaauditor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nova123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QA Auditor</w:t>
            </w:r>
          </w:p>
        </w:tc>
      </w:tr>
    </w:tbl>
    <w:p/>
    <w:p>
      <w:r>
        <w:t>Application URL: Access through the Replit preview panel (port 5000 — dev server, port 8000 — production build).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