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7E8AA" w14:textId="77777777" w:rsidR="00A4743F" w:rsidRDefault="00A4743F">
      <w:pPr>
        <w:spacing w:before="1600"/>
      </w:pPr>
    </w:p>
    <w:p w14:paraId="59F7E8AB" w14:textId="77777777" w:rsidR="00A4743F" w:rsidRDefault="00000000">
      <w:pPr>
        <w:spacing w:after="200"/>
        <w:jc w:val="center"/>
      </w:pPr>
      <w:r>
        <w:rPr>
          <w:b/>
          <w:bCs/>
          <w:color w:val="1F3864"/>
          <w:sz w:val="56"/>
          <w:szCs w:val="56"/>
        </w:rPr>
        <w:t>ALUMNYE PLATFORM</w:t>
      </w:r>
    </w:p>
    <w:p w14:paraId="59F7E8AC" w14:textId="77777777" w:rsidR="00A4743F" w:rsidRDefault="00000000">
      <w:pPr>
        <w:spacing w:after="600"/>
        <w:jc w:val="center"/>
      </w:pPr>
      <w:r>
        <w:rPr>
          <w:color w:val="2E5395"/>
          <w:sz w:val="34"/>
          <w:szCs w:val="34"/>
        </w:rPr>
        <w:t>Business Requirements Document</w:t>
      </w:r>
    </w:p>
    <w:p w14:paraId="59F7E8AD" w14:textId="77777777" w:rsidR="00A4743F" w:rsidRDefault="00000000">
      <w:pPr>
        <w:spacing w:after="100"/>
        <w:jc w:val="center"/>
      </w:pPr>
      <w:r>
        <w:rPr>
          <w:color w:val="555555"/>
          <w:sz w:val="22"/>
          <w:szCs w:val="22"/>
        </w:rPr>
        <w:t>Version 1.0  |  Draft — For Review</w:t>
      </w:r>
    </w:p>
    <w:p w14:paraId="59F7E8AE" w14:textId="77777777" w:rsidR="00A4743F" w:rsidRDefault="00000000">
      <w:pPr>
        <w:spacing w:after="100"/>
        <w:jc w:val="center"/>
      </w:pPr>
      <w:r>
        <w:rPr>
          <w:color w:val="555555"/>
          <w:sz w:val="22"/>
          <w:szCs w:val="22"/>
        </w:rPr>
        <w:t>September 2026</w:t>
      </w:r>
    </w:p>
    <w:p w14:paraId="59F7E8AF" w14:textId="77777777" w:rsidR="00A4743F" w:rsidRDefault="00000000">
      <w:pPr>
        <w:spacing w:after="1200"/>
        <w:jc w:val="center"/>
      </w:pPr>
      <w:r>
        <w:rPr>
          <w:i/>
          <w:iCs/>
          <w:color w:val="777777"/>
          <w:sz w:val="20"/>
          <w:szCs w:val="20"/>
        </w:rPr>
        <w:t>Coverage Period: 10 March 2026 – Release v1.3.0 (30 August 2026)</w:t>
      </w:r>
    </w:p>
    <w:p w14:paraId="59F7E8B0" w14:textId="77777777" w:rsidR="00A4743F" w:rsidRDefault="00000000">
      <w:pPr>
        <w:spacing w:after="40"/>
        <w:jc w:val="center"/>
      </w:pPr>
      <w:r>
        <w:rPr>
          <w:sz w:val="20"/>
          <w:szCs w:val="20"/>
        </w:rPr>
        <w:t xml:space="preserve">Prepared for: Indeevar (Client / Product Owner, </w:t>
      </w:r>
      <w:proofErr w:type="spellStart"/>
      <w:r>
        <w:rPr>
          <w:sz w:val="20"/>
          <w:szCs w:val="20"/>
        </w:rPr>
        <w:t>Alumwhale</w:t>
      </w:r>
      <w:proofErr w:type="spellEnd"/>
      <w:r>
        <w:rPr>
          <w:sz w:val="20"/>
          <w:szCs w:val="20"/>
        </w:rPr>
        <w:t>)</w:t>
      </w:r>
    </w:p>
    <w:p w14:paraId="59F7E8B1" w14:textId="77777777" w:rsidR="00A4743F" w:rsidRDefault="00000000">
      <w:pPr>
        <w:spacing w:after="40"/>
        <w:jc w:val="center"/>
      </w:pPr>
      <w:r>
        <w:rPr>
          <w:sz w:val="20"/>
          <w:szCs w:val="20"/>
        </w:rPr>
        <w:t>Prepared by: Prodian Infotech Private Limited — Delivery Team</w:t>
      </w:r>
    </w:p>
    <w:p w14:paraId="59F7E8B2" w14:textId="77777777" w:rsidR="00A4743F" w:rsidRDefault="00000000">
      <w:pPr>
        <w:spacing w:after="40"/>
        <w:jc w:val="center"/>
      </w:pPr>
      <w:r>
        <w:rPr>
          <w:i/>
          <w:iCs/>
          <w:color w:val="888888"/>
          <w:sz w:val="18"/>
          <w:szCs w:val="18"/>
        </w:rPr>
        <w:t>(AI-assisted, consolidated from project records)</w:t>
      </w:r>
    </w:p>
    <w:p w14:paraId="59F7E8B3" w14:textId="77777777" w:rsidR="00A4743F" w:rsidRDefault="00000000">
      <w:r>
        <w:br w:type="page"/>
      </w:r>
    </w:p>
    <w:sdt>
      <w:sdtPr>
        <w:id w:val="1807659556"/>
        <w:docPartObj>
          <w:docPartGallery w:val="Table of Contents"/>
          <w:docPartUnique/>
        </w:docPartObj>
      </w:sdtPr>
      <w:sdtEndPr>
        <w:rPr>
          <w:rFonts w:ascii="Calibri" w:eastAsia="Calibri" w:hAnsi="Calibri" w:cs="Calibri"/>
          <w:b/>
          <w:bCs/>
          <w:noProof/>
          <w:color w:val="auto"/>
          <w:sz w:val="21"/>
          <w:szCs w:val="21"/>
        </w:rPr>
      </w:sdtEndPr>
      <w:sdtContent>
        <w:p w14:paraId="22EF61F6" w14:textId="0C15A820" w:rsidR="00F81D8B" w:rsidRDefault="00F81D8B">
          <w:pPr>
            <w:pStyle w:val="TOCHeading"/>
          </w:pPr>
          <w:r>
            <w:t>Table of Contents</w:t>
          </w:r>
        </w:p>
        <w:p w14:paraId="47DCAA76" w14:textId="429B8C87" w:rsidR="00F81D8B" w:rsidRDefault="00F81D8B">
          <w:pPr>
            <w:pStyle w:val="TOC1"/>
            <w:tabs>
              <w:tab w:val="right" w:leader="dot" w:pos="9696"/>
            </w:tabs>
            <w:rPr>
              <w:noProof/>
            </w:rPr>
          </w:pPr>
          <w:r>
            <w:fldChar w:fldCharType="begin"/>
          </w:r>
          <w:r>
            <w:instrText xml:space="preserve"> TOC \o "1-3" \h \z \u </w:instrText>
          </w:r>
          <w:r>
            <w:fldChar w:fldCharType="separate"/>
          </w:r>
          <w:hyperlink w:anchor="_Toc239326818" w:history="1">
            <w:r w:rsidRPr="001E0CBC">
              <w:rPr>
                <w:rStyle w:val="Hyperlink"/>
                <w:b/>
                <w:bCs/>
                <w:noProof/>
              </w:rPr>
              <w:t>1. Document Control</w:t>
            </w:r>
            <w:r>
              <w:rPr>
                <w:noProof/>
                <w:webHidden/>
              </w:rPr>
              <w:tab/>
            </w:r>
            <w:r>
              <w:rPr>
                <w:noProof/>
                <w:webHidden/>
              </w:rPr>
              <w:fldChar w:fldCharType="begin"/>
            </w:r>
            <w:r>
              <w:rPr>
                <w:noProof/>
                <w:webHidden/>
              </w:rPr>
              <w:instrText xml:space="preserve"> PAGEREF _Toc239326818 \h </w:instrText>
            </w:r>
            <w:r>
              <w:rPr>
                <w:noProof/>
                <w:webHidden/>
              </w:rPr>
            </w:r>
            <w:r>
              <w:rPr>
                <w:noProof/>
                <w:webHidden/>
              </w:rPr>
              <w:fldChar w:fldCharType="separate"/>
            </w:r>
            <w:r>
              <w:rPr>
                <w:noProof/>
                <w:webHidden/>
              </w:rPr>
              <w:t>3</w:t>
            </w:r>
            <w:r>
              <w:rPr>
                <w:noProof/>
                <w:webHidden/>
              </w:rPr>
              <w:fldChar w:fldCharType="end"/>
            </w:r>
          </w:hyperlink>
        </w:p>
        <w:p w14:paraId="778447A2" w14:textId="77EF6584" w:rsidR="00F81D8B" w:rsidRDefault="00F81D8B">
          <w:pPr>
            <w:pStyle w:val="TOC2"/>
            <w:tabs>
              <w:tab w:val="right" w:leader="dot" w:pos="9696"/>
            </w:tabs>
            <w:rPr>
              <w:noProof/>
            </w:rPr>
          </w:pPr>
          <w:hyperlink w:anchor="_Toc239326819" w:history="1">
            <w:r w:rsidRPr="001E0CBC">
              <w:rPr>
                <w:rStyle w:val="Hyperlink"/>
                <w:b/>
                <w:bCs/>
                <w:noProof/>
              </w:rPr>
              <w:t>1.1 Document Information</w:t>
            </w:r>
            <w:r>
              <w:rPr>
                <w:noProof/>
                <w:webHidden/>
              </w:rPr>
              <w:tab/>
            </w:r>
            <w:r>
              <w:rPr>
                <w:noProof/>
                <w:webHidden/>
              </w:rPr>
              <w:fldChar w:fldCharType="begin"/>
            </w:r>
            <w:r>
              <w:rPr>
                <w:noProof/>
                <w:webHidden/>
              </w:rPr>
              <w:instrText xml:space="preserve"> PAGEREF _Toc239326819 \h </w:instrText>
            </w:r>
            <w:r>
              <w:rPr>
                <w:noProof/>
                <w:webHidden/>
              </w:rPr>
            </w:r>
            <w:r>
              <w:rPr>
                <w:noProof/>
                <w:webHidden/>
              </w:rPr>
              <w:fldChar w:fldCharType="separate"/>
            </w:r>
            <w:r>
              <w:rPr>
                <w:noProof/>
                <w:webHidden/>
              </w:rPr>
              <w:t>3</w:t>
            </w:r>
            <w:r>
              <w:rPr>
                <w:noProof/>
                <w:webHidden/>
              </w:rPr>
              <w:fldChar w:fldCharType="end"/>
            </w:r>
          </w:hyperlink>
        </w:p>
        <w:p w14:paraId="28BCF8BB" w14:textId="183E192E" w:rsidR="00F81D8B" w:rsidRDefault="00F81D8B">
          <w:pPr>
            <w:pStyle w:val="TOC2"/>
            <w:tabs>
              <w:tab w:val="right" w:leader="dot" w:pos="9696"/>
            </w:tabs>
            <w:rPr>
              <w:noProof/>
            </w:rPr>
          </w:pPr>
          <w:hyperlink w:anchor="_Toc239326820" w:history="1">
            <w:r w:rsidRPr="001E0CBC">
              <w:rPr>
                <w:rStyle w:val="Hyperlink"/>
                <w:b/>
                <w:bCs/>
                <w:noProof/>
              </w:rPr>
              <w:t>1.2 Revision History</w:t>
            </w:r>
            <w:r>
              <w:rPr>
                <w:noProof/>
                <w:webHidden/>
              </w:rPr>
              <w:tab/>
            </w:r>
            <w:r>
              <w:rPr>
                <w:noProof/>
                <w:webHidden/>
              </w:rPr>
              <w:fldChar w:fldCharType="begin"/>
            </w:r>
            <w:r>
              <w:rPr>
                <w:noProof/>
                <w:webHidden/>
              </w:rPr>
              <w:instrText xml:space="preserve"> PAGEREF _Toc239326820 \h </w:instrText>
            </w:r>
            <w:r>
              <w:rPr>
                <w:noProof/>
                <w:webHidden/>
              </w:rPr>
            </w:r>
            <w:r>
              <w:rPr>
                <w:noProof/>
                <w:webHidden/>
              </w:rPr>
              <w:fldChar w:fldCharType="separate"/>
            </w:r>
            <w:r>
              <w:rPr>
                <w:noProof/>
                <w:webHidden/>
              </w:rPr>
              <w:t>3</w:t>
            </w:r>
            <w:r>
              <w:rPr>
                <w:noProof/>
                <w:webHidden/>
              </w:rPr>
              <w:fldChar w:fldCharType="end"/>
            </w:r>
          </w:hyperlink>
        </w:p>
        <w:p w14:paraId="749EE08B" w14:textId="61F5FC3D" w:rsidR="00F81D8B" w:rsidRDefault="00F81D8B">
          <w:pPr>
            <w:pStyle w:val="TOC1"/>
            <w:tabs>
              <w:tab w:val="right" w:leader="dot" w:pos="9696"/>
            </w:tabs>
            <w:rPr>
              <w:noProof/>
            </w:rPr>
          </w:pPr>
          <w:hyperlink w:anchor="_Toc239326821" w:history="1">
            <w:r w:rsidRPr="001E0CBC">
              <w:rPr>
                <w:rStyle w:val="Hyperlink"/>
                <w:b/>
                <w:bCs/>
                <w:noProof/>
              </w:rPr>
              <w:t>2. Executive Summary</w:t>
            </w:r>
            <w:r>
              <w:rPr>
                <w:noProof/>
                <w:webHidden/>
              </w:rPr>
              <w:tab/>
            </w:r>
            <w:r>
              <w:rPr>
                <w:noProof/>
                <w:webHidden/>
              </w:rPr>
              <w:fldChar w:fldCharType="begin"/>
            </w:r>
            <w:r>
              <w:rPr>
                <w:noProof/>
                <w:webHidden/>
              </w:rPr>
              <w:instrText xml:space="preserve"> PAGEREF _Toc239326821 \h </w:instrText>
            </w:r>
            <w:r>
              <w:rPr>
                <w:noProof/>
                <w:webHidden/>
              </w:rPr>
            </w:r>
            <w:r>
              <w:rPr>
                <w:noProof/>
                <w:webHidden/>
              </w:rPr>
              <w:fldChar w:fldCharType="separate"/>
            </w:r>
            <w:r>
              <w:rPr>
                <w:noProof/>
                <w:webHidden/>
              </w:rPr>
              <w:t>3</w:t>
            </w:r>
            <w:r>
              <w:rPr>
                <w:noProof/>
                <w:webHidden/>
              </w:rPr>
              <w:fldChar w:fldCharType="end"/>
            </w:r>
          </w:hyperlink>
        </w:p>
        <w:p w14:paraId="0E1920B2" w14:textId="3F79CD56" w:rsidR="00F81D8B" w:rsidRDefault="00F81D8B">
          <w:pPr>
            <w:pStyle w:val="TOC1"/>
            <w:tabs>
              <w:tab w:val="right" w:leader="dot" w:pos="9696"/>
            </w:tabs>
            <w:rPr>
              <w:noProof/>
            </w:rPr>
          </w:pPr>
          <w:hyperlink w:anchor="_Toc239326822" w:history="1">
            <w:r w:rsidRPr="001E0CBC">
              <w:rPr>
                <w:rStyle w:val="Hyperlink"/>
                <w:b/>
                <w:bCs/>
                <w:noProof/>
              </w:rPr>
              <w:t>3. Business Objectives &amp; Vision</w:t>
            </w:r>
            <w:r>
              <w:rPr>
                <w:noProof/>
                <w:webHidden/>
              </w:rPr>
              <w:tab/>
            </w:r>
            <w:r>
              <w:rPr>
                <w:noProof/>
                <w:webHidden/>
              </w:rPr>
              <w:fldChar w:fldCharType="begin"/>
            </w:r>
            <w:r>
              <w:rPr>
                <w:noProof/>
                <w:webHidden/>
              </w:rPr>
              <w:instrText xml:space="preserve"> PAGEREF _Toc239326822 \h </w:instrText>
            </w:r>
            <w:r>
              <w:rPr>
                <w:noProof/>
                <w:webHidden/>
              </w:rPr>
            </w:r>
            <w:r>
              <w:rPr>
                <w:noProof/>
                <w:webHidden/>
              </w:rPr>
              <w:fldChar w:fldCharType="separate"/>
            </w:r>
            <w:r>
              <w:rPr>
                <w:noProof/>
                <w:webHidden/>
              </w:rPr>
              <w:t>4</w:t>
            </w:r>
            <w:r>
              <w:rPr>
                <w:noProof/>
                <w:webHidden/>
              </w:rPr>
              <w:fldChar w:fldCharType="end"/>
            </w:r>
          </w:hyperlink>
        </w:p>
        <w:p w14:paraId="75080B3A" w14:textId="79DD4788" w:rsidR="00F81D8B" w:rsidRDefault="00F81D8B">
          <w:pPr>
            <w:pStyle w:val="TOC1"/>
            <w:tabs>
              <w:tab w:val="right" w:leader="dot" w:pos="9696"/>
            </w:tabs>
            <w:rPr>
              <w:noProof/>
            </w:rPr>
          </w:pPr>
          <w:hyperlink w:anchor="_Toc239326823" w:history="1">
            <w:r w:rsidRPr="001E0CBC">
              <w:rPr>
                <w:rStyle w:val="Hyperlink"/>
                <w:b/>
                <w:bCs/>
                <w:noProof/>
              </w:rPr>
              <w:t>4. Stakeholders</w:t>
            </w:r>
            <w:r>
              <w:rPr>
                <w:noProof/>
                <w:webHidden/>
              </w:rPr>
              <w:tab/>
            </w:r>
            <w:r>
              <w:rPr>
                <w:noProof/>
                <w:webHidden/>
              </w:rPr>
              <w:fldChar w:fldCharType="begin"/>
            </w:r>
            <w:r>
              <w:rPr>
                <w:noProof/>
                <w:webHidden/>
              </w:rPr>
              <w:instrText xml:space="preserve"> PAGEREF _Toc239326823 \h </w:instrText>
            </w:r>
            <w:r>
              <w:rPr>
                <w:noProof/>
                <w:webHidden/>
              </w:rPr>
            </w:r>
            <w:r>
              <w:rPr>
                <w:noProof/>
                <w:webHidden/>
              </w:rPr>
              <w:fldChar w:fldCharType="separate"/>
            </w:r>
            <w:r>
              <w:rPr>
                <w:noProof/>
                <w:webHidden/>
              </w:rPr>
              <w:t>5</w:t>
            </w:r>
            <w:r>
              <w:rPr>
                <w:noProof/>
                <w:webHidden/>
              </w:rPr>
              <w:fldChar w:fldCharType="end"/>
            </w:r>
          </w:hyperlink>
        </w:p>
        <w:p w14:paraId="50A3A39C" w14:textId="7098856B" w:rsidR="00F81D8B" w:rsidRDefault="00F81D8B">
          <w:pPr>
            <w:pStyle w:val="TOC1"/>
            <w:tabs>
              <w:tab w:val="right" w:leader="dot" w:pos="9696"/>
            </w:tabs>
            <w:rPr>
              <w:noProof/>
            </w:rPr>
          </w:pPr>
          <w:hyperlink w:anchor="_Toc239326824" w:history="1">
            <w:r w:rsidRPr="001E0CBC">
              <w:rPr>
                <w:rStyle w:val="Hyperlink"/>
                <w:b/>
                <w:bCs/>
                <w:noProof/>
              </w:rPr>
              <w:t>5. Scope</w:t>
            </w:r>
            <w:r>
              <w:rPr>
                <w:noProof/>
                <w:webHidden/>
              </w:rPr>
              <w:tab/>
            </w:r>
            <w:r>
              <w:rPr>
                <w:noProof/>
                <w:webHidden/>
              </w:rPr>
              <w:fldChar w:fldCharType="begin"/>
            </w:r>
            <w:r>
              <w:rPr>
                <w:noProof/>
                <w:webHidden/>
              </w:rPr>
              <w:instrText xml:space="preserve"> PAGEREF _Toc239326824 \h </w:instrText>
            </w:r>
            <w:r>
              <w:rPr>
                <w:noProof/>
                <w:webHidden/>
              </w:rPr>
            </w:r>
            <w:r>
              <w:rPr>
                <w:noProof/>
                <w:webHidden/>
              </w:rPr>
              <w:fldChar w:fldCharType="separate"/>
            </w:r>
            <w:r>
              <w:rPr>
                <w:noProof/>
                <w:webHidden/>
              </w:rPr>
              <w:t>6</w:t>
            </w:r>
            <w:r>
              <w:rPr>
                <w:noProof/>
                <w:webHidden/>
              </w:rPr>
              <w:fldChar w:fldCharType="end"/>
            </w:r>
          </w:hyperlink>
        </w:p>
        <w:p w14:paraId="30C8751C" w14:textId="7E7398C9" w:rsidR="00F81D8B" w:rsidRDefault="00F81D8B">
          <w:pPr>
            <w:pStyle w:val="TOC2"/>
            <w:tabs>
              <w:tab w:val="right" w:leader="dot" w:pos="9696"/>
            </w:tabs>
            <w:rPr>
              <w:noProof/>
            </w:rPr>
          </w:pPr>
          <w:hyperlink w:anchor="_Toc239326825" w:history="1">
            <w:r w:rsidRPr="001E0CBC">
              <w:rPr>
                <w:rStyle w:val="Hyperlink"/>
                <w:b/>
                <w:bCs/>
                <w:noProof/>
              </w:rPr>
              <w:t>5.1 Out of Scope (Current Release)</w:t>
            </w:r>
            <w:r>
              <w:rPr>
                <w:noProof/>
                <w:webHidden/>
              </w:rPr>
              <w:tab/>
            </w:r>
            <w:r>
              <w:rPr>
                <w:noProof/>
                <w:webHidden/>
              </w:rPr>
              <w:fldChar w:fldCharType="begin"/>
            </w:r>
            <w:r>
              <w:rPr>
                <w:noProof/>
                <w:webHidden/>
              </w:rPr>
              <w:instrText xml:space="preserve"> PAGEREF _Toc239326825 \h </w:instrText>
            </w:r>
            <w:r>
              <w:rPr>
                <w:noProof/>
                <w:webHidden/>
              </w:rPr>
            </w:r>
            <w:r>
              <w:rPr>
                <w:noProof/>
                <w:webHidden/>
              </w:rPr>
              <w:fldChar w:fldCharType="separate"/>
            </w:r>
            <w:r>
              <w:rPr>
                <w:noProof/>
                <w:webHidden/>
              </w:rPr>
              <w:t>7</w:t>
            </w:r>
            <w:r>
              <w:rPr>
                <w:noProof/>
                <w:webHidden/>
              </w:rPr>
              <w:fldChar w:fldCharType="end"/>
            </w:r>
          </w:hyperlink>
        </w:p>
        <w:p w14:paraId="15417A0F" w14:textId="6662ADE6" w:rsidR="00F81D8B" w:rsidRDefault="00F81D8B">
          <w:pPr>
            <w:pStyle w:val="TOC1"/>
            <w:tabs>
              <w:tab w:val="right" w:leader="dot" w:pos="9696"/>
            </w:tabs>
            <w:rPr>
              <w:noProof/>
            </w:rPr>
          </w:pPr>
          <w:hyperlink w:anchor="_Toc239326826" w:history="1">
            <w:r w:rsidRPr="001E0CBC">
              <w:rPr>
                <w:rStyle w:val="Hyperlink"/>
                <w:b/>
                <w:bCs/>
                <w:noProof/>
              </w:rPr>
              <w:t>6. Business Requirements by Module</w:t>
            </w:r>
            <w:r>
              <w:rPr>
                <w:noProof/>
                <w:webHidden/>
              </w:rPr>
              <w:tab/>
            </w:r>
            <w:r>
              <w:rPr>
                <w:noProof/>
                <w:webHidden/>
              </w:rPr>
              <w:fldChar w:fldCharType="begin"/>
            </w:r>
            <w:r>
              <w:rPr>
                <w:noProof/>
                <w:webHidden/>
              </w:rPr>
              <w:instrText xml:space="preserve"> PAGEREF _Toc239326826 \h </w:instrText>
            </w:r>
            <w:r>
              <w:rPr>
                <w:noProof/>
                <w:webHidden/>
              </w:rPr>
            </w:r>
            <w:r>
              <w:rPr>
                <w:noProof/>
                <w:webHidden/>
              </w:rPr>
              <w:fldChar w:fldCharType="separate"/>
            </w:r>
            <w:r>
              <w:rPr>
                <w:noProof/>
                <w:webHidden/>
              </w:rPr>
              <w:t>7</w:t>
            </w:r>
            <w:r>
              <w:rPr>
                <w:noProof/>
                <w:webHidden/>
              </w:rPr>
              <w:fldChar w:fldCharType="end"/>
            </w:r>
          </w:hyperlink>
        </w:p>
        <w:p w14:paraId="0BF43E7C" w14:textId="56E6186A" w:rsidR="00F81D8B" w:rsidRDefault="00F81D8B">
          <w:pPr>
            <w:pStyle w:val="TOC3"/>
            <w:tabs>
              <w:tab w:val="right" w:leader="dot" w:pos="9696"/>
            </w:tabs>
            <w:rPr>
              <w:noProof/>
            </w:rPr>
          </w:pPr>
          <w:hyperlink w:anchor="_Toc239326827" w:history="1">
            <w:r w:rsidRPr="001E0CBC">
              <w:rPr>
                <w:rStyle w:val="Hyperlink"/>
                <w:b/>
                <w:bCs/>
                <w:noProof/>
              </w:rPr>
              <w:t>6.1 User Management</w:t>
            </w:r>
            <w:r>
              <w:rPr>
                <w:noProof/>
                <w:webHidden/>
              </w:rPr>
              <w:tab/>
            </w:r>
            <w:r>
              <w:rPr>
                <w:noProof/>
                <w:webHidden/>
              </w:rPr>
              <w:fldChar w:fldCharType="begin"/>
            </w:r>
            <w:r>
              <w:rPr>
                <w:noProof/>
                <w:webHidden/>
              </w:rPr>
              <w:instrText xml:space="preserve"> PAGEREF _Toc239326827 \h </w:instrText>
            </w:r>
            <w:r>
              <w:rPr>
                <w:noProof/>
                <w:webHidden/>
              </w:rPr>
            </w:r>
            <w:r>
              <w:rPr>
                <w:noProof/>
                <w:webHidden/>
              </w:rPr>
              <w:fldChar w:fldCharType="separate"/>
            </w:r>
            <w:r>
              <w:rPr>
                <w:noProof/>
                <w:webHidden/>
              </w:rPr>
              <w:t>8</w:t>
            </w:r>
            <w:r>
              <w:rPr>
                <w:noProof/>
                <w:webHidden/>
              </w:rPr>
              <w:fldChar w:fldCharType="end"/>
            </w:r>
          </w:hyperlink>
        </w:p>
        <w:p w14:paraId="340DD4E4" w14:textId="3DE6E892" w:rsidR="00F81D8B" w:rsidRDefault="00F81D8B">
          <w:pPr>
            <w:pStyle w:val="TOC3"/>
            <w:tabs>
              <w:tab w:val="right" w:leader="dot" w:pos="9696"/>
            </w:tabs>
            <w:rPr>
              <w:noProof/>
            </w:rPr>
          </w:pPr>
          <w:hyperlink w:anchor="_Toc239326828" w:history="1">
            <w:r w:rsidRPr="001E0CBC">
              <w:rPr>
                <w:rStyle w:val="Hyperlink"/>
                <w:b/>
                <w:bCs/>
                <w:noProof/>
              </w:rPr>
              <w:t>6.2 Event Planning (D1–D4 Framework)</w:t>
            </w:r>
            <w:r>
              <w:rPr>
                <w:noProof/>
                <w:webHidden/>
              </w:rPr>
              <w:tab/>
            </w:r>
            <w:r>
              <w:rPr>
                <w:noProof/>
                <w:webHidden/>
              </w:rPr>
              <w:fldChar w:fldCharType="begin"/>
            </w:r>
            <w:r>
              <w:rPr>
                <w:noProof/>
                <w:webHidden/>
              </w:rPr>
              <w:instrText xml:space="preserve"> PAGEREF _Toc239326828 \h </w:instrText>
            </w:r>
            <w:r>
              <w:rPr>
                <w:noProof/>
                <w:webHidden/>
              </w:rPr>
            </w:r>
            <w:r>
              <w:rPr>
                <w:noProof/>
                <w:webHidden/>
              </w:rPr>
              <w:fldChar w:fldCharType="separate"/>
            </w:r>
            <w:r>
              <w:rPr>
                <w:noProof/>
                <w:webHidden/>
              </w:rPr>
              <w:t>8</w:t>
            </w:r>
            <w:r>
              <w:rPr>
                <w:noProof/>
                <w:webHidden/>
              </w:rPr>
              <w:fldChar w:fldCharType="end"/>
            </w:r>
          </w:hyperlink>
        </w:p>
        <w:p w14:paraId="11AD115D" w14:textId="476CE0E5" w:rsidR="00F81D8B" w:rsidRDefault="00F81D8B">
          <w:pPr>
            <w:pStyle w:val="TOC3"/>
            <w:tabs>
              <w:tab w:val="right" w:leader="dot" w:pos="9696"/>
            </w:tabs>
            <w:rPr>
              <w:noProof/>
            </w:rPr>
          </w:pPr>
          <w:hyperlink w:anchor="_Toc239326829" w:history="1">
            <w:r w:rsidRPr="001E0CBC">
              <w:rPr>
                <w:rStyle w:val="Hyperlink"/>
                <w:b/>
                <w:bCs/>
                <w:noProof/>
              </w:rPr>
              <w:t>6.3 Polling System</w:t>
            </w:r>
            <w:r>
              <w:rPr>
                <w:noProof/>
                <w:webHidden/>
              </w:rPr>
              <w:tab/>
            </w:r>
            <w:r>
              <w:rPr>
                <w:noProof/>
                <w:webHidden/>
              </w:rPr>
              <w:fldChar w:fldCharType="begin"/>
            </w:r>
            <w:r>
              <w:rPr>
                <w:noProof/>
                <w:webHidden/>
              </w:rPr>
              <w:instrText xml:space="preserve"> PAGEREF _Toc239326829 \h </w:instrText>
            </w:r>
            <w:r>
              <w:rPr>
                <w:noProof/>
                <w:webHidden/>
              </w:rPr>
            </w:r>
            <w:r>
              <w:rPr>
                <w:noProof/>
                <w:webHidden/>
              </w:rPr>
              <w:fldChar w:fldCharType="separate"/>
            </w:r>
            <w:r>
              <w:rPr>
                <w:noProof/>
                <w:webHidden/>
              </w:rPr>
              <w:t>9</w:t>
            </w:r>
            <w:r>
              <w:rPr>
                <w:noProof/>
                <w:webHidden/>
              </w:rPr>
              <w:fldChar w:fldCharType="end"/>
            </w:r>
          </w:hyperlink>
        </w:p>
        <w:p w14:paraId="377FCACB" w14:textId="1431A3C4" w:rsidR="00F81D8B" w:rsidRDefault="00F81D8B">
          <w:pPr>
            <w:pStyle w:val="TOC3"/>
            <w:tabs>
              <w:tab w:val="right" w:leader="dot" w:pos="9696"/>
            </w:tabs>
            <w:rPr>
              <w:noProof/>
            </w:rPr>
          </w:pPr>
          <w:hyperlink w:anchor="_Toc239326830" w:history="1">
            <w:r w:rsidRPr="001E0CBC">
              <w:rPr>
                <w:rStyle w:val="Hyperlink"/>
                <w:b/>
                <w:bCs/>
                <w:noProof/>
              </w:rPr>
              <w:t>6.4 Cost Estimation Engine (CostGPT)</w:t>
            </w:r>
            <w:r>
              <w:rPr>
                <w:noProof/>
                <w:webHidden/>
              </w:rPr>
              <w:tab/>
            </w:r>
            <w:r>
              <w:rPr>
                <w:noProof/>
                <w:webHidden/>
              </w:rPr>
              <w:fldChar w:fldCharType="begin"/>
            </w:r>
            <w:r>
              <w:rPr>
                <w:noProof/>
                <w:webHidden/>
              </w:rPr>
              <w:instrText xml:space="preserve"> PAGEREF _Toc239326830 \h </w:instrText>
            </w:r>
            <w:r>
              <w:rPr>
                <w:noProof/>
                <w:webHidden/>
              </w:rPr>
            </w:r>
            <w:r>
              <w:rPr>
                <w:noProof/>
                <w:webHidden/>
              </w:rPr>
              <w:fldChar w:fldCharType="separate"/>
            </w:r>
            <w:r>
              <w:rPr>
                <w:noProof/>
                <w:webHidden/>
              </w:rPr>
              <w:t>9</w:t>
            </w:r>
            <w:r>
              <w:rPr>
                <w:noProof/>
                <w:webHidden/>
              </w:rPr>
              <w:fldChar w:fldCharType="end"/>
            </w:r>
          </w:hyperlink>
        </w:p>
        <w:p w14:paraId="3C939574" w14:textId="58A744A3" w:rsidR="00F81D8B" w:rsidRDefault="00F81D8B">
          <w:pPr>
            <w:pStyle w:val="TOC3"/>
            <w:tabs>
              <w:tab w:val="right" w:leader="dot" w:pos="9696"/>
            </w:tabs>
            <w:rPr>
              <w:noProof/>
            </w:rPr>
          </w:pPr>
          <w:hyperlink w:anchor="_Toc239326831" w:history="1">
            <w:r w:rsidRPr="001E0CBC">
              <w:rPr>
                <w:rStyle w:val="Hyperlink"/>
                <w:b/>
                <w:bCs/>
                <w:noProof/>
              </w:rPr>
              <w:t>6.5 Payment Management</w:t>
            </w:r>
            <w:r>
              <w:rPr>
                <w:noProof/>
                <w:webHidden/>
              </w:rPr>
              <w:tab/>
            </w:r>
            <w:r>
              <w:rPr>
                <w:noProof/>
                <w:webHidden/>
              </w:rPr>
              <w:fldChar w:fldCharType="begin"/>
            </w:r>
            <w:r>
              <w:rPr>
                <w:noProof/>
                <w:webHidden/>
              </w:rPr>
              <w:instrText xml:space="preserve"> PAGEREF _Toc239326831 \h </w:instrText>
            </w:r>
            <w:r>
              <w:rPr>
                <w:noProof/>
                <w:webHidden/>
              </w:rPr>
            </w:r>
            <w:r>
              <w:rPr>
                <w:noProof/>
                <w:webHidden/>
              </w:rPr>
              <w:fldChar w:fldCharType="separate"/>
            </w:r>
            <w:r>
              <w:rPr>
                <w:noProof/>
                <w:webHidden/>
              </w:rPr>
              <w:t>9</w:t>
            </w:r>
            <w:r>
              <w:rPr>
                <w:noProof/>
                <w:webHidden/>
              </w:rPr>
              <w:fldChar w:fldCharType="end"/>
            </w:r>
          </w:hyperlink>
        </w:p>
        <w:p w14:paraId="04D95677" w14:textId="54F6D665" w:rsidR="00F81D8B" w:rsidRDefault="00F81D8B">
          <w:pPr>
            <w:pStyle w:val="TOC3"/>
            <w:tabs>
              <w:tab w:val="right" w:leader="dot" w:pos="9696"/>
            </w:tabs>
            <w:rPr>
              <w:noProof/>
            </w:rPr>
          </w:pPr>
          <w:hyperlink w:anchor="_Toc239326832" w:history="1">
            <w:r w:rsidRPr="001E0CBC">
              <w:rPr>
                <w:rStyle w:val="Hyperlink"/>
                <w:b/>
                <w:bCs/>
                <w:noProof/>
              </w:rPr>
              <w:t>6.6 Notification System</w:t>
            </w:r>
            <w:r>
              <w:rPr>
                <w:noProof/>
                <w:webHidden/>
              </w:rPr>
              <w:tab/>
            </w:r>
            <w:r>
              <w:rPr>
                <w:noProof/>
                <w:webHidden/>
              </w:rPr>
              <w:fldChar w:fldCharType="begin"/>
            </w:r>
            <w:r>
              <w:rPr>
                <w:noProof/>
                <w:webHidden/>
              </w:rPr>
              <w:instrText xml:space="preserve"> PAGEREF _Toc239326832 \h </w:instrText>
            </w:r>
            <w:r>
              <w:rPr>
                <w:noProof/>
                <w:webHidden/>
              </w:rPr>
            </w:r>
            <w:r>
              <w:rPr>
                <w:noProof/>
                <w:webHidden/>
              </w:rPr>
              <w:fldChar w:fldCharType="separate"/>
            </w:r>
            <w:r>
              <w:rPr>
                <w:noProof/>
                <w:webHidden/>
              </w:rPr>
              <w:t>10</w:t>
            </w:r>
            <w:r>
              <w:rPr>
                <w:noProof/>
                <w:webHidden/>
              </w:rPr>
              <w:fldChar w:fldCharType="end"/>
            </w:r>
          </w:hyperlink>
        </w:p>
        <w:p w14:paraId="20D6C61C" w14:textId="389F3825" w:rsidR="00F81D8B" w:rsidRDefault="00F81D8B">
          <w:pPr>
            <w:pStyle w:val="TOC3"/>
            <w:tabs>
              <w:tab w:val="right" w:leader="dot" w:pos="9696"/>
            </w:tabs>
            <w:rPr>
              <w:noProof/>
            </w:rPr>
          </w:pPr>
          <w:hyperlink w:anchor="_Toc239326833" w:history="1">
            <w:r w:rsidRPr="001E0CBC">
              <w:rPr>
                <w:rStyle w:val="Hyperlink"/>
                <w:b/>
                <w:bCs/>
                <w:noProof/>
              </w:rPr>
              <w:t>6.7 Profile Builder</w:t>
            </w:r>
            <w:r>
              <w:rPr>
                <w:noProof/>
                <w:webHidden/>
              </w:rPr>
              <w:tab/>
            </w:r>
            <w:r>
              <w:rPr>
                <w:noProof/>
                <w:webHidden/>
              </w:rPr>
              <w:fldChar w:fldCharType="begin"/>
            </w:r>
            <w:r>
              <w:rPr>
                <w:noProof/>
                <w:webHidden/>
              </w:rPr>
              <w:instrText xml:space="preserve"> PAGEREF _Toc239326833 \h </w:instrText>
            </w:r>
            <w:r>
              <w:rPr>
                <w:noProof/>
                <w:webHidden/>
              </w:rPr>
            </w:r>
            <w:r>
              <w:rPr>
                <w:noProof/>
                <w:webHidden/>
              </w:rPr>
              <w:fldChar w:fldCharType="separate"/>
            </w:r>
            <w:r>
              <w:rPr>
                <w:noProof/>
                <w:webHidden/>
              </w:rPr>
              <w:t>10</w:t>
            </w:r>
            <w:r>
              <w:rPr>
                <w:noProof/>
                <w:webHidden/>
              </w:rPr>
              <w:fldChar w:fldCharType="end"/>
            </w:r>
          </w:hyperlink>
        </w:p>
        <w:p w14:paraId="6A7AE075" w14:textId="76897488" w:rsidR="00F81D8B" w:rsidRDefault="00F81D8B">
          <w:pPr>
            <w:pStyle w:val="TOC3"/>
            <w:tabs>
              <w:tab w:val="right" w:leader="dot" w:pos="9696"/>
            </w:tabs>
            <w:rPr>
              <w:noProof/>
            </w:rPr>
          </w:pPr>
          <w:hyperlink w:anchor="_Toc239326834" w:history="1">
            <w:r w:rsidRPr="001E0CBC">
              <w:rPr>
                <w:rStyle w:val="Hyperlink"/>
                <w:b/>
                <w:bCs/>
                <w:noProof/>
              </w:rPr>
              <w:t>6.8 Media Management</w:t>
            </w:r>
            <w:r>
              <w:rPr>
                <w:noProof/>
                <w:webHidden/>
              </w:rPr>
              <w:tab/>
            </w:r>
            <w:r>
              <w:rPr>
                <w:noProof/>
                <w:webHidden/>
              </w:rPr>
              <w:fldChar w:fldCharType="begin"/>
            </w:r>
            <w:r>
              <w:rPr>
                <w:noProof/>
                <w:webHidden/>
              </w:rPr>
              <w:instrText xml:space="preserve"> PAGEREF _Toc239326834 \h </w:instrText>
            </w:r>
            <w:r>
              <w:rPr>
                <w:noProof/>
                <w:webHidden/>
              </w:rPr>
            </w:r>
            <w:r>
              <w:rPr>
                <w:noProof/>
                <w:webHidden/>
              </w:rPr>
              <w:fldChar w:fldCharType="separate"/>
            </w:r>
            <w:r>
              <w:rPr>
                <w:noProof/>
                <w:webHidden/>
              </w:rPr>
              <w:t>11</w:t>
            </w:r>
            <w:r>
              <w:rPr>
                <w:noProof/>
                <w:webHidden/>
              </w:rPr>
              <w:fldChar w:fldCharType="end"/>
            </w:r>
          </w:hyperlink>
        </w:p>
        <w:p w14:paraId="0701E2DE" w14:textId="0015A7A2" w:rsidR="00F81D8B" w:rsidRDefault="00F81D8B">
          <w:pPr>
            <w:pStyle w:val="TOC3"/>
            <w:tabs>
              <w:tab w:val="right" w:leader="dot" w:pos="9696"/>
            </w:tabs>
            <w:rPr>
              <w:noProof/>
            </w:rPr>
          </w:pPr>
          <w:hyperlink w:anchor="_Toc239326835" w:history="1">
            <w:r w:rsidRPr="001E0CBC">
              <w:rPr>
                <w:rStyle w:val="Hyperlink"/>
                <w:b/>
                <w:bCs/>
                <w:noProof/>
              </w:rPr>
              <w:t>6.9 Golf Tournament Module (Standalone Add-On)</w:t>
            </w:r>
            <w:r>
              <w:rPr>
                <w:noProof/>
                <w:webHidden/>
              </w:rPr>
              <w:tab/>
            </w:r>
            <w:r>
              <w:rPr>
                <w:noProof/>
                <w:webHidden/>
              </w:rPr>
              <w:fldChar w:fldCharType="begin"/>
            </w:r>
            <w:r>
              <w:rPr>
                <w:noProof/>
                <w:webHidden/>
              </w:rPr>
              <w:instrText xml:space="preserve"> PAGEREF _Toc239326835 \h </w:instrText>
            </w:r>
            <w:r>
              <w:rPr>
                <w:noProof/>
                <w:webHidden/>
              </w:rPr>
            </w:r>
            <w:r>
              <w:rPr>
                <w:noProof/>
                <w:webHidden/>
              </w:rPr>
              <w:fldChar w:fldCharType="separate"/>
            </w:r>
            <w:r>
              <w:rPr>
                <w:noProof/>
                <w:webHidden/>
              </w:rPr>
              <w:t>11</w:t>
            </w:r>
            <w:r>
              <w:rPr>
                <w:noProof/>
                <w:webHidden/>
              </w:rPr>
              <w:fldChar w:fldCharType="end"/>
            </w:r>
          </w:hyperlink>
        </w:p>
        <w:p w14:paraId="6E690383" w14:textId="1C5C68C4" w:rsidR="00F81D8B" w:rsidRDefault="00F81D8B">
          <w:pPr>
            <w:pStyle w:val="TOC3"/>
            <w:tabs>
              <w:tab w:val="right" w:leader="dot" w:pos="9696"/>
            </w:tabs>
            <w:rPr>
              <w:noProof/>
            </w:rPr>
          </w:pPr>
          <w:hyperlink w:anchor="_Toc239326836" w:history="1">
            <w:r w:rsidRPr="001E0CBC">
              <w:rPr>
                <w:rStyle w:val="Hyperlink"/>
                <w:b/>
                <w:bCs/>
                <w:noProof/>
              </w:rPr>
              <w:t>6.10 Infrastructure (AWS Cloud Platform)</w:t>
            </w:r>
            <w:r>
              <w:rPr>
                <w:noProof/>
                <w:webHidden/>
              </w:rPr>
              <w:tab/>
            </w:r>
            <w:r>
              <w:rPr>
                <w:noProof/>
                <w:webHidden/>
              </w:rPr>
              <w:fldChar w:fldCharType="begin"/>
            </w:r>
            <w:r>
              <w:rPr>
                <w:noProof/>
                <w:webHidden/>
              </w:rPr>
              <w:instrText xml:space="preserve"> PAGEREF _Toc239326836 \h </w:instrText>
            </w:r>
            <w:r>
              <w:rPr>
                <w:noProof/>
                <w:webHidden/>
              </w:rPr>
            </w:r>
            <w:r>
              <w:rPr>
                <w:noProof/>
                <w:webHidden/>
              </w:rPr>
              <w:fldChar w:fldCharType="separate"/>
            </w:r>
            <w:r>
              <w:rPr>
                <w:noProof/>
                <w:webHidden/>
              </w:rPr>
              <w:t>11</w:t>
            </w:r>
            <w:r>
              <w:rPr>
                <w:noProof/>
                <w:webHidden/>
              </w:rPr>
              <w:fldChar w:fldCharType="end"/>
            </w:r>
          </w:hyperlink>
        </w:p>
        <w:p w14:paraId="4DB8A084" w14:textId="51790874" w:rsidR="00F81D8B" w:rsidRDefault="00F81D8B">
          <w:pPr>
            <w:pStyle w:val="TOC3"/>
            <w:tabs>
              <w:tab w:val="right" w:leader="dot" w:pos="9696"/>
            </w:tabs>
            <w:rPr>
              <w:noProof/>
            </w:rPr>
          </w:pPr>
          <w:hyperlink w:anchor="_Toc239326837" w:history="1">
            <w:r w:rsidRPr="001E0CBC">
              <w:rPr>
                <w:rStyle w:val="Hyperlink"/>
                <w:b/>
                <w:bCs/>
                <w:noProof/>
              </w:rPr>
              <w:t>6.11 Testing, QA &amp; Release Governance</w:t>
            </w:r>
            <w:r>
              <w:rPr>
                <w:noProof/>
                <w:webHidden/>
              </w:rPr>
              <w:tab/>
            </w:r>
            <w:r>
              <w:rPr>
                <w:noProof/>
                <w:webHidden/>
              </w:rPr>
              <w:fldChar w:fldCharType="begin"/>
            </w:r>
            <w:r>
              <w:rPr>
                <w:noProof/>
                <w:webHidden/>
              </w:rPr>
              <w:instrText xml:space="preserve"> PAGEREF _Toc239326837 \h </w:instrText>
            </w:r>
            <w:r>
              <w:rPr>
                <w:noProof/>
                <w:webHidden/>
              </w:rPr>
            </w:r>
            <w:r>
              <w:rPr>
                <w:noProof/>
                <w:webHidden/>
              </w:rPr>
              <w:fldChar w:fldCharType="separate"/>
            </w:r>
            <w:r>
              <w:rPr>
                <w:noProof/>
                <w:webHidden/>
              </w:rPr>
              <w:t>12</w:t>
            </w:r>
            <w:r>
              <w:rPr>
                <w:noProof/>
                <w:webHidden/>
              </w:rPr>
              <w:fldChar w:fldCharType="end"/>
            </w:r>
          </w:hyperlink>
        </w:p>
        <w:p w14:paraId="3EF2BF65" w14:textId="3F4EE9CB" w:rsidR="00F81D8B" w:rsidRDefault="00F81D8B">
          <w:pPr>
            <w:pStyle w:val="TOC3"/>
            <w:tabs>
              <w:tab w:val="right" w:leader="dot" w:pos="9696"/>
            </w:tabs>
            <w:rPr>
              <w:noProof/>
            </w:rPr>
          </w:pPr>
          <w:hyperlink w:anchor="_Toc239326838" w:history="1">
            <w:r w:rsidRPr="001E0CBC">
              <w:rPr>
                <w:rStyle w:val="Hyperlink"/>
                <w:b/>
                <w:bCs/>
                <w:noProof/>
              </w:rPr>
              <w:t>6.12 Security &amp; Compliance</w:t>
            </w:r>
            <w:r>
              <w:rPr>
                <w:noProof/>
                <w:webHidden/>
              </w:rPr>
              <w:tab/>
            </w:r>
            <w:r>
              <w:rPr>
                <w:noProof/>
                <w:webHidden/>
              </w:rPr>
              <w:fldChar w:fldCharType="begin"/>
            </w:r>
            <w:r>
              <w:rPr>
                <w:noProof/>
                <w:webHidden/>
              </w:rPr>
              <w:instrText xml:space="preserve"> PAGEREF _Toc239326838 \h </w:instrText>
            </w:r>
            <w:r>
              <w:rPr>
                <w:noProof/>
                <w:webHidden/>
              </w:rPr>
            </w:r>
            <w:r>
              <w:rPr>
                <w:noProof/>
                <w:webHidden/>
              </w:rPr>
              <w:fldChar w:fldCharType="separate"/>
            </w:r>
            <w:r>
              <w:rPr>
                <w:noProof/>
                <w:webHidden/>
              </w:rPr>
              <w:t>12</w:t>
            </w:r>
            <w:r>
              <w:rPr>
                <w:noProof/>
                <w:webHidden/>
              </w:rPr>
              <w:fldChar w:fldCharType="end"/>
            </w:r>
          </w:hyperlink>
        </w:p>
        <w:p w14:paraId="01A55E8F" w14:textId="32390381" w:rsidR="00F81D8B" w:rsidRDefault="00F81D8B">
          <w:pPr>
            <w:pStyle w:val="TOC1"/>
            <w:tabs>
              <w:tab w:val="right" w:leader="dot" w:pos="9696"/>
            </w:tabs>
            <w:rPr>
              <w:noProof/>
            </w:rPr>
          </w:pPr>
          <w:hyperlink w:anchor="_Toc239326839" w:history="1">
            <w:r w:rsidRPr="001E0CBC">
              <w:rPr>
                <w:rStyle w:val="Hyperlink"/>
                <w:b/>
                <w:bCs/>
                <w:noProof/>
              </w:rPr>
              <w:t>7. Confirmed Technology &amp; Vendor Partners</w:t>
            </w:r>
            <w:r>
              <w:rPr>
                <w:noProof/>
                <w:webHidden/>
              </w:rPr>
              <w:tab/>
            </w:r>
            <w:r>
              <w:rPr>
                <w:noProof/>
                <w:webHidden/>
              </w:rPr>
              <w:fldChar w:fldCharType="begin"/>
            </w:r>
            <w:r>
              <w:rPr>
                <w:noProof/>
                <w:webHidden/>
              </w:rPr>
              <w:instrText xml:space="preserve"> PAGEREF _Toc239326839 \h </w:instrText>
            </w:r>
            <w:r>
              <w:rPr>
                <w:noProof/>
                <w:webHidden/>
              </w:rPr>
            </w:r>
            <w:r>
              <w:rPr>
                <w:noProof/>
                <w:webHidden/>
              </w:rPr>
              <w:fldChar w:fldCharType="separate"/>
            </w:r>
            <w:r>
              <w:rPr>
                <w:noProof/>
                <w:webHidden/>
              </w:rPr>
              <w:t>13</w:t>
            </w:r>
            <w:r>
              <w:rPr>
                <w:noProof/>
                <w:webHidden/>
              </w:rPr>
              <w:fldChar w:fldCharType="end"/>
            </w:r>
          </w:hyperlink>
        </w:p>
        <w:p w14:paraId="402957C2" w14:textId="7E004F12" w:rsidR="00F81D8B" w:rsidRDefault="00F81D8B">
          <w:pPr>
            <w:pStyle w:val="TOC1"/>
            <w:tabs>
              <w:tab w:val="right" w:leader="dot" w:pos="9696"/>
            </w:tabs>
            <w:rPr>
              <w:noProof/>
            </w:rPr>
          </w:pPr>
          <w:hyperlink w:anchor="_Toc239326840" w:history="1">
            <w:r w:rsidRPr="001E0CBC">
              <w:rPr>
                <w:rStyle w:val="Hyperlink"/>
                <w:b/>
                <w:bCs/>
                <w:noProof/>
              </w:rPr>
              <w:t>8. Success Metrics / KPIs</w:t>
            </w:r>
            <w:r>
              <w:rPr>
                <w:noProof/>
                <w:webHidden/>
              </w:rPr>
              <w:tab/>
            </w:r>
            <w:r>
              <w:rPr>
                <w:noProof/>
                <w:webHidden/>
              </w:rPr>
              <w:fldChar w:fldCharType="begin"/>
            </w:r>
            <w:r>
              <w:rPr>
                <w:noProof/>
                <w:webHidden/>
              </w:rPr>
              <w:instrText xml:space="preserve"> PAGEREF _Toc239326840 \h </w:instrText>
            </w:r>
            <w:r>
              <w:rPr>
                <w:noProof/>
                <w:webHidden/>
              </w:rPr>
            </w:r>
            <w:r>
              <w:rPr>
                <w:noProof/>
                <w:webHidden/>
              </w:rPr>
              <w:fldChar w:fldCharType="separate"/>
            </w:r>
            <w:r>
              <w:rPr>
                <w:noProof/>
                <w:webHidden/>
              </w:rPr>
              <w:t>14</w:t>
            </w:r>
            <w:r>
              <w:rPr>
                <w:noProof/>
                <w:webHidden/>
              </w:rPr>
              <w:fldChar w:fldCharType="end"/>
            </w:r>
          </w:hyperlink>
        </w:p>
        <w:p w14:paraId="0D189615" w14:textId="5C952A75" w:rsidR="00F81D8B" w:rsidRDefault="00F81D8B">
          <w:pPr>
            <w:pStyle w:val="TOC1"/>
            <w:tabs>
              <w:tab w:val="right" w:leader="dot" w:pos="9696"/>
            </w:tabs>
            <w:rPr>
              <w:noProof/>
            </w:rPr>
          </w:pPr>
          <w:hyperlink w:anchor="_Toc239326841" w:history="1">
            <w:r w:rsidRPr="001E0CBC">
              <w:rPr>
                <w:rStyle w:val="Hyperlink"/>
                <w:b/>
                <w:bCs/>
                <w:noProof/>
              </w:rPr>
              <w:t>9. Assumptions &amp; Constraints</w:t>
            </w:r>
            <w:r>
              <w:rPr>
                <w:noProof/>
                <w:webHidden/>
              </w:rPr>
              <w:tab/>
            </w:r>
            <w:r>
              <w:rPr>
                <w:noProof/>
                <w:webHidden/>
              </w:rPr>
              <w:fldChar w:fldCharType="begin"/>
            </w:r>
            <w:r>
              <w:rPr>
                <w:noProof/>
                <w:webHidden/>
              </w:rPr>
              <w:instrText xml:space="preserve"> PAGEREF _Toc239326841 \h </w:instrText>
            </w:r>
            <w:r>
              <w:rPr>
                <w:noProof/>
                <w:webHidden/>
              </w:rPr>
            </w:r>
            <w:r>
              <w:rPr>
                <w:noProof/>
                <w:webHidden/>
              </w:rPr>
              <w:fldChar w:fldCharType="separate"/>
            </w:r>
            <w:r>
              <w:rPr>
                <w:noProof/>
                <w:webHidden/>
              </w:rPr>
              <w:t>15</w:t>
            </w:r>
            <w:r>
              <w:rPr>
                <w:noProof/>
                <w:webHidden/>
              </w:rPr>
              <w:fldChar w:fldCharType="end"/>
            </w:r>
          </w:hyperlink>
        </w:p>
        <w:p w14:paraId="03425217" w14:textId="21A3F50D" w:rsidR="00F81D8B" w:rsidRDefault="00F81D8B">
          <w:pPr>
            <w:pStyle w:val="TOC2"/>
            <w:tabs>
              <w:tab w:val="right" w:leader="dot" w:pos="9696"/>
            </w:tabs>
            <w:rPr>
              <w:noProof/>
            </w:rPr>
          </w:pPr>
          <w:hyperlink w:anchor="_Toc239326842" w:history="1">
            <w:r w:rsidRPr="001E0CBC">
              <w:rPr>
                <w:rStyle w:val="Hyperlink"/>
                <w:b/>
                <w:bCs/>
                <w:noProof/>
              </w:rPr>
              <w:t>9.1 Assumptions</w:t>
            </w:r>
            <w:r>
              <w:rPr>
                <w:noProof/>
                <w:webHidden/>
              </w:rPr>
              <w:tab/>
            </w:r>
            <w:r>
              <w:rPr>
                <w:noProof/>
                <w:webHidden/>
              </w:rPr>
              <w:fldChar w:fldCharType="begin"/>
            </w:r>
            <w:r>
              <w:rPr>
                <w:noProof/>
                <w:webHidden/>
              </w:rPr>
              <w:instrText xml:space="preserve"> PAGEREF _Toc239326842 \h </w:instrText>
            </w:r>
            <w:r>
              <w:rPr>
                <w:noProof/>
                <w:webHidden/>
              </w:rPr>
            </w:r>
            <w:r>
              <w:rPr>
                <w:noProof/>
                <w:webHidden/>
              </w:rPr>
              <w:fldChar w:fldCharType="separate"/>
            </w:r>
            <w:r>
              <w:rPr>
                <w:noProof/>
                <w:webHidden/>
              </w:rPr>
              <w:t>15</w:t>
            </w:r>
            <w:r>
              <w:rPr>
                <w:noProof/>
                <w:webHidden/>
              </w:rPr>
              <w:fldChar w:fldCharType="end"/>
            </w:r>
          </w:hyperlink>
        </w:p>
        <w:p w14:paraId="2253E126" w14:textId="61EE246A" w:rsidR="00F81D8B" w:rsidRDefault="00F81D8B">
          <w:pPr>
            <w:pStyle w:val="TOC2"/>
            <w:tabs>
              <w:tab w:val="right" w:leader="dot" w:pos="9696"/>
            </w:tabs>
            <w:rPr>
              <w:noProof/>
            </w:rPr>
          </w:pPr>
          <w:hyperlink w:anchor="_Toc239326843" w:history="1">
            <w:r w:rsidRPr="001E0CBC">
              <w:rPr>
                <w:rStyle w:val="Hyperlink"/>
                <w:b/>
                <w:bCs/>
                <w:noProof/>
              </w:rPr>
              <w:t>9.2 Constraints</w:t>
            </w:r>
            <w:r>
              <w:rPr>
                <w:noProof/>
                <w:webHidden/>
              </w:rPr>
              <w:tab/>
            </w:r>
            <w:r>
              <w:rPr>
                <w:noProof/>
                <w:webHidden/>
              </w:rPr>
              <w:fldChar w:fldCharType="begin"/>
            </w:r>
            <w:r>
              <w:rPr>
                <w:noProof/>
                <w:webHidden/>
              </w:rPr>
              <w:instrText xml:space="preserve"> PAGEREF _Toc239326843 \h </w:instrText>
            </w:r>
            <w:r>
              <w:rPr>
                <w:noProof/>
                <w:webHidden/>
              </w:rPr>
            </w:r>
            <w:r>
              <w:rPr>
                <w:noProof/>
                <w:webHidden/>
              </w:rPr>
              <w:fldChar w:fldCharType="separate"/>
            </w:r>
            <w:r>
              <w:rPr>
                <w:noProof/>
                <w:webHidden/>
              </w:rPr>
              <w:t>15</w:t>
            </w:r>
            <w:r>
              <w:rPr>
                <w:noProof/>
                <w:webHidden/>
              </w:rPr>
              <w:fldChar w:fldCharType="end"/>
            </w:r>
          </w:hyperlink>
        </w:p>
        <w:p w14:paraId="06F12968" w14:textId="4BE096E5" w:rsidR="00F81D8B" w:rsidRDefault="00F81D8B">
          <w:pPr>
            <w:pStyle w:val="TOC1"/>
            <w:tabs>
              <w:tab w:val="right" w:leader="dot" w:pos="9696"/>
            </w:tabs>
            <w:rPr>
              <w:noProof/>
            </w:rPr>
          </w:pPr>
          <w:hyperlink w:anchor="_Toc239326844" w:history="1">
            <w:r w:rsidRPr="001E0CBC">
              <w:rPr>
                <w:rStyle w:val="Hyperlink"/>
                <w:b/>
                <w:bCs/>
                <w:noProof/>
              </w:rPr>
              <w:t>10. Risks &amp; Open Business Decisions</w:t>
            </w:r>
            <w:r>
              <w:rPr>
                <w:noProof/>
                <w:webHidden/>
              </w:rPr>
              <w:tab/>
            </w:r>
            <w:r>
              <w:rPr>
                <w:noProof/>
                <w:webHidden/>
              </w:rPr>
              <w:fldChar w:fldCharType="begin"/>
            </w:r>
            <w:r>
              <w:rPr>
                <w:noProof/>
                <w:webHidden/>
              </w:rPr>
              <w:instrText xml:space="preserve"> PAGEREF _Toc239326844 \h </w:instrText>
            </w:r>
            <w:r>
              <w:rPr>
                <w:noProof/>
                <w:webHidden/>
              </w:rPr>
            </w:r>
            <w:r>
              <w:rPr>
                <w:noProof/>
                <w:webHidden/>
              </w:rPr>
              <w:fldChar w:fldCharType="separate"/>
            </w:r>
            <w:r>
              <w:rPr>
                <w:noProof/>
                <w:webHidden/>
              </w:rPr>
              <w:t>16</w:t>
            </w:r>
            <w:r>
              <w:rPr>
                <w:noProof/>
                <w:webHidden/>
              </w:rPr>
              <w:fldChar w:fldCharType="end"/>
            </w:r>
          </w:hyperlink>
        </w:p>
        <w:p w14:paraId="6CCE208B" w14:textId="4A75093F" w:rsidR="00F81D8B" w:rsidRDefault="00F81D8B">
          <w:pPr>
            <w:pStyle w:val="TOC2"/>
            <w:tabs>
              <w:tab w:val="right" w:leader="dot" w:pos="9696"/>
            </w:tabs>
            <w:rPr>
              <w:noProof/>
            </w:rPr>
          </w:pPr>
          <w:hyperlink w:anchor="_Toc239326845" w:history="1">
            <w:r w:rsidRPr="001E0CBC">
              <w:rPr>
                <w:rStyle w:val="Hyperlink"/>
                <w:b/>
                <w:bCs/>
                <w:noProof/>
              </w:rPr>
              <w:t>10.1 Highest-Impact Risk: Payment Custody</w:t>
            </w:r>
            <w:r>
              <w:rPr>
                <w:noProof/>
                <w:webHidden/>
              </w:rPr>
              <w:tab/>
            </w:r>
            <w:r>
              <w:rPr>
                <w:noProof/>
                <w:webHidden/>
              </w:rPr>
              <w:fldChar w:fldCharType="begin"/>
            </w:r>
            <w:r>
              <w:rPr>
                <w:noProof/>
                <w:webHidden/>
              </w:rPr>
              <w:instrText xml:space="preserve"> PAGEREF _Toc239326845 \h </w:instrText>
            </w:r>
            <w:r>
              <w:rPr>
                <w:noProof/>
                <w:webHidden/>
              </w:rPr>
            </w:r>
            <w:r>
              <w:rPr>
                <w:noProof/>
                <w:webHidden/>
              </w:rPr>
              <w:fldChar w:fldCharType="separate"/>
            </w:r>
            <w:r>
              <w:rPr>
                <w:noProof/>
                <w:webHidden/>
              </w:rPr>
              <w:t>17</w:t>
            </w:r>
            <w:r>
              <w:rPr>
                <w:noProof/>
                <w:webHidden/>
              </w:rPr>
              <w:fldChar w:fldCharType="end"/>
            </w:r>
          </w:hyperlink>
        </w:p>
        <w:p w14:paraId="3AC36351" w14:textId="568A3273" w:rsidR="00F81D8B" w:rsidRDefault="00F81D8B">
          <w:pPr>
            <w:pStyle w:val="TOC2"/>
            <w:tabs>
              <w:tab w:val="right" w:leader="dot" w:pos="9696"/>
            </w:tabs>
            <w:rPr>
              <w:noProof/>
            </w:rPr>
          </w:pPr>
          <w:hyperlink w:anchor="_Toc239326846" w:history="1">
            <w:r w:rsidRPr="001E0CBC">
              <w:rPr>
                <w:rStyle w:val="Hyperlink"/>
                <w:b/>
                <w:bCs/>
                <w:noProof/>
              </w:rPr>
              <w:t>10.2 Unscoped Priority: Billing Module</w:t>
            </w:r>
            <w:r>
              <w:rPr>
                <w:noProof/>
                <w:webHidden/>
              </w:rPr>
              <w:tab/>
            </w:r>
            <w:r>
              <w:rPr>
                <w:noProof/>
                <w:webHidden/>
              </w:rPr>
              <w:fldChar w:fldCharType="begin"/>
            </w:r>
            <w:r>
              <w:rPr>
                <w:noProof/>
                <w:webHidden/>
              </w:rPr>
              <w:instrText xml:space="preserve"> PAGEREF _Toc239326846 \h </w:instrText>
            </w:r>
            <w:r>
              <w:rPr>
                <w:noProof/>
                <w:webHidden/>
              </w:rPr>
            </w:r>
            <w:r>
              <w:rPr>
                <w:noProof/>
                <w:webHidden/>
              </w:rPr>
              <w:fldChar w:fldCharType="separate"/>
            </w:r>
            <w:r>
              <w:rPr>
                <w:noProof/>
                <w:webHidden/>
              </w:rPr>
              <w:t>17</w:t>
            </w:r>
            <w:r>
              <w:rPr>
                <w:noProof/>
                <w:webHidden/>
              </w:rPr>
              <w:fldChar w:fldCharType="end"/>
            </w:r>
          </w:hyperlink>
        </w:p>
        <w:p w14:paraId="74C5E6C6" w14:textId="362DA475" w:rsidR="00F81D8B" w:rsidRDefault="00F81D8B">
          <w:pPr>
            <w:pStyle w:val="TOC1"/>
            <w:tabs>
              <w:tab w:val="right" w:leader="dot" w:pos="9696"/>
            </w:tabs>
            <w:rPr>
              <w:noProof/>
            </w:rPr>
          </w:pPr>
          <w:hyperlink w:anchor="_Toc239326847" w:history="1">
            <w:r w:rsidRPr="001E0CBC">
              <w:rPr>
                <w:rStyle w:val="Hyperlink"/>
                <w:b/>
                <w:bCs/>
                <w:noProof/>
              </w:rPr>
              <w:t>11. Governance &amp; Documentation</w:t>
            </w:r>
            <w:r>
              <w:rPr>
                <w:noProof/>
                <w:webHidden/>
              </w:rPr>
              <w:tab/>
            </w:r>
            <w:r>
              <w:rPr>
                <w:noProof/>
                <w:webHidden/>
              </w:rPr>
              <w:fldChar w:fldCharType="begin"/>
            </w:r>
            <w:r>
              <w:rPr>
                <w:noProof/>
                <w:webHidden/>
              </w:rPr>
              <w:instrText xml:space="preserve"> PAGEREF _Toc239326847 \h </w:instrText>
            </w:r>
            <w:r>
              <w:rPr>
                <w:noProof/>
                <w:webHidden/>
              </w:rPr>
            </w:r>
            <w:r>
              <w:rPr>
                <w:noProof/>
                <w:webHidden/>
              </w:rPr>
              <w:fldChar w:fldCharType="separate"/>
            </w:r>
            <w:r>
              <w:rPr>
                <w:noProof/>
                <w:webHidden/>
              </w:rPr>
              <w:t>17</w:t>
            </w:r>
            <w:r>
              <w:rPr>
                <w:noProof/>
                <w:webHidden/>
              </w:rPr>
              <w:fldChar w:fldCharType="end"/>
            </w:r>
          </w:hyperlink>
        </w:p>
        <w:p w14:paraId="548DD3E9" w14:textId="100ADEE5" w:rsidR="00F81D8B" w:rsidRDefault="00F81D8B">
          <w:r>
            <w:rPr>
              <w:b/>
              <w:bCs/>
              <w:noProof/>
            </w:rPr>
            <w:fldChar w:fldCharType="end"/>
          </w:r>
        </w:p>
      </w:sdtContent>
    </w:sdt>
    <w:p w14:paraId="11F09FEA" w14:textId="77777777" w:rsidR="00F81D8B" w:rsidRDefault="00F81D8B">
      <w:pPr>
        <w:rPr>
          <w:b/>
          <w:bCs/>
          <w:color w:val="1F3864"/>
          <w:sz w:val="30"/>
          <w:szCs w:val="30"/>
        </w:rPr>
      </w:pPr>
      <w:r>
        <w:rPr>
          <w:b/>
          <w:bCs/>
          <w:color w:val="1F3864"/>
          <w:sz w:val="30"/>
          <w:szCs w:val="30"/>
        </w:rPr>
        <w:br w:type="page"/>
      </w:r>
    </w:p>
    <w:p w14:paraId="59F7E8D4" w14:textId="2F6006C6" w:rsidR="00A4743F" w:rsidRDefault="00000000">
      <w:pPr>
        <w:pStyle w:val="Heading1"/>
        <w:pBdr>
          <w:bottom w:val="single" w:sz="6" w:space="4" w:color="1F3864"/>
        </w:pBdr>
        <w:spacing w:before="480" w:after="240"/>
      </w:pPr>
      <w:bookmarkStart w:id="0" w:name="_Toc239326818"/>
      <w:r>
        <w:rPr>
          <w:b/>
          <w:bCs/>
          <w:color w:val="1F3864"/>
          <w:sz w:val="30"/>
          <w:szCs w:val="30"/>
        </w:rPr>
        <w:lastRenderedPageBreak/>
        <w:t>1. Document Control</w:t>
      </w:r>
      <w:bookmarkEnd w:id="0"/>
    </w:p>
    <w:p w14:paraId="59F7E8D5" w14:textId="77777777" w:rsidR="00A4743F" w:rsidRDefault="00000000">
      <w:pPr>
        <w:pStyle w:val="Heading2"/>
        <w:spacing w:before="320" w:after="160"/>
      </w:pPr>
      <w:bookmarkStart w:id="1" w:name="_Toc239326819"/>
      <w:r>
        <w:rPr>
          <w:b/>
          <w:bCs/>
          <w:color w:val="2E5395"/>
          <w:sz w:val="24"/>
          <w:szCs w:val="24"/>
        </w:rPr>
        <w:t>1.1 Document Information</w:t>
      </w:r>
      <w:bookmarkEnd w:id="1"/>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900"/>
      </w:tblGrid>
      <w:tr w:rsidR="00A4743F" w14:paraId="59F7E8D8"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59F7E8D6" w14:textId="77777777" w:rsidR="00A4743F" w:rsidRDefault="00000000">
            <w:r>
              <w:rPr>
                <w:b/>
                <w:bCs/>
                <w:color w:val="1F3864"/>
                <w:sz w:val="19"/>
                <w:szCs w:val="19"/>
              </w:rPr>
              <w:t>Field</w:t>
            </w:r>
          </w:p>
        </w:tc>
        <w:tc>
          <w:tcPr>
            <w:tcW w:w="6900" w:type="dxa"/>
            <w:shd w:val="clear" w:color="auto" w:fill="D9E2F3"/>
            <w:tcMar>
              <w:top w:w="80" w:type="dxa"/>
              <w:left w:w="100" w:type="dxa"/>
              <w:bottom w:w="80" w:type="dxa"/>
              <w:right w:w="100" w:type="dxa"/>
            </w:tcMar>
            <w:vAlign w:val="center"/>
          </w:tcPr>
          <w:p w14:paraId="59F7E8D7" w14:textId="77777777" w:rsidR="00A4743F" w:rsidRDefault="00000000">
            <w:r>
              <w:rPr>
                <w:b/>
                <w:bCs/>
                <w:color w:val="1F3864"/>
                <w:sz w:val="19"/>
                <w:szCs w:val="19"/>
              </w:rPr>
              <w:t>Detail</w:t>
            </w:r>
          </w:p>
        </w:tc>
      </w:tr>
      <w:tr w:rsidR="00A4743F" w14:paraId="59F7E8DB" w14:textId="77777777">
        <w:tblPrEx>
          <w:tblCellMar>
            <w:top w:w="0" w:type="dxa"/>
            <w:bottom w:w="0" w:type="dxa"/>
          </w:tblCellMar>
        </w:tblPrEx>
        <w:tc>
          <w:tcPr>
            <w:tcW w:w="2600" w:type="dxa"/>
            <w:tcMar>
              <w:top w:w="80" w:type="dxa"/>
              <w:left w:w="100" w:type="dxa"/>
              <w:bottom w:w="80" w:type="dxa"/>
              <w:right w:w="100" w:type="dxa"/>
            </w:tcMar>
            <w:vAlign w:val="center"/>
          </w:tcPr>
          <w:p w14:paraId="59F7E8D9" w14:textId="77777777" w:rsidR="00A4743F" w:rsidRDefault="00000000">
            <w:r>
              <w:rPr>
                <w:color w:val="222222"/>
                <w:sz w:val="19"/>
                <w:szCs w:val="19"/>
              </w:rPr>
              <w:t>Document Title</w:t>
            </w:r>
          </w:p>
        </w:tc>
        <w:tc>
          <w:tcPr>
            <w:tcW w:w="6900" w:type="dxa"/>
            <w:tcMar>
              <w:top w:w="80" w:type="dxa"/>
              <w:left w:w="100" w:type="dxa"/>
              <w:bottom w:w="80" w:type="dxa"/>
              <w:right w:w="100" w:type="dxa"/>
            </w:tcMar>
            <w:vAlign w:val="center"/>
          </w:tcPr>
          <w:p w14:paraId="59F7E8DA" w14:textId="77777777" w:rsidR="00A4743F" w:rsidRDefault="00000000">
            <w:proofErr w:type="spellStart"/>
            <w:r>
              <w:rPr>
                <w:color w:val="222222"/>
                <w:sz w:val="19"/>
                <w:szCs w:val="19"/>
              </w:rPr>
              <w:t>Alumnye</w:t>
            </w:r>
            <w:proofErr w:type="spellEnd"/>
            <w:r>
              <w:rPr>
                <w:color w:val="222222"/>
                <w:sz w:val="19"/>
                <w:szCs w:val="19"/>
              </w:rPr>
              <w:t xml:space="preserve"> Platform — Business Requirements Document</w:t>
            </w:r>
          </w:p>
        </w:tc>
      </w:tr>
      <w:tr w:rsidR="00A4743F" w14:paraId="59F7E8D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8DC" w14:textId="77777777" w:rsidR="00A4743F" w:rsidRDefault="00000000">
            <w:r>
              <w:rPr>
                <w:color w:val="222222"/>
                <w:sz w:val="19"/>
                <w:szCs w:val="19"/>
              </w:rPr>
              <w:t>Document Type</w:t>
            </w:r>
          </w:p>
        </w:tc>
        <w:tc>
          <w:tcPr>
            <w:tcW w:w="6900" w:type="dxa"/>
            <w:shd w:val="clear" w:color="auto" w:fill="F2F2F2"/>
            <w:tcMar>
              <w:top w:w="80" w:type="dxa"/>
              <w:left w:w="100" w:type="dxa"/>
              <w:bottom w:w="80" w:type="dxa"/>
              <w:right w:w="100" w:type="dxa"/>
            </w:tcMar>
            <w:vAlign w:val="center"/>
          </w:tcPr>
          <w:p w14:paraId="59F7E8DD" w14:textId="77777777" w:rsidR="00A4743F" w:rsidRDefault="00000000">
            <w:r>
              <w:rPr>
                <w:color w:val="222222"/>
                <w:sz w:val="19"/>
                <w:szCs w:val="19"/>
              </w:rPr>
              <w:t>Business Requirements Document (BRD)</w:t>
            </w:r>
          </w:p>
        </w:tc>
      </w:tr>
      <w:tr w:rsidR="00A4743F" w14:paraId="59F7E8E1" w14:textId="77777777">
        <w:tblPrEx>
          <w:tblCellMar>
            <w:top w:w="0" w:type="dxa"/>
            <w:bottom w:w="0" w:type="dxa"/>
          </w:tblCellMar>
        </w:tblPrEx>
        <w:tc>
          <w:tcPr>
            <w:tcW w:w="2600" w:type="dxa"/>
            <w:tcMar>
              <w:top w:w="80" w:type="dxa"/>
              <w:left w:w="100" w:type="dxa"/>
              <w:bottom w:w="80" w:type="dxa"/>
              <w:right w:w="100" w:type="dxa"/>
            </w:tcMar>
            <w:vAlign w:val="center"/>
          </w:tcPr>
          <w:p w14:paraId="59F7E8DF" w14:textId="77777777" w:rsidR="00A4743F" w:rsidRDefault="00000000">
            <w:r>
              <w:rPr>
                <w:color w:val="222222"/>
                <w:sz w:val="19"/>
                <w:szCs w:val="19"/>
              </w:rPr>
              <w:t>Version</w:t>
            </w:r>
          </w:p>
        </w:tc>
        <w:tc>
          <w:tcPr>
            <w:tcW w:w="6900" w:type="dxa"/>
            <w:tcMar>
              <w:top w:w="80" w:type="dxa"/>
              <w:left w:w="100" w:type="dxa"/>
              <w:bottom w:w="80" w:type="dxa"/>
              <w:right w:w="100" w:type="dxa"/>
            </w:tcMar>
            <w:vAlign w:val="center"/>
          </w:tcPr>
          <w:p w14:paraId="59F7E8E0" w14:textId="77777777" w:rsidR="00A4743F" w:rsidRDefault="00000000">
            <w:r>
              <w:rPr>
                <w:color w:val="222222"/>
                <w:sz w:val="19"/>
                <w:szCs w:val="19"/>
              </w:rPr>
              <w:t>1.0</w:t>
            </w:r>
          </w:p>
        </w:tc>
      </w:tr>
      <w:tr w:rsidR="00A4743F" w14:paraId="59F7E8E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8E2" w14:textId="77777777" w:rsidR="00A4743F" w:rsidRDefault="00000000">
            <w:r>
              <w:rPr>
                <w:color w:val="222222"/>
                <w:sz w:val="19"/>
                <w:szCs w:val="19"/>
              </w:rPr>
              <w:t>Status</w:t>
            </w:r>
          </w:p>
        </w:tc>
        <w:tc>
          <w:tcPr>
            <w:tcW w:w="6900" w:type="dxa"/>
            <w:shd w:val="clear" w:color="auto" w:fill="F2F2F2"/>
            <w:tcMar>
              <w:top w:w="80" w:type="dxa"/>
              <w:left w:w="100" w:type="dxa"/>
              <w:bottom w:w="80" w:type="dxa"/>
              <w:right w:w="100" w:type="dxa"/>
            </w:tcMar>
            <w:vAlign w:val="center"/>
          </w:tcPr>
          <w:p w14:paraId="59F7E8E3" w14:textId="77777777" w:rsidR="00A4743F" w:rsidRDefault="00000000">
            <w:r>
              <w:rPr>
                <w:color w:val="222222"/>
                <w:sz w:val="19"/>
                <w:szCs w:val="19"/>
              </w:rPr>
              <w:t>Draft — For Review</w:t>
            </w:r>
          </w:p>
        </w:tc>
      </w:tr>
      <w:tr w:rsidR="00A4743F" w14:paraId="59F7E8E7" w14:textId="77777777">
        <w:tblPrEx>
          <w:tblCellMar>
            <w:top w:w="0" w:type="dxa"/>
            <w:bottom w:w="0" w:type="dxa"/>
          </w:tblCellMar>
        </w:tblPrEx>
        <w:tc>
          <w:tcPr>
            <w:tcW w:w="2600" w:type="dxa"/>
            <w:tcMar>
              <w:top w:w="80" w:type="dxa"/>
              <w:left w:w="100" w:type="dxa"/>
              <w:bottom w:w="80" w:type="dxa"/>
              <w:right w:w="100" w:type="dxa"/>
            </w:tcMar>
            <w:vAlign w:val="center"/>
          </w:tcPr>
          <w:p w14:paraId="59F7E8E5" w14:textId="77777777" w:rsidR="00A4743F" w:rsidRDefault="00000000">
            <w:r>
              <w:rPr>
                <w:color w:val="222222"/>
                <w:sz w:val="19"/>
                <w:szCs w:val="19"/>
              </w:rPr>
              <w:t>Date</w:t>
            </w:r>
          </w:p>
        </w:tc>
        <w:tc>
          <w:tcPr>
            <w:tcW w:w="6900" w:type="dxa"/>
            <w:tcMar>
              <w:top w:w="80" w:type="dxa"/>
              <w:left w:w="100" w:type="dxa"/>
              <w:bottom w:w="80" w:type="dxa"/>
              <w:right w:w="100" w:type="dxa"/>
            </w:tcMar>
            <w:vAlign w:val="center"/>
          </w:tcPr>
          <w:p w14:paraId="59F7E8E6" w14:textId="77777777" w:rsidR="00A4743F" w:rsidRDefault="00000000">
            <w:r>
              <w:rPr>
                <w:color w:val="222222"/>
                <w:sz w:val="19"/>
                <w:szCs w:val="19"/>
              </w:rPr>
              <w:t>September 2026</w:t>
            </w:r>
          </w:p>
        </w:tc>
      </w:tr>
      <w:tr w:rsidR="00A4743F" w14:paraId="59F7E8E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8E8" w14:textId="77777777" w:rsidR="00A4743F" w:rsidRDefault="00000000">
            <w:r>
              <w:rPr>
                <w:color w:val="222222"/>
                <w:sz w:val="19"/>
                <w:szCs w:val="19"/>
              </w:rPr>
              <w:t>Prepared By</w:t>
            </w:r>
          </w:p>
        </w:tc>
        <w:tc>
          <w:tcPr>
            <w:tcW w:w="6900" w:type="dxa"/>
            <w:shd w:val="clear" w:color="auto" w:fill="F2F2F2"/>
            <w:tcMar>
              <w:top w:w="80" w:type="dxa"/>
              <w:left w:w="100" w:type="dxa"/>
              <w:bottom w:w="80" w:type="dxa"/>
              <w:right w:w="100" w:type="dxa"/>
            </w:tcMar>
            <w:vAlign w:val="center"/>
          </w:tcPr>
          <w:p w14:paraId="59F7E8E9" w14:textId="77777777" w:rsidR="00A4743F" w:rsidRDefault="00000000">
            <w:r>
              <w:rPr>
                <w:color w:val="222222"/>
                <w:sz w:val="19"/>
                <w:szCs w:val="19"/>
              </w:rPr>
              <w:t>Prodian Infotech Private Limited — Delivery Team (AI-assisted, consolidated from project records)</w:t>
            </w:r>
          </w:p>
        </w:tc>
      </w:tr>
      <w:tr w:rsidR="00A4743F" w14:paraId="59F7E8ED" w14:textId="77777777">
        <w:tblPrEx>
          <w:tblCellMar>
            <w:top w:w="0" w:type="dxa"/>
            <w:bottom w:w="0" w:type="dxa"/>
          </w:tblCellMar>
        </w:tblPrEx>
        <w:tc>
          <w:tcPr>
            <w:tcW w:w="2600" w:type="dxa"/>
            <w:tcMar>
              <w:top w:w="80" w:type="dxa"/>
              <w:left w:w="100" w:type="dxa"/>
              <w:bottom w:w="80" w:type="dxa"/>
              <w:right w:w="100" w:type="dxa"/>
            </w:tcMar>
            <w:vAlign w:val="center"/>
          </w:tcPr>
          <w:p w14:paraId="59F7E8EB" w14:textId="77777777" w:rsidR="00A4743F" w:rsidRDefault="00000000">
            <w:r>
              <w:rPr>
                <w:color w:val="222222"/>
                <w:sz w:val="19"/>
                <w:szCs w:val="19"/>
              </w:rPr>
              <w:t>Reviewed By</w:t>
            </w:r>
          </w:p>
        </w:tc>
        <w:tc>
          <w:tcPr>
            <w:tcW w:w="6900" w:type="dxa"/>
            <w:tcMar>
              <w:top w:w="80" w:type="dxa"/>
              <w:left w:w="100" w:type="dxa"/>
              <w:bottom w:w="80" w:type="dxa"/>
              <w:right w:w="100" w:type="dxa"/>
            </w:tcMar>
            <w:vAlign w:val="center"/>
          </w:tcPr>
          <w:p w14:paraId="59F7E8EC" w14:textId="77777777" w:rsidR="00A4743F" w:rsidRDefault="00000000">
            <w:r>
              <w:rPr>
                <w:color w:val="222222"/>
                <w:sz w:val="19"/>
                <w:szCs w:val="19"/>
              </w:rPr>
              <w:t xml:space="preserve">Indeevar (Client / Product Owner, </w:t>
            </w:r>
            <w:proofErr w:type="spellStart"/>
            <w:r>
              <w:rPr>
                <w:color w:val="222222"/>
                <w:sz w:val="19"/>
                <w:szCs w:val="19"/>
              </w:rPr>
              <w:t>Alumwhale</w:t>
            </w:r>
            <w:proofErr w:type="spellEnd"/>
            <w:r>
              <w:rPr>
                <w:color w:val="222222"/>
                <w:sz w:val="19"/>
                <w:szCs w:val="19"/>
              </w:rPr>
              <w:t>)</w:t>
            </w:r>
          </w:p>
        </w:tc>
      </w:tr>
      <w:tr w:rsidR="00A4743F" w14:paraId="59F7E8F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8EE" w14:textId="77777777" w:rsidR="00A4743F" w:rsidRDefault="00000000">
            <w:r>
              <w:rPr>
                <w:color w:val="222222"/>
                <w:sz w:val="19"/>
                <w:szCs w:val="19"/>
              </w:rPr>
              <w:t>Coverage Period</w:t>
            </w:r>
          </w:p>
        </w:tc>
        <w:tc>
          <w:tcPr>
            <w:tcW w:w="6900" w:type="dxa"/>
            <w:shd w:val="clear" w:color="auto" w:fill="F2F2F2"/>
            <w:tcMar>
              <w:top w:w="80" w:type="dxa"/>
              <w:left w:w="100" w:type="dxa"/>
              <w:bottom w:w="80" w:type="dxa"/>
              <w:right w:w="100" w:type="dxa"/>
            </w:tcMar>
            <w:vAlign w:val="center"/>
          </w:tcPr>
          <w:p w14:paraId="59F7E8EF" w14:textId="77777777" w:rsidR="00A4743F" w:rsidRDefault="00000000">
            <w:r>
              <w:rPr>
                <w:color w:val="222222"/>
                <w:sz w:val="19"/>
                <w:szCs w:val="19"/>
              </w:rPr>
              <w:t>10 March 2026 – Release v1.3.0 (30 August 2026)</w:t>
            </w:r>
          </w:p>
        </w:tc>
      </w:tr>
      <w:tr w:rsidR="00A4743F" w14:paraId="59F7E8FA" w14:textId="77777777">
        <w:tblPrEx>
          <w:tblCellMar>
            <w:top w:w="0" w:type="dxa"/>
            <w:bottom w:w="0" w:type="dxa"/>
          </w:tblCellMar>
        </w:tblPrEx>
        <w:tc>
          <w:tcPr>
            <w:tcW w:w="2600" w:type="dxa"/>
            <w:tcMar>
              <w:top w:w="80" w:type="dxa"/>
              <w:left w:w="100" w:type="dxa"/>
              <w:bottom w:w="80" w:type="dxa"/>
              <w:right w:w="100" w:type="dxa"/>
            </w:tcMar>
            <w:vAlign w:val="center"/>
          </w:tcPr>
          <w:p w14:paraId="59F7E8F1" w14:textId="77777777" w:rsidR="00A4743F" w:rsidRDefault="00000000">
            <w:r>
              <w:rPr>
                <w:b/>
                <w:bCs/>
                <w:color w:val="1F3864"/>
                <w:sz w:val="19"/>
                <w:szCs w:val="19"/>
              </w:rPr>
              <w:t>Reference Documents</w:t>
            </w:r>
          </w:p>
        </w:tc>
        <w:tc>
          <w:tcPr>
            <w:tcW w:w="6900" w:type="dxa"/>
            <w:tcMar>
              <w:top w:w="80" w:type="dxa"/>
              <w:left w:w="100" w:type="dxa"/>
              <w:bottom w:w="80" w:type="dxa"/>
              <w:right w:w="100" w:type="dxa"/>
            </w:tcMar>
          </w:tcPr>
          <w:p w14:paraId="59F7E8F2" w14:textId="77777777" w:rsidR="00A4743F" w:rsidRDefault="00000000">
            <w:pPr>
              <w:pStyle w:val="ListParagraph"/>
              <w:numPr>
                <w:ilvl w:val="0"/>
                <w:numId w:val="2"/>
              </w:numPr>
              <w:spacing w:after="60"/>
            </w:pPr>
            <w:r>
              <w:rPr>
                <w:sz w:val="18"/>
                <w:szCs w:val="18"/>
              </w:rPr>
              <w:t>Decision Records — Master Decision Register, v1.1 (105 decisions, 16 open items, domains A–M)</w:t>
            </w:r>
          </w:p>
          <w:p w14:paraId="59F7E8F3" w14:textId="77777777" w:rsidR="00A4743F" w:rsidRDefault="00000000">
            <w:pPr>
              <w:pStyle w:val="ListParagraph"/>
              <w:numPr>
                <w:ilvl w:val="0"/>
                <w:numId w:val="2"/>
              </w:numPr>
              <w:spacing w:after="60"/>
            </w:pPr>
            <w:proofErr w:type="spellStart"/>
            <w:r>
              <w:rPr>
                <w:sz w:val="18"/>
                <w:szCs w:val="18"/>
              </w:rPr>
              <w:t>Alumnye</w:t>
            </w:r>
            <w:proofErr w:type="spellEnd"/>
            <w:r>
              <w:rPr>
                <w:sz w:val="18"/>
                <w:szCs w:val="18"/>
              </w:rPr>
              <w:t xml:space="preserve"> Release version 1.3.0 – 30-Aug-26 – Release Notes</w:t>
            </w:r>
          </w:p>
          <w:p w14:paraId="59F7E8F4" w14:textId="77777777" w:rsidR="00A4743F" w:rsidRDefault="00000000">
            <w:pPr>
              <w:pStyle w:val="ListParagraph"/>
              <w:numPr>
                <w:ilvl w:val="0"/>
                <w:numId w:val="2"/>
              </w:numPr>
              <w:spacing w:after="60"/>
            </w:pPr>
            <w:r>
              <w:rPr>
                <w:sz w:val="18"/>
                <w:szCs w:val="18"/>
              </w:rPr>
              <w:t>Meeting Minutes (</w:t>
            </w:r>
            <w:proofErr w:type="spellStart"/>
            <w:r>
              <w:rPr>
                <w:sz w:val="18"/>
                <w:szCs w:val="18"/>
              </w:rPr>
              <w:t>MoMs</w:t>
            </w:r>
            <w:proofErr w:type="spellEnd"/>
            <w:r>
              <w:rPr>
                <w:sz w:val="18"/>
                <w:szCs w:val="18"/>
              </w:rPr>
              <w:t>), 10-Mar-26 through 25-Aug-26 (full series, including 24-Aug Sessions 1 &amp; 2, 14-Aug Golf Recalculation MoM &amp; Findings)</w:t>
            </w:r>
          </w:p>
          <w:p w14:paraId="59F7E8F5" w14:textId="77777777" w:rsidR="00A4743F" w:rsidRDefault="00000000">
            <w:pPr>
              <w:pStyle w:val="ListParagraph"/>
              <w:numPr>
                <w:ilvl w:val="0"/>
                <w:numId w:val="2"/>
              </w:numPr>
              <w:spacing w:after="60"/>
            </w:pPr>
            <w:proofErr w:type="spellStart"/>
            <w:r>
              <w:rPr>
                <w:sz w:val="18"/>
                <w:szCs w:val="18"/>
              </w:rPr>
              <w:t>Alumnye</w:t>
            </w:r>
            <w:proofErr w:type="spellEnd"/>
            <w:r>
              <w:rPr>
                <w:sz w:val="18"/>
                <w:szCs w:val="18"/>
              </w:rPr>
              <w:t xml:space="preserve"> Master Product Notes v1.9 (26-Jun-26) — last fully consolidated Master Product Notes</w:t>
            </w:r>
          </w:p>
          <w:p w14:paraId="59F7E8F6" w14:textId="77777777" w:rsidR="00A4743F" w:rsidRDefault="00000000">
            <w:pPr>
              <w:pStyle w:val="ListParagraph"/>
              <w:numPr>
                <w:ilvl w:val="0"/>
                <w:numId w:val="2"/>
              </w:numPr>
              <w:spacing w:after="60"/>
            </w:pPr>
            <w:proofErr w:type="spellStart"/>
            <w:r>
              <w:rPr>
                <w:sz w:val="18"/>
                <w:szCs w:val="18"/>
              </w:rPr>
              <w:t>Alumnye</w:t>
            </w:r>
            <w:proofErr w:type="spellEnd"/>
            <w:r>
              <w:rPr>
                <w:sz w:val="18"/>
                <w:szCs w:val="18"/>
              </w:rPr>
              <w:t xml:space="preserve"> Mobile Product Walkthrough v1.2 (08-Jul-26)</w:t>
            </w:r>
          </w:p>
          <w:p w14:paraId="59F7E8F7" w14:textId="77777777" w:rsidR="00A4743F" w:rsidRDefault="00000000">
            <w:pPr>
              <w:pStyle w:val="ListParagraph"/>
              <w:numPr>
                <w:ilvl w:val="0"/>
                <w:numId w:val="2"/>
              </w:numPr>
              <w:spacing w:after="60"/>
            </w:pPr>
            <w:proofErr w:type="spellStart"/>
            <w:r>
              <w:rPr>
                <w:sz w:val="18"/>
                <w:szCs w:val="18"/>
              </w:rPr>
              <w:t>Alumnye</w:t>
            </w:r>
            <w:proofErr w:type="spellEnd"/>
            <w:r>
              <w:rPr>
                <w:sz w:val="18"/>
                <w:szCs w:val="18"/>
              </w:rPr>
              <w:t xml:space="preserve"> Web Product Walkthrough v1.0 (14-Aug-26 production note)</w:t>
            </w:r>
          </w:p>
          <w:p w14:paraId="59F7E8F8" w14:textId="77777777" w:rsidR="00A4743F" w:rsidRDefault="00000000">
            <w:pPr>
              <w:pStyle w:val="ListParagraph"/>
              <w:numPr>
                <w:ilvl w:val="0"/>
                <w:numId w:val="2"/>
              </w:numPr>
              <w:spacing w:after="60"/>
            </w:pPr>
            <w:proofErr w:type="spellStart"/>
            <w:r>
              <w:rPr>
                <w:sz w:val="18"/>
                <w:szCs w:val="18"/>
              </w:rPr>
              <w:t>Alumnye</w:t>
            </w:r>
            <w:proofErr w:type="spellEnd"/>
            <w:r>
              <w:rPr>
                <w:sz w:val="18"/>
                <w:szCs w:val="18"/>
              </w:rPr>
              <w:t xml:space="preserve"> Post-Go-Live Checklist v1.0</w:t>
            </w:r>
          </w:p>
          <w:p w14:paraId="59F7E8F9" w14:textId="77777777" w:rsidR="00A4743F" w:rsidRDefault="00000000">
            <w:pPr>
              <w:pStyle w:val="ListParagraph"/>
              <w:numPr>
                <w:ilvl w:val="0"/>
                <w:numId w:val="2"/>
              </w:numPr>
              <w:spacing w:after="60"/>
            </w:pPr>
            <w:r>
              <w:rPr>
                <w:sz w:val="18"/>
                <w:szCs w:val="18"/>
              </w:rPr>
              <w:t>Notes for Design – Prodian.docx (CSGI40 Goa reunion background, client's prior manual process, 2025)</w:t>
            </w:r>
          </w:p>
        </w:tc>
      </w:tr>
    </w:tbl>
    <w:p w14:paraId="59F7E8FB" w14:textId="77777777" w:rsidR="00A4743F" w:rsidRDefault="00A4743F">
      <w:pPr>
        <w:spacing w:after="240"/>
      </w:pPr>
    </w:p>
    <w:p w14:paraId="59F7E8FC" w14:textId="77777777" w:rsidR="00A4743F" w:rsidRDefault="00000000">
      <w:pPr>
        <w:pStyle w:val="Heading2"/>
        <w:spacing w:before="320" w:after="160"/>
      </w:pPr>
      <w:bookmarkStart w:id="2" w:name="_Toc239326820"/>
      <w:r>
        <w:rPr>
          <w:b/>
          <w:bCs/>
          <w:color w:val="2E5395"/>
          <w:sz w:val="24"/>
          <w:szCs w:val="24"/>
        </w:rPr>
        <w:t>1.2 Revision History</w:t>
      </w:r>
      <w:bookmarkEnd w:id="2"/>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00"/>
        <w:gridCol w:w="1800"/>
        <w:gridCol w:w="4900"/>
        <w:gridCol w:w="1600"/>
      </w:tblGrid>
      <w:tr w:rsidR="00A4743F" w14:paraId="59F7E901" w14:textId="77777777">
        <w:tblPrEx>
          <w:tblCellMar>
            <w:top w:w="0" w:type="dxa"/>
            <w:bottom w:w="0" w:type="dxa"/>
          </w:tblCellMar>
        </w:tblPrEx>
        <w:trPr>
          <w:tblHeader/>
        </w:trPr>
        <w:tc>
          <w:tcPr>
            <w:tcW w:w="1200" w:type="dxa"/>
            <w:shd w:val="clear" w:color="auto" w:fill="D9E2F3"/>
            <w:tcMar>
              <w:top w:w="80" w:type="dxa"/>
              <w:left w:w="100" w:type="dxa"/>
              <w:bottom w:w="80" w:type="dxa"/>
              <w:right w:w="100" w:type="dxa"/>
            </w:tcMar>
            <w:vAlign w:val="center"/>
          </w:tcPr>
          <w:p w14:paraId="59F7E8FD" w14:textId="77777777" w:rsidR="00A4743F" w:rsidRDefault="00000000">
            <w:r>
              <w:rPr>
                <w:b/>
                <w:bCs/>
                <w:color w:val="1F3864"/>
                <w:sz w:val="19"/>
                <w:szCs w:val="19"/>
              </w:rPr>
              <w:t>Version</w:t>
            </w:r>
          </w:p>
        </w:tc>
        <w:tc>
          <w:tcPr>
            <w:tcW w:w="1800" w:type="dxa"/>
            <w:shd w:val="clear" w:color="auto" w:fill="D9E2F3"/>
            <w:tcMar>
              <w:top w:w="80" w:type="dxa"/>
              <w:left w:w="100" w:type="dxa"/>
              <w:bottom w:w="80" w:type="dxa"/>
              <w:right w:w="100" w:type="dxa"/>
            </w:tcMar>
            <w:vAlign w:val="center"/>
          </w:tcPr>
          <w:p w14:paraId="59F7E8FE" w14:textId="77777777" w:rsidR="00A4743F" w:rsidRDefault="00000000">
            <w:r>
              <w:rPr>
                <w:b/>
                <w:bCs/>
                <w:color w:val="1F3864"/>
                <w:sz w:val="19"/>
                <w:szCs w:val="19"/>
              </w:rPr>
              <w:t>Date</w:t>
            </w:r>
          </w:p>
        </w:tc>
        <w:tc>
          <w:tcPr>
            <w:tcW w:w="4900" w:type="dxa"/>
            <w:shd w:val="clear" w:color="auto" w:fill="D9E2F3"/>
            <w:tcMar>
              <w:top w:w="80" w:type="dxa"/>
              <w:left w:w="100" w:type="dxa"/>
              <w:bottom w:w="80" w:type="dxa"/>
              <w:right w:w="100" w:type="dxa"/>
            </w:tcMar>
            <w:vAlign w:val="center"/>
          </w:tcPr>
          <w:p w14:paraId="59F7E8FF" w14:textId="77777777" w:rsidR="00A4743F" w:rsidRDefault="00000000">
            <w:r>
              <w:rPr>
                <w:b/>
                <w:bCs/>
                <w:color w:val="1F3864"/>
                <w:sz w:val="19"/>
                <w:szCs w:val="19"/>
              </w:rPr>
              <w:t>Description</w:t>
            </w:r>
          </w:p>
        </w:tc>
        <w:tc>
          <w:tcPr>
            <w:tcW w:w="1600" w:type="dxa"/>
            <w:shd w:val="clear" w:color="auto" w:fill="D9E2F3"/>
            <w:tcMar>
              <w:top w:w="80" w:type="dxa"/>
              <w:left w:w="100" w:type="dxa"/>
              <w:bottom w:w="80" w:type="dxa"/>
              <w:right w:w="100" w:type="dxa"/>
            </w:tcMar>
            <w:vAlign w:val="center"/>
          </w:tcPr>
          <w:p w14:paraId="59F7E900" w14:textId="77777777" w:rsidR="00A4743F" w:rsidRDefault="00000000">
            <w:r>
              <w:rPr>
                <w:b/>
                <w:bCs/>
                <w:color w:val="1F3864"/>
                <w:sz w:val="19"/>
                <w:szCs w:val="19"/>
              </w:rPr>
              <w:t>Author</w:t>
            </w:r>
          </w:p>
        </w:tc>
      </w:tr>
      <w:tr w:rsidR="00A4743F" w14:paraId="59F7E906" w14:textId="77777777">
        <w:tblPrEx>
          <w:tblCellMar>
            <w:top w:w="0" w:type="dxa"/>
            <w:bottom w:w="0" w:type="dxa"/>
          </w:tblCellMar>
        </w:tblPrEx>
        <w:tc>
          <w:tcPr>
            <w:tcW w:w="1200" w:type="dxa"/>
            <w:tcMar>
              <w:top w:w="80" w:type="dxa"/>
              <w:left w:w="100" w:type="dxa"/>
              <w:bottom w:w="80" w:type="dxa"/>
              <w:right w:w="100" w:type="dxa"/>
            </w:tcMar>
            <w:vAlign w:val="center"/>
          </w:tcPr>
          <w:p w14:paraId="59F7E902" w14:textId="77777777" w:rsidR="00A4743F" w:rsidRDefault="00000000">
            <w:r>
              <w:rPr>
                <w:color w:val="222222"/>
                <w:sz w:val="19"/>
                <w:szCs w:val="19"/>
              </w:rPr>
              <w:t>1.0</w:t>
            </w:r>
          </w:p>
        </w:tc>
        <w:tc>
          <w:tcPr>
            <w:tcW w:w="1800" w:type="dxa"/>
            <w:tcMar>
              <w:top w:w="80" w:type="dxa"/>
              <w:left w:w="100" w:type="dxa"/>
              <w:bottom w:w="80" w:type="dxa"/>
              <w:right w:w="100" w:type="dxa"/>
            </w:tcMar>
            <w:vAlign w:val="center"/>
          </w:tcPr>
          <w:p w14:paraId="59F7E903" w14:textId="77777777" w:rsidR="00A4743F" w:rsidRDefault="00000000">
            <w:r>
              <w:rPr>
                <w:color w:val="222222"/>
                <w:sz w:val="19"/>
                <w:szCs w:val="19"/>
              </w:rPr>
              <w:t>September 2026</w:t>
            </w:r>
          </w:p>
        </w:tc>
        <w:tc>
          <w:tcPr>
            <w:tcW w:w="4900" w:type="dxa"/>
            <w:tcMar>
              <w:top w:w="80" w:type="dxa"/>
              <w:left w:w="100" w:type="dxa"/>
              <w:bottom w:w="80" w:type="dxa"/>
              <w:right w:w="100" w:type="dxa"/>
            </w:tcMar>
            <w:vAlign w:val="center"/>
          </w:tcPr>
          <w:p w14:paraId="59F7E904" w14:textId="77777777" w:rsidR="00A4743F" w:rsidRDefault="00000000">
            <w:r>
              <w:rPr>
                <w:color w:val="222222"/>
                <w:sz w:val="19"/>
                <w:szCs w:val="19"/>
              </w:rPr>
              <w:t>Initial consolidated BRD covering project inception through Release v1.3.0</w:t>
            </w:r>
          </w:p>
        </w:tc>
        <w:tc>
          <w:tcPr>
            <w:tcW w:w="1600" w:type="dxa"/>
            <w:tcMar>
              <w:top w:w="80" w:type="dxa"/>
              <w:left w:w="100" w:type="dxa"/>
              <w:bottom w:w="80" w:type="dxa"/>
              <w:right w:w="100" w:type="dxa"/>
            </w:tcMar>
            <w:vAlign w:val="center"/>
          </w:tcPr>
          <w:p w14:paraId="59F7E905" w14:textId="77777777" w:rsidR="00A4743F" w:rsidRDefault="00000000">
            <w:r>
              <w:rPr>
                <w:color w:val="222222"/>
                <w:sz w:val="19"/>
                <w:szCs w:val="19"/>
              </w:rPr>
              <w:t>Prodian Infotech</w:t>
            </w:r>
          </w:p>
        </w:tc>
      </w:tr>
    </w:tbl>
    <w:p w14:paraId="59F7E907" w14:textId="77777777" w:rsidR="00A4743F" w:rsidRDefault="00000000">
      <w:pPr>
        <w:pStyle w:val="Heading1"/>
        <w:pBdr>
          <w:bottom w:val="single" w:sz="6" w:space="4" w:color="1F3864"/>
        </w:pBdr>
        <w:spacing w:before="480" w:after="240"/>
      </w:pPr>
      <w:bookmarkStart w:id="3" w:name="_Toc239326821"/>
      <w:r>
        <w:rPr>
          <w:b/>
          <w:bCs/>
          <w:color w:val="1F3864"/>
          <w:sz w:val="30"/>
          <w:szCs w:val="30"/>
        </w:rPr>
        <w:t>2. Executive Summary</w:t>
      </w:r>
      <w:bookmarkEnd w:id="3"/>
    </w:p>
    <w:p w14:paraId="59F7E908" w14:textId="77777777" w:rsidR="00A4743F" w:rsidRDefault="00000000">
      <w:pPr>
        <w:spacing w:after="180" w:line="276" w:lineRule="auto"/>
        <w:jc w:val="both"/>
      </w:pPr>
      <w:proofErr w:type="spellStart"/>
      <w:r>
        <w:t>Alumnye</w:t>
      </w:r>
      <w:proofErr w:type="spellEnd"/>
      <w:r>
        <w:t xml:space="preserve"> is an alumni engagement and event-management platform being built by Prodian Infotech Private Limited for client Indeevar (referred to across project records as “</w:t>
      </w:r>
      <w:proofErr w:type="spellStart"/>
      <w:r>
        <w:t>Alumwhale</w:t>
      </w:r>
      <w:proofErr w:type="spellEnd"/>
      <w:r>
        <w:t>”). The platform gives alumni communities — school, college, workplace, or interest-based cohorts — a structured, poll-driven way to plan reunions and events, in place of the ad hoc mix of chat groups, spreadsheets, and manual payment links most alumni groups rely on today.</w:t>
      </w:r>
    </w:p>
    <w:p w14:paraId="59F7E909" w14:textId="77777777" w:rsidR="00A4743F" w:rsidRDefault="00000000">
      <w:pPr>
        <w:spacing w:after="180" w:line="276" w:lineRule="auto"/>
        <w:jc w:val="both"/>
      </w:pPr>
      <w:r>
        <w:t xml:space="preserve">The problem </w:t>
      </w:r>
      <w:proofErr w:type="spellStart"/>
      <w:r>
        <w:t>Alumnye</w:t>
      </w:r>
      <w:proofErr w:type="spellEnd"/>
      <w:r>
        <w:t xml:space="preserve"> exists to solve is stated plainly in the project's own framing: </w:t>
      </w:r>
      <w:r>
        <w:rPr>
          <w:i/>
          <w:iCs/>
        </w:rPr>
        <w:t xml:space="preserve">“9 out of 10 reunions don’t actually happen.” </w:t>
      </w:r>
      <w:r>
        <w:t xml:space="preserve">Reunions stall not for lack of enthusiasm but for lack of a workable coordination mechanism — no easy way to converge a group on dates, destination, duration and budget; no reliable way to track who is actually coming; no simple way to estimate and collect costs; and no dependable channel to keep everyone informed. This </w:t>
      </w:r>
      <w:r>
        <w:lastRenderedPageBreak/>
        <w:t xml:space="preserve">is not a hypothetical: the client's own prior manual attempt to run a real reunion (CSGI40 at Taj Exotica, Goa, 27–29 March 2026) used evite.com invitations, a personal WhatsApp number for coordination, spreadsheet-based RSVP tracking, and a separate payment link — and surfaced exactly the friction (WhatsApp number bans at volume, no real-time RSVP acknowledgement, manual reconciliation) that </w:t>
      </w:r>
      <w:proofErr w:type="spellStart"/>
      <w:r>
        <w:t>Alumnye's</w:t>
      </w:r>
      <w:proofErr w:type="spellEnd"/>
      <w:r>
        <w:t xml:space="preserve"> core features (structured polling, an in-app RSVP tracker, invite deep links, and payment tracking) are designed to remove.</w:t>
      </w:r>
    </w:p>
    <w:p w14:paraId="59F7E90A" w14:textId="77777777" w:rsidR="00A4743F" w:rsidRDefault="00000000">
      <w:pPr>
        <w:spacing w:after="180" w:line="276" w:lineRule="auto"/>
        <w:jc w:val="both"/>
      </w:pPr>
      <w:proofErr w:type="spellStart"/>
      <w:r>
        <w:t>Alumnye's</w:t>
      </w:r>
      <w:proofErr w:type="spellEnd"/>
      <w:r>
        <w:t xml:space="preserve"> value proposition rests on four pillars: </w:t>
      </w:r>
      <w:r>
        <w:rPr>
          <w:b/>
          <w:bCs/>
        </w:rPr>
        <w:t>poll-driven decision-making</w:t>
      </w:r>
      <w:r>
        <w:t xml:space="preserve"> that converges a group toward dates, duration, destination and budget through a structured question set rather than open-ended debate; </w:t>
      </w:r>
      <w:r>
        <w:rPr>
          <w:b/>
          <w:bCs/>
        </w:rPr>
        <w:t>AI-assisted cost estimation</w:t>
      </w:r>
      <w:r>
        <w:t xml:space="preserve"> (</w:t>
      </w:r>
      <w:proofErr w:type="spellStart"/>
      <w:r>
        <w:t>CostGPT</w:t>
      </w:r>
      <w:proofErr w:type="spellEnd"/>
      <w:r>
        <w:t xml:space="preserve">) that lets an event Anchor generate a defensible cost estimate without leaving the app or exposing the group to an unmanaged external AI tool; </w:t>
      </w:r>
      <w:r>
        <w:rPr>
          <w:b/>
          <w:bCs/>
        </w:rPr>
        <w:t>structured payment tracking</w:t>
      </w:r>
      <w:r>
        <w:t xml:space="preserve"> that gives Anchors and Members shared visibility into who owes what and who has paid; and </w:t>
      </w:r>
      <w:r>
        <w:rPr>
          <w:b/>
          <w:bCs/>
        </w:rPr>
        <w:t>AI-assisted profile enrichment</w:t>
      </w:r>
      <w:r>
        <w:t xml:space="preserve"> that helps members build a professional profile with minimal manual effort, strengthening the platform's underlying engagement and networking value.</w:t>
      </w:r>
    </w:p>
    <w:p w14:paraId="59F7E90B" w14:textId="77777777" w:rsidR="00A4743F" w:rsidRDefault="00000000">
      <w:pPr>
        <w:spacing w:after="180" w:line="276" w:lineRule="auto"/>
        <w:jc w:val="both"/>
      </w:pPr>
      <w:r>
        <w:t xml:space="preserve">The platform is being delivered as a </w:t>
      </w:r>
      <w:r>
        <w:rPr>
          <w:b/>
          <w:bCs/>
        </w:rPr>
        <w:t>Web application</w:t>
      </w:r>
      <w:r>
        <w:t xml:space="preserve">, a native </w:t>
      </w:r>
      <w:r>
        <w:rPr>
          <w:b/>
          <w:bCs/>
        </w:rPr>
        <w:t>Mobile application</w:t>
      </w:r>
      <w:r>
        <w:t xml:space="preserve"> (React Native + Expo, targeting both Android and iOS), and a </w:t>
      </w:r>
      <w:r>
        <w:rPr>
          <w:b/>
          <w:bCs/>
        </w:rPr>
        <w:t>cloud-hosted backend on AWS</w:t>
      </w:r>
      <w:r>
        <w:t xml:space="preserve"> (Spring Boot / Java on PostgreSQL, AWS RDS/S3). </w:t>
      </w:r>
      <w:proofErr w:type="spellStart"/>
      <w:r>
        <w:t>Anthropic's</w:t>
      </w:r>
      <w:proofErr w:type="spellEnd"/>
      <w:r>
        <w:t xml:space="preserve"> Claude is the embedded AI engine behind both the Profile Builder and </w:t>
      </w:r>
      <w:proofErr w:type="spellStart"/>
      <w:r>
        <w:t>CostGPT</w:t>
      </w:r>
      <w:proofErr w:type="spellEnd"/>
      <w:r>
        <w:t>.</w:t>
      </w:r>
    </w:p>
    <w:p w14:paraId="59F7E90C" w14:textId="77777777" w:rsidR="00A4743F" w:rsidRDefault="00000000">
      <w:pPr>
        <w:spacing w:after="180" w:line="276" w:lineRule="auto"/>
        <w:jc w:val="both"/>
      </w:pPr>
      <w:r>
        <w:t xml:space="preserve">Delivery is organized in three named phases — </w:t>
      </w:r>
      <w:r>
        <w:rPr>
          <w:b/>
          <w:bCs/>
        </w:rPr>
        <w:t>Delta → Alpha → Future/Gamma</w:t>
      </w:r>
      <w:r>
        <w:t xml:space="preserve"> — a naming convention formally adopted on 5 June 2026, replacing the project's earlier, less precise “MVP / Phase 2 / Future” language. </w:t>
      </w:r>
      <w:r>
        <w:rPr>
          <w:b/>
          <w:bCs/>
        </w:rPr>
        <w:t>Delta</w:t>
      </w:r>
      <w:r>
        <w:t xml:space="preserve"> is the current customer-facing release — the </w:t>
      </w:r>
      <w:proofErr w:type="spellStart"/>
      <w:r>
        <w:t>QuickLaunch</w:t>
      </w:r>
      <w:proofErr w:type="spellEnd"/>
      <w:r>
        <w:t xml:space="preserve"> MVP — culminating in </w:t>
      </w:r>
      <w:r>
        <w:rPr>
          <w:b/>
          <w:bCs/>
        </w:rPr>
        <w:t>Release v1.3.0, shipped 30 August 2026</w:t>
      </w:r>
      <w:r>
        <w:t xml:space="preserve">, the cutoff and reference point for this document. </w:t>
      </w:r>
      <w:r>
        <w:rPr>
          <w:b/>
          <w:bCs/>
        </w:rPr>
        <w:t>Alpha</w:t>
      </w:r>
      <w:r>
        <w:t xml:space="preserve"> is the near-term next phase (live </w:t>
      </w:r>
      <w:proofErr w:type="spellStart"/>
      <w:r>
        <w:t>Razorpay</w:t>
      </w:r>
      <w:proofErr w:type="spellEnd"/>
      <w:r>
        <w:t xml:space="preserve"> payment-gateway integration, WhatsApp messaging, full multi-anchor rollout, and the newly flagged billing module, among others). </w:t>
      </w:r>
      <w:r>
        <w:rPr>
          <w:b/>
          <w:bCs/>
        </w:rPr>
        <w:t>Future/Gamma</w:t>
      </w:r>
      <w:r>
        <w:t xml:space="preserve"> is the long-horizon roadmap (automated multi-merchant payment disbursement, AI-generated media montages, flight/travel API integration, and a full group/event entitlement matrix by community type). The Golf Tournament module — a fast-moving standalone add-on described in Section 6 — additionally tracks its own internal “Phase 1 / Phase 2” staging.</w:t>
      </w:r>
    </w:p>
    <w:p w14:paraId="59F7E90D" w14:textId="77777777" w:rsidR="00A4743F" w:rsidRDefault="00000000">
      <w:pPr>
        <w:spacing w:after="180" w:line="276" w:lineRule="auto"/>
        <w:jc w:val="both"/>
      </w:pPr>
      <w:r>
        <w:t xml:space="preserve">This BRD consolidates every confirmed business-level requirement and decision recorded between project kickoff (10 March 2026) and Release v1.3.0 (30 August 2026), drawn from the project's Decision Records register, meeting minutes, Master Product Notes, and release documentation. It is a business-level document — it states </w:t>
      </w:r>
      <w:r>
        <w:rPr>
          <w:i/>
          <w:iCs/>
        </w:rPr>
        <w:t>what</w:t>
      </w:r>
      <w:r>
        <w:t xml:space="preserve"> the business has decided it needs and </w:t>
      </w:r>
      <w:r>
        <w:rPr>
          <w:i/>
          <w:iCs/>
        </w:rPr>
        <w:t>why</w:t>
      </w:r>
      <w:r>
        <w:t xml:space="preserve">; UI-level and technical specification detail belongs in the companion Functional Requirements Document (FRD) and the three Functional Specification Documents (Anchor, Member, Passive Content </w:t>
      </w:r>
      <w:proofErr w:type="spellStart"/>
      <w:r>
        <w:t>QuickLaunch</w:t>
      </w:r>
      <w:proofErr w:type="spellEnd"/>
      <w:r>
        <w:t>), which are separate, ongoing deliverables and are noted in this document as not yet reconciled with the state captured here (Section 11).</w:t>
      </w:r>
    </w:p>
    <w:p w14:paraId="59F7E90E" w14:textId="77777777" w:rsidR="00A4743F" w:rsidRDefault="00000000">
      <w:pPr>
        <w:pStyle w:val="Heading1"/>
        <w:pBdr>
          <w:bottom w:val="single" w:sz="6" w:space="4" w:color="1F3864"/>
        </w:pBdr>
        <w:spacing w:before="480" w:after="240"/>
      </w:pPr>
      <w:bookmarkStart w:id="4" w:name="_Toc239326822"/>
      <w:r>
        <w:rPr>
          <w:b/>
          <w:bCs/>
          <w:color w:val="1F3864"/>
          <w:sz w:val="30"/>
          <w:szCs w:val="30"/>
        </w:rPr>
        <w:t>3. Business Objectives &amp; Vision</w:t>
      </w:r>
      <w:bookmarkEnd w:id="4"/>
    </w:p>
    <w:p w14:paraId="59F7E90F" w14:textId="77777777" w:rsidR="00A4743F" w:rsidRDefault="00000000">
      <w:pPr>
        <w:spacing w:after="180" w:line="276" w:lineRule="auto"/>
        <w:jc w:val="both"/>
      </w:pPr>
      <w:r>
        <w:t xml:space="preserve">The </w:t>
      </w:r>
      <w:proofErr w:type="spellStart"/>
      <w:r>
        <w:t>Alumnye</w:t>
      </w:r>
      <w:proofErr w:type="spellEnd"/>
      <w:r>
        <w:t xml:space="preserve"> platform's business objectives, as consistently articulated across project governance since inception, are to:</w:t>
      </w:r>
    </w:p>
    <w:p w14:paraId="59F7E910" w14:textId="77777777" w:rsidR="00A4743F" w:rsidRDefault="00000000">
      <w:pPr>
        <w:pStyle w:val="ListParagraph"/>
        <w:numPr>
          <w:ilvl w:val="0"/>
          <w:numId w:val="2"/>
        </w:numPr>
        <w:spacing w:after="90" w:line="276" w:lineRule="auto"/>
      </w:pPr>
      <w:r>
        <w:rPr>
          <w:b/>
          <w:bCs/>
        </w:rPr>
        <w:t>Enable alumni communities to plan and manage events efficiently</w:t>
      </w:r>
      <w:r>
        <w:t xml:space="preserve"> — replacing scattered manual coordination with a single structured workflow.</w:t>
      </w:r>
    </w:p>
    <w:p w14:paraId="59F7E911" w14:textId="77777777" w:rsidR="00A4743F" w:rsidRDefault="00000000">
      <w:pPr>
        <w:pStyle w:val="ListParagraph"/>
        <w:numPr>
          <w:ilvl w:val="0"/>
          <w:numId w:val="2"/>
        </w:numPr>
        <w:spacing w:after="90" w:line="276" w:lineRule="auto"/>
      </w:pPr>
      <w:r>
        <w:rPr>
          <w:b/>
          <w:bCs/>
        </w:rPr>
        <w:t>Reduce manual effort in event coordination and logistics</w:t>
      </w:r>
      <w:r>
        <w:t xml:space="preserve"> — for both the Anchor (organizer) and Members (participants).</w:t>
      </w:r>
    </w:p>
    <w:p w14:paraId="59F7E912" w14:textId="77777777" w:rsidR="00A4743F" w:rsidRDefault="00000000">
      <w:pPr>
        <w:pStyle w:val="ListParagraph"/>
        <w:numPr>
          <w:ilvl w:val="0"/>
          <w:numId w:val="2"/>
        </w:numPr>
        <w:spacing w:after="90" w:line="276" w:lineRule="auto"/>
      </w:pPr>
      <w:r>
        <w:rPr>
          <w:b/>
          <w:bCs/>
        </w:rPr>
        <w:t>Provide poll-driven decision-making workflows</w:t>
      </w:r>
      <w:r>
        <w:t xml:space="preserve"> — so a group converges on a plan quickly rather than stalling on open-ended discussion.</w:t>
      </w:r>
    </w:p>
    <w:p w14:paraId="59F7E913" w14:textId="77777777" w:rsidR="00A4743F" w:rsidRDefault="00000000">
      <w:pPr>
        <w:pStyle w:val="ListParagraph"/>
        <w:numPr>
          <w:ilvl w:val="0"/>
          <w:numId w:val="2"/>
        </w:numPr>
        <w:spacing w:after="90" w:line="276" w:lineRule="auto"/>
      </w:pPr>
      <w:r>
        <w:rPr>
          <w:b/>
          <w:bCs/>
        </w:rPr>
        <w:t>Automate cost estimation and planning</w:t>
      </w:r>
      <w:r>
        <w:t xml:space="preserve"> — via an AI-assisted, Anchor-only cost engine (</w:t>
      </w:r>
      <w:proofErr w:type="spellStart"/>
      <w:r>
        <w:t>CostGPT</w:t>
      </w:r>
      <w:proofErr w:type="spellEnd"/>
      <w:r>
        <w:t>) that keeps estimation in-app and guarded.</w:t>
      </w:r>
    </w:p>
    <w:p w14:paraId="59F7E914" w14:textId="77777777" w:rsidR="00A4743F" w:rsidRDefault="00000000">
      <w:pPr>
        <w:pStyle w:val="ListParagraph"/>
        <w:numPr>
          <w:ilvl w:val="0"/>
          <w:numId w:val="2"/>
        </w:numPr>
        <w:spacing w:after="90" w:line="276" w:lineRule="auto"/>
      </w:pPr>
      <w:r>
        <w:rPr>
          <w:b/>
          <w:bCs/>
        </w:rPr>
        <w:lastRenderedPageBreak/>
        <w:t>Enable secure payment collection</w:t>
      </w:r>
      <w:r>
        <w:t xml:space="preserve"> — starting with disciplined manual tracking in Delta and progressing to gateway-integrated, compliant collection in Alpha.</w:t>
      </w:r>
    </w:p>
    <w:p w14:paraId="59F7E915" w14:textId="77777777" w:rsidR="00A4743F" w:rsidRDefault="00000000">
      <w:pPr>
        <w:pStyle w:val="ListParagraph"/>
        <w:numPr>
          <w:ilvl w:val="0"/>
          <w:numId w:val="2"/>
        </w:numPr>
        <w:spacing w:after="90" w:line="276" w:lineRule="auto"/>
      </w:pPr>
      <w:r>
        <w:rPr>
          <w:b/>
          <w:bCs/>
        </w:rPr>
        <w:t>Support profile enrichment and engagement</w:t>
      </w:r>
      <w:r>
        <w:t xml:space="preserve"> — AI-assisted profile generation from member-supplied sources, building toward a richer alumni network experience.</w:t>
      </w:r>
    </w:p>
    <w:p w14:paraId="59F7E916" w14:textId="77777777" w:rsidR="00A4743F" w:rsidRDefault="00000000">
      <w:pPr>
        <w:pStyle w:val="ListParagraph"/>
        <w:numPr>
          <w:ilvl w:val="0"/>
          <w:numId w:val="2"/>
        </w:numPr>
        <w:spacing w:after="90" w:line="276" w:lineRule="auto"/>
      </w:pPr>
      <w:r>
        <w:rPr>
          <w:b/>
          <w:bCs/>
        </w:rPr>
        <w:t>Deliver a scalable, user-friendly digital platform</w:t>
      </w:r>
      <w:r>
        <w:t xml:space="preserve"> — architected on AWS with a modular, swappable-vendor approach (payments, notifications, AI) to avoid lock-in and support growth beyond the initial pilot cohorts.</w:t>
      </w:r>
    </w:p>
    <w:p w14:paraId="59F7E917" w14:textId="77777777" w:rsidR="00A4743F" w:rsidRDefault="00000000">
      <w:pPr>
        <w:spacing w:after="180" w:line="276" w:lineRule="auto"/>
        <w:jc w:val="both"/>
      </w:pPr>
      <w:r>
        <w:t>These objectives are pursued deliberately in sequence — the Delta release prioritizes the workflows most directly responsible for reunions actually happening (onboarding, polling, cost estimation, RSVP) ahead of adjacent capabilities (rich media, campaign messaging, gateway-integrated payment) that are valuable but not on the critical path to that core outcome. This prioritization was made explicit in the 25 August 2026 readiness review, which rank-ordered remaining Delta effort as: (1) end-to-end login and onboarding, (2) reunion enablement (polls, cost estimation, RSVP, analytics), (3) media posting, and (4) profile/bio flows.</w:t>
      </w:r>
    </w:p>
    <w:p w14:paraId="59F7E918" w14:textId="77777777" w:rsidR="00A4743F" w:rsidRDefault="00000000">
      <w:pPr>
        <w:pStyle w:val="Heading1"/>
        <w:pBdr>
          <w:bottom w:val="single" w:sz="6" w:space="4" w:color="1F3864"/>
        </w:pBdr>
        <w:spacing w:before="480" w:after="240"/>
      </w:pPr>
      <w:bookmarkStart w:id="5" w:name="_Toc239326823"/>
      <w:r>
        <w:rPr>
          <w:b/>
          <w:bCs/>
          <w:color w:val="1F3864"/>
          <w:sz w:val="30"/>
          <w:szCs w:val="30"/>
        </w:rPr>
        <w:t>4. Stakeholders</w:t>
      </w:r>
      <w:bookmarkEnd w:id="5"/>
    </w:p>
    <w:p w14:paraId="59F7E919" w14:textId="77777777" w:rsidR="00A4743F" w:rsidRDefault="00000000">
      <w:pPr>
        <w:spacing w:after="180" w:line="276" w:lineRule="auto"/>
        <w:jc w:val="both"/>
      </w:pPr>
      <w:r>
        <w:t xml:space="preserve">The table below identifies every stakeholder — platform roles, the delivery organization, and external vendors — whose interests, responsibilities or decisions materially shape the </w:t>
      </w:r>
      <w:proofErr w:type="spellStart"/>
      <w:r>
        <w:t>Alumnye</w:t>
      </w:r>
      <w:proofErr w:type="spellEnd"/>
      <w:r>
        <w:t xml:space="preserve"> platform.</w:t>
      </w:r>
    </w:p>
    <w:tbl>
      <w:tblPr>
        <w:tblW w:w="8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6100"/>
      </w:tblGrid>
      <w:tr w:rsidR="00A4743F" w14:paraId="59F7E91C" w14:textId="77777777">
        <w:tblPrEx>
          <w:tblCellMar>
            <w:top w:w="0" w:type="dxa"/>
            <w:bottom w:w="0" w:type="dxa"/>
          </w:tblCellMar>
        </w:tblPrEx>
        <w:trPr>
          <w:tblHeader/>
        </w:trPr>
        <w:tc>
          <w:tcPr>
            <w:tcW w:w="2400" w:type="dxa"/>
            <w:shd w:val="clear" w:color="auto" w:fill="D9E2F3"/>
            <w:tcMar>
              <w:top w:w="80" w:type="dxa"/>
              <w:left w:w="100" w:type="dxa"/>
              <w:bottom w:w="80" w:type="dxa"/>
              <w:right w:w="100" w:type="dxa"/>
            </w:tcMar>
            <w:vAlign w:val="center"/>
          </w:tcPr>
          <w:p w14:paraId="59F7E91A" w14:textId="77777777" w:rsidR="00A4743F" w:rsidRDefault="00000000">
            <w:r>
              <w:rPr>
                <w:b/>
                <w:bCs/>
                <w:color w:val="1F3864"/>
                <w:sz w:val="19"/>
                <w:szCs w:val="19"/>
              </w:rPr>
              <w:t>Stakeholder</w:t>
            </w:r>
          </w:p>
        </w:tc>
        <w:tc>
          <w:tcPr>
            <w:tcW w:w="6100" w:type="dxa"/>
            <w:shd w:val="clear" w:color="auto" w:fill="D9E2F3"/>
            <w:tcMar>
              <w:top w:w="80" w:type="dxa"/>
              <w:left w:w="100" w:type="dxa"/>
              <w:bottom w:w="80" w:type="dxa"/>
              <w:right w:w="100" w:type="dxa"/>
            </w:tcMar>
            <w:vAlign w:val="center"/>
          </w:tcPr>
          <w:p w14:paraId="59F7E91B" w14:textId="77777777" w:rsidR="00A4743F" w:rsidRDefault="00000000">
            <w:r>
              <w:rPr>
                <w:b/>
                <w:bCs/>
                <w:color w:val="1F3864"/>
                <w:sz w:val="19"/>
                <w:szCs w:val="19"/>
              </w:rPr>
              <w:t>Role / Interest</w:t>
            </w:r>
          </w:p>
        </w:tc>
      </w:tr>
      <w:tr w:rsidR="00A4743F" w14:paraId="59F7E91F" w14:textId="77777777">
        <w:tblPrEx>
          <w:tblCellMar>
            <w:top w:w="0" w:type="dxa"/>
            <w:bottom w:w="0" w:type="dxa"/>
          </w:tblCellMar>
        </w:tblPrEx>
        <w:tc>
          <w:tcPr>
            <w:tcW w:w="2400" w:type="dxa"/>
            <w:tcMar>
              <w:top w:w="80" w:type="dxa"/>
              <w:left w:w="100" w:type="dxa"/>
              <w:bottom w:w="80" w:type="dxa"/>
              <w:right w:w="100" w:type="dxa"/>
            </w:tcMar>
            <w:vAlign w:val="center"/>
          </w:tcPr>
          <w:p w14:paraId="59F7E91D" w14:textId="77777777" w:rsidR="00A4743F" w:rsidRDefault="00000000">
            <w:r>
              <w:rPr>
                <w:color w:val="222222"/>
                <w:sz w:val="19"/>
                <w:szCs w:val="19"/>
              </w:rPr>
              <w:t>Indeevar (</w:t>
            </w:r>
            <w:proofErr w:type="spellStart"/>
            <w:r>
              <w:rPr>
                <w:color w:val="222222"/>
                <w:sz w:val="19"/>
                <w:szCs w:val="19"/>
              </w:rPr>
              <w:t>Alumwhale</w:t>
            </w:r>
            <w:proofErr w:type="spellEnd"/>
            <w:r>
              <w:rPr>
                <w:color w:val="222222"/>
                <w:sz w:val="19"/>
                <w:szCs w:val="19"/>
              </w:rPr>
              <w:t>)</w:t>
            </w:r>
          </w:p>
        </w:tc>
        <w:tc>
          <w:tcPr>
            <w:tcW w:w="6100" w:type="dxa"/>
            <w:tcMar>
              <w:top w:w="80" w:type="dxa"/>
              <w:left w:w="100" w:type="dxa"/>
              <w:bottom w:w="80" w:type="dxa"/>
              <w:right w:w="100" w:type="dxa"/>
            </w:tcMar>
            <w:vAlign w:val="center"/>
          </w:tcPr>
          <w:p w14:paraId="59F7E91E" w14:textId="77777777" w:rsidR="00A4743F" w:rsidRDefault="00000000">
            <w:r>
              <w:rPr>
                <w:color w:val="222222"/>
                <w:sz w:val="19"/>
                <w:szCs w:val="19"/>
              </w:rPr>
              <w:t>Client and Product Owner. Holds decision authority on scope, feature prioritization, and roadmap sequencing; primary source of business direction throughout the engagement.</w:t>
            </w:r>
          </w:p>
        </w:tc>
      </w:tr>
      <w:tr w:rsidR="00A4743F" w14:paraId="59F7E92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9F7E920" w14:textId="77777777" w:rsidR="00A4743F" w:rsidRDefault="00000000">
            <w:r>
              <w:rPr>
                <w:color w:val="222222"/>
                <w:sz w:val="19"/>
                <w:szCs w:val="19"/>
              </w:rPr>
              <w:t>Anchor</w:t>
            </w:r>
          </w:p>
        </w:tc>
        <w:tc>
          <w:tcPr>
            <w:tcW w:w="6100" w:type="dxa"/>
            <w:shd w:val="clear" w:color="auto" w:fill="F2F2F2"/>
            <w:tcMar>
              <w:top w:w="80" w:type="dxa"/>
              <w:left w:w="100" w:type="dxa"/>
              <w:bottom w:w="80" w:type="dxa"/>
              <w:right w:w="100" w:type="dxa"/>
            </w:tcMar>
            <w:vAlign w:val="center"/>
          </w:tcPr>
          <w:p w14:paraId="59F7E921" w14:textId="77777777" w:rsidR="00A4743F" w:rsidRDefault="00000000">
            <w:r>
              <w:rPr>
                <w:color w:val="222222"/>
                <w:sz w:val="19"/>
                <w:szCs w:val="19"/>
              </w:rPr>
              <w:t xml:space="preserve">Platform role — group administrator / event organizer. Creates and manages groups, adds and approves members, drives every stage of the event lifecycle, resolves polls, uses </w:t>
            </w:r>
            <w:proofErr w:type="spellStart"/>
            <w:r>
              <w:rPr>
                <w:color w:val="222222"/>
                <w:sz w:val="19"/>
                <w:szCs w:val="19"/>
              </w:rPr>
              <w:t>CostGPT</w:t>
            </w:r>
            <w:proofErr w:type="spellEnd"/>
            <w:r>
              <w:rPr>
                <w:color w:val="222222"/>
                <w:sz w:val="19"/>
                <w:szCs w:val="19"/>
              </w:rPr>
              <w:t>, and records payments. In Delta the Anchor is the sole approver of new members; the multi-anchor entitlement model (Section 6.1) extends this role to co-anchors.</w:t>
            </w:r>
          </w:p>
        </w:tc>
      </w:tr>
      <w:tr w:rsidR="00A4743F" w14:paraId="59F7E925" w14:textId="77777777">
        <w:tblPrEx>
          <w:tblCellMar>
            <w:top w:w="0" w:type="dxa"/>
            <w:bottom w:w="0" w:type="dxa"/>
          </w:tblCellMar>
        </w:tblPrEx>
        <w:tc>
          <w:tcPr>
            <w:tcW w:w="2400" w:type="dxa"/>
            <w:tcMar>
              <w:top w:w="80" w:type="dxa"/>
              <w:left w:w="100" w:type="dxa"/>
              <w:bottom w:w="80" w:type="dxa"/>
              <w:right w:w="100" w:type="dxa"/>
            </w:tcMar>
            <w:vAlign w:val="center"/>
          </w:tcPr>
          <w:p w14:paraId="59F7E923" w14:textId="77777777" w:rsidR="00A4743F" w:rsidRDefault="00000000">
            <w:r>
              <w:rPr>
                <w:color w:val="222222"/>
                <w:sz w:val="19"/>
                <w:szCs w:val="19"/>
              </w:rPr>
              <w:t>Member / Alum</w:t>
            </w:r>
          </w:p>
        </w:tc>
        <w:tc>
          <w:tcPr>
            <w:tcW w:w="6100" w:type="dxa"/>
            <w:tcMar>
              <w:top w:w="80" w:type="dxa"/>
              <w:left w:w="100" w:type="dxa"/>
              <w:bottom w:w="80" w:type="dxa"/>
              <w:right w:w="100" w:type="dxa"/>
            </w:tcMar>
            <w:vAlign w:val="center"/>
          </w:tcPr>
          <w:p w14:paraId="59F7E924" w14:textId="77777777" w:rsidR="00A4743F" w:rsidRDefault="00000000">
            <w:r>
              <w:rPr>
                <w:color w:val="222222"/>
                <w:sz w:val="19"/>
                <w:szCs w:val="19"/>
              </w:rPr>
              <w:t>Platform role — the participant and profile owner. Joins a group by invitation only, responds to polls and RSVPs, views event and payment status, and (as of the 08 Jul 2026 enablement) can generate their own AI-assisted profile.</w:t>
            </w:r>
          </w:p>
        </w:tc>
      </w:tr>
      <w:tr w:rsidR="00A4743F" w14:paraId="59F7E92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9F7E926" w14:textId="77777777" w:rsidR="00A4743F" w:rsidRDefault="00000000">
            <w:r>
              <w:rPr>
                <w:color w:val="222222"/>
                <w:sz w:val="19"/>
                <w:szCs w:val="19"/>
              </w:rPr>
              <w:t>Prodian Infotech — Delivery Team</w:t>
            </w:r>
          </w:p>
        </w:tc>
        <w:tc>
          <w:tcPr>
            <w:tcW w:w="6100" w:type="dxa"/>
            <w:shd w:val="clear" w:color="auto" w:fill="F2F2F2"/>
            <w:tcMar>
              <w:top w:w="80" w:type="dxa"/>
              <w:left w:w="100" w:type="dxa"/>
              <w:bottom w:w="80" w:type="dxa"/>
              <w:right w:w="100" w:type="dxa"/>
            </w:tcMar>
            <w:vAlign w:val="center"/>
          </w:tcPr>
          <w:p w14:paraId="59F7E927" w14:textId="77777777" w:rsidR="00A4743F" w:rsidRDefault="00000000">
            <w:r>
              <w:rPr>
                <w:color w:val="222222"/>
                <w:sz w:val="19"/>
                <w:szCs w:val="19"/>
              </w:rPr>
              <w:t>Development partner. Key roles: Technical Lead (Sathish Kumar Newton); Delivery/Testing Coordinator &amp; AI Architect (Anand Sivaraman); Project Coordinator / Documentation (Lakshmi Chamundeeswari); Developer (Nishalini Gopalakrishnan); Testing Lead from ~24 Aug (Gurusamy Paramanantham, “Guru”); Testing Team (Hemnath, Kishor).</w:t>
            </w:r>
          </w:p>
        </w:tc>
      </w:tr>
      <w:tr w:rsidR="00A4743F" w14:paraId="59F7E92B" w14:textId="77777777">
        <w:tblPrEx>
          <w:tblCellMar>
            <w:top w:w="0" w:type="dxa"/>
            <w:bottom w:w="0" w:type="dxa"/>
          </w:tblCellMar>
        </w:tblPrEx>
        <w:tc>
          <w:tcPr>
            <w:tcW w:w="2400" w:type="dxa"/>
            <w:tcMar>
              <w:top w:w="80" w:type="dxa"/>
              <w:left w:w="100" w:type="dxa"/>
              <w:bottom w:w="80" w:type="dxa"/>
              <w:right w:w="100" w:type="dxa"/>
            </w:tcMar>
            <w:vAlign w:val="center"/>
          </w:tcPr>
          <w:p w14:paraId="59F7E929" w14:textId="77777777" w:rsidR="00A4743F" w:rsidRDefault="00000000">
            <w:proofErr w:type="spellStart"/>
            <w:r>
              <w:rPr>
                <w:color w:val="222222"/>
                <w:sz w:val="19"/>
                <w:szCs w:val="19"/>
              </w:rPr>
              <w:t>Karix</w:t>
            </w:r>
            <w:proofErr w:type="spellEnd"/>
          </w:p>
        </w:tc>
        <w:tc>
          <w:tcPr>
            <w:tcW w:w="6100" w:type="dxa"/>
            <w:tcMar>
              <w:top w:w="80" w:type="dxa"/>
              <w:left w:w="100" w:type="dxa"/>
              <w:bottom w:w="80" w:type="dxa"/>
              <w:right w:w="100" w:type="dxa"/>
            </w:tcMar>
            <w:vAlign w:val="center"/>
          </w:tcPr>
          <w:p w14:paraId="59F7E92A" w14:textId="77777777" w:rsidR="00A4743F" w:rsidRDefault="00000000">
            <w:r>
              <w:rPr>
                <w:color w:val="222222"/>
                <w:sz w:val="19"/>
                <w:szCs w:val="19"/>
              </w:rPr>
              <w:t xml:space="preserve">External vendor — SMS, WhatsApp and Email notification delivery. Selected 30–31 Mar 2026; relationship placed under formal SLA review against </w:t>
            </w:r>
            <w:proofErr w:type="spellStart"/>
            <w:r>
              <w:rPr>
                <w:color w:val="222222"/>
                <w:sz w:val="19"/>
                <w:szCs w:val="19"/>
              </w:rPr>
              <w:t>Netcore</w:t>
            </w:r>
            <w:proofErr w:type="spellEnd"/>
            <w:r>
              <w:rPr>
                <w:color w:val="222222"/>
                <w:sz w:val="19"/>
                <w:szCs w:val="19"/>
              </w:rPr>
              <w:t xml:space="preserve"> from 10–11 Aug 2026 (open item, Section 10).</w:t>
            </w:r>
          </w:p>
        </w:tc>
      </w:tr>
      <w:tr w:rsidR="00A4743F" w14:paraId="59F7E92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9F7E92C" w14:textId="77777777" w:rsidR="00A4743F" w:rsidRDefault="00000000">
            <w:proofErr w:type="spellStart"/>
            <w:r>
              <w:rPr>
                <w:color w:val="222222"/>
                <w:sz w:val="19"/>
                <w:szCs w:val="19"/>
              </w:rPr>
              <w:t>Razorpay</w:t>
            </w:r>
            <w:proofErr w:type="spellEnd"/>
          </w:p>
        </w:tc>
        <w:tc>
          <w:tcPr>
            <w:tcW w:w="6100" w:type="dxa"/>
            <w:shd w:val="clear" w:color="auto" w:fill="F2F2F2"/>
            <w:tcMar>
              <w:top w:w="80" w:type="dxa"/>
              <w:left w:w="100" w:type="dxa"/>
              <w:bottom w:w="80" w:type="dxa"/>
              <w:right w:w="100" w:type="dxa"/>
            </w:tcMar>
            <w:vAlign w:val="center"/>
          </w:tcPr>
          <w:p w14:paraId="59F7E92D" w14:textId="77777777" w:rsidR="00A4743F" w:rsidRDefault="00000000">
            <w:r>
              <w:rPr>
                <w:color w:val="222222"/>
                <w:sz w:val="19"/>
                <w:szCs w:val="19"/>
              </w:rPr>
              <w:t>External vendor — preferred payment aggregator, confirmed 08 Apr 2026; gateway integration deferred to Alpha (manual tracking used in Delta).</w:t>
            </w:r>
          </w:p>
        </w:tc>
      </w:tr>
      <w:tr w:rsidR="00A4743F" w14:paraId="59F7E931" w14:textId="77777777">
        <w:tblPrEx>
          <w:tblCellMar>
            <w:top w:w="0" w:type="dxa"/>
            <w:bottom w:w="0" w:type="dxa"/>
          </w:tblCellMar>
        </w:tblPrEx>
        <w:tc>
          <w:tcPr>
            <w:tcW w:w="2400" w:type="dxa"/>
            <w:tcMar>
              <w:top w:w="80" w:type="dxa"/>
              <w:left w:w="100" w:type="dxa"/>
              <w:bottom w:w="80" w:type="dxa"/>
              <w:right w:w="100" w:type="dxa"/>
            </w:tcMar>
            <w:vAlign w:val="center"/>
          </w:tcPr>
          <w:p w14:paraId="59F7E92F" w14:textId="77777777" w:rsidR="00A4743F" w:rsidRDefault="00000000">
            <w:proofErr w:type="spellStart"/>
            <w:r>
              <w:rPr>
                <w:color w:val="222222"/>
                <w:sz w:val="19"/>
                <w:szCs w:val="19"/>
              </w:rPr>
              <w:t>Firecrawl</w:t>
            </w:r>
            <w:proofErr w:type="spellEnd"/>
          </w:p>
        </w:tc>
        <w:tc>
          <w:tcPr>
            <w:tcW w:w="6100" w:type="dxa"/>
            <w:tcMar>
              <w:top w:w="80" w:type="dxa"/>
              <w:left w:w="100" w:type="dxa"/>
              <w:bottom w:w="80" w:type="dxa"/>
              <w:right w:w="100" w:type="dxa"/>
            </w:tcMar>
            <w:vAlign w:val="center"/>
          </w:tcPr>
          <w:p w14:paraId="59F7E930" w14:textId="77777777" w:rsidR="00A4743F" w:rsidRDefault="00000000">
            <w:r>
              <w:rPr>
                <w:color w:val="222222"/>
                <w:sz w:val="19"/>
                <w:szCs w:val="19"/>
              </w:rPr>
              <w:t>External vendor — public-web-source scraping for AI-assisted Profile Builder, used alongside DuckDuckGo for public search (LinkedIn scraping confirmed infeasible).</w:t>
            </w:r>
          </w:p>
        </w:tc>
      </w:tr>
      <w:tr w:rsidR="00A4743F" w14:paraId="59F7E93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9F7E932" w14:textId="77777777" w:rsidR="00A4743F" w:rsidRDefault="00000000">
            <w:r>
              <w:rPr>
                <w:color w:val="222222"/>
                <w:sz w:val="19"/>
                <w:szCs w:val="19"/>
              </w:rPr>
              <w:t>AWS (Amazon Web Services)</w:t>
            </w:r>
          </w:p>
        </w:tc>
        <w:tc>
          <w:tcPr>
            <w:tcW w:w="6100" w:type="dxa"/>
            <w:shd w:val="clear" w:color="auto" w:fill="F2F2F2"/>
            <w:tcMar>
              <w:top w:w="80" w:type="dxa"/>
              <w:left w:w="100" w:type="dxa"/>
              <w:bottom w:w="80" w:type="dxa"/>
              <w:right w:w="100" w:type="dxa"/>
            </w:tcMar>
            <w:vAlign w:val="center"/>
          </w:tcPr>
          <w:p w14:paraId="59F7E933" w14:textId="77777777" w:rsidR="00A4743F" w:rsidRDefault="00000000">
            <w:r>
              <w:rPr>
                <w:color w:val="222222"/>
                <w:sz w:val="19"/>
                <w:szCs w:val="19"/>
              </w:rPr>
              <w:t>Cloud infrastructure vendor — hosts all Dev/SIT/Production environments, storage (S3), and CDN (CloudFront), under a dedicated Prodian AWS account.</w:t>
            </w:r>
          </w:p>
        </w:tc>
      </w:tr>
      <w:tr w:rsidR="00A4743F" w14:paraId="59F7E937" w14:textId="77777777">
        <w:tblPrEx>
          <w:tblCellMar>
            <w:top w:w="0" w:type="dxa"/>
            <w:bottom w:w="0" w:type="dxa"/>
          </w:tblCellMar>
        </w:tblPrEx>
        <w:tc>
          <w:tcPr>
            <w:tcW w:w="2400" w:type="dxa"/>
            <w:tcMar>
              <w:top w:w="80" w:type="dxa"/>
              <w:left w:w="100" w:type="dxa"/>
              <w:bottom w:w="80" w:type="dxa"/>
              <w:right w:w="100" w:type="dxa"/>
            </w:tcMar>
            <w:vAlign w:val="center"/>
          </w:tcPr>
          <w:p w14:paraId="59F7E935" w14:textId="77777777" w:rsidR="00A4743F" w:rsidRDefault="00000000">
            <w:r>
              <w:rPr>
                <w:color w:val="222222"/>
                <w:sz w:val="19"/>
                <w:szCs w:val="19"/>
              </w:rPr>
              <w:lastRenderedPageBreak/>
              <w:t>Anthropic (Claude)</w:t>
            </w:r>
          </w:p>
        </w:tc>
        <w:tc>
          <w:tcPr>
            <w:tcW w:w="6100" w:type="dxa"/>
            <w:tcMar>
              <w:top w:w="80" w:type="dxa"/>
              <w:left w:w="100" w:type="dxa"/>
              <w:bottom w:w="80" w:type="dxa"/>
              <w:right w:w="100" w:type="dxa"/>
            </w:tcMar>
            <w:vAlign w:val="center"/>
          </w:tcPr>
          <w:p w14:paraId="59F7E936" w14:textId="77777777" w:rsidR="00A4743F" w:rsidRDefault="00000000">
            <w:r>
              <w:rPr>
                <w:color w:val="222222"/>
                <w:sz w:val="19"/>
                <w:szCs w:val="19"/>
              </w:rPr>
              <w:t xml:space="preserve">AI/LLM vendor — Claude Sonnet 4.6 is the default engine behind Profile Builder and </w:t>
            </w:r>
            <w:proofErr w:type="spellStart"/>
            <w:r>
              <w:rPr>
                <w:color w:val="222222"/>
                <w:sz w:val="19"/>
                <w:szCs w:val="19"/>
              </w:rPr>
              <w:t>CostGPT</w:t>
            </w:r>
            <w:proofErr w:type="spellEnd"/>
            <w:r>
              <w:rPr>
                <w:color w:val="222222"/>
                <w:sz w:val="19"/>
                <w:szCs w:val="19"/>
              </w:rPr>
              <w:t>, back-end configured and swappable without an app release.</w:t>
            </w:r>
          </w:p>
        </w:tc>
      </w:tr>
      <w:tr w:rsidR="00A4743F" w14:paraId="59F7E93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9F7E938" w14:textId="77777777" w:rsidR="00A4743F" w:rsidRDefault="00000000">
            <w:r>
              <w:rPr>
                <w:color w:val="222222"/>
                <w:sz w:val="19"/>
                <w:szCs w:val="19"/>
              </w:rPr>
              <w:t>Fable5</w:t>
            </w:r>
          </w:p>
        </w:tc>
        <w:tc>
          <w:tcPr>
            <w:tcW w:w="6100" w:type="dxa"/>
            <w:shd w:val="clear" w:color="auto" w:fill="F2F2F2"/>
            <w:tcMar>
              <w:top w:w="80" w:type="dxa"/>
              <w:left w:w="100" w:type="dxa"/>
              <w:bottom w:w="80" w:type="dxa"/>
              <w:right w:w="100" w:type="dxa"/>
            </w:tcMar>
            <w:vAlign w:val="center"/>
          </w:tcPr>
          <w:p w14:paraId="59F7E939" w14:textId="77777777" w:rsidR="00A4743F" w:rsidRDefault="00000000">
            <w:r>
              <w:rPr>
                <w:color w:val="222222"/>
                <w:sz w:val="19"/>
                <w:szCs w:val="19"/>
              </w:rPr>
              <w:t>External vendor — independent security audit engaged for the platform; code-sharing and findings tracked as an open governance item (Section 10).</w:t>
            </w:r>
          </w:p>
        </w:tc>
      </w:tr>
    </w:tbl>
    <w:p w14:paraId="59F7E93B" w14:textId="77777777" w:rsidR="00A4743F" w:rsidRDefault="00000000">
      <w:pPr>
        <w:pStyle w:val="Heading1"/>
        <w:pBdr>
          <w:bottom w:val="single" w:sz="6" w:space="4" w:color="1F3864"/>
        </w:pBdr>
        <w:spacing w:before="480" w:after="240"/>
      </w:pPr>
      <w:bookmarkStart w:id="6" w:name="_Toc239326824"/>
      <w:r>
        <w:rPr>
          <w:b/>
          <w:bCs/>
          <w:color w:val="1F3864"/>
          <w:sz w:val="30"/>
          <w:szCs w:val="30"/>
        </w:rPr>
        <w:t>5. Scope</w:t>
      </w:r>
      <w:bookmarkEnd w:id="6"/>
    </w:p>
    <w:p w14:paraId="59F7E93C" w14:textId="77777777" w:rsidR="00A4743F" w:rsidRDefault="00000000">
      <w:pPr>
        <w:spacing w:after="180" w:line="276" w:lineRule="auto"/>
        <w:jc w:val="both"/>
      </w:pPr>
      <w:r>
        <w:t>Scope is presented per major business capability, distinguishing what is confirmed in the current release (Delta / v1.3.0) from what is planned for the near-term Alpha phase and the longer-horizon Future/Gamma roadmap. This reflects the platform's phased delivery strategy (Section 2) and should be read alongside Section 10, which flags scope items still awaiting a business decision.</w:t>
      </w:r>
    </w:p>
    <w:tbl>
      <w:tblPr>
        <w:tblW w:w="8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2400"/>
        <w:gridCol w:w="2400"/>
        <w:gridCol w:w="1900"/>
      </w:tblGrid>
      <w:tr w:rsidR="00A4743F" w14:paraId="59F7E941"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vAlign w:val="center"/>
          </w:tcPr>
          <w:p w14:paraId="59F7E93D" w14:textId="77777777" w:rsidR="00A4743F" w:rsidRDefault="00000000">
            <w:r>
              <w:rPr>
                <w:b/>
                <w:bCs/>
                <w:color w:val="1F3864"/>
                <w:sz w:val="19"/>
                <w:szCs w:val="19"/>
              </w:rPr>
              <w:t>Business Capability</w:t>
            </w:r>
          </w:p>
        </w:tc>
        <w:tc>
          <w:tcPr>
            <w:tcW w:w="2400" w:type="dxa"/>
            <w:shd w:val="clear" w:color="auto" w:fill="D9E2F3"/>
            <w:tcMar>
              <w:top w:w="80" w:type="dxa"/>
              <w:left w:w="100" w:type="dxa"/>
              <w:bottom w:w="80" w:type="dxa"/>
              <w:right w:w="100" w:type="dxa"/>
            </w:tcMar>
            <w:vAlign w:val="center"/>
          </w:tcPr>
          <w:p w14:paraId="59F7E93E" w14:textId="77777777" w:rsidR="00A4743F" w:rsidRDefault="00000000">
            <w:r>
              <w:rPr>
                <w:b/>
                <w:bCs/>
                <w:color w:val="1F3864"/>
                <w:sz w:val="19"/>
                <w:szCs w:val="19"/>
              </w:rPr>
              <w:t>Delta (In Scope — current release, v1.3.0)</w:t>
            </w:r>
          </w:p>
        </w:tc>
        <w:tc>
          <w:tcPr>
            <w:tcW w:w="2400" w:type="dxa"/>
            <w:shd w:val="clear" w:color="auto" w:fill="D9E2F3"/>
            <w:tcMar>
              <w:top w:w="80" w:type="dxa"/>
              <w:left w:w="100" w:type="dxa"/>
              <w:bottom w:w="80" w:type="dxa"/>
              <w:right w:w="100" w:type="dxa"/>
            </w:tcMar>
            <w:vAlign w:val="center"/>
          </w:tcPr>
          <w:p w14:paraId="59F7E93F" w14:textId="77777777" w:rsidR="00A4743F" w:rsidRDefault="00000000">
            <w:r>
              <w:rPr>
                <w:b/>
                <w:bCs/>
                <w:color w:val="1F3864"/>
                <w:sz w:val="19"/>
                <w:szCs w:val="19"/>
              </w:rPr>
              <w:t>Alpha (Near-Term Roadmap)</w:t>
            </w:r>
          </w:p>
        </w:tc>
        <w:tc>
          <w:tcPr>
            <w:tcW w:w="1900" w:type="dxa"/>
            <w:shd w:val="clear" w:color="auto" w:fill="D9E2F3"/>
            <w:tcMar>
              <w:top w:w="80" w:type="dxa"/>
              <w:left w:w="100" w:type="dxa"/>
              <w:bottom w:w="80" w:type="dxa"/>
              <w:right w:w="100" w:type="dxa"/>
            </w:tcMar>
            <w:vAlign w:val="center"/>
          </w:tcPr>
          <w:p w14:paraId="59F7E940" w14:textId="77777777" w:rsidR="00A4743F" w:rsidRDefault="00000000">
            <w:r>
              <w:rPr>
                <w:b/>
                <w:bCs/>
                <w:color w:val="1F3864"/>
                <w:sz w:val="19"/>
                <w:szCs w:val="19"/>
              </w:rPr>
              <w:t>Future / Gamma</w:t>
            </w:r>
          </w:p>
        </w:tc>
      </w:tr>
      <w:tr w:rsidR="00A4743F" w14:paraId="59F7E946" w14:textId="77777777">
        <w:tblPrEx>
          <w:tblCellMar>
            <w:top w:w="0" w:type="dxa"/>
            <w:bottom w:w="0" w:type="dxa"/>
          </w:tblCellMar>
        </w:tblPrEx>
        <w:tc>
          <w:tcPr>
            <w:tcW w:w="1800" w:type="dxa"/>
            <w:tcMar>
              <w:top w:w="80" w:type="dxa"/>
              <w:left w:w="100" w:type="dxa"/>
              <w:bottom w:w="80" w:type="dxa"/>
              <w:right w:w="100" w:type="dxa"/>
            </w:tcMar>
            <w:vAlign w:val="center"/>
          </w:tcPr>
          <w:p w14:paraId="59F7E942" w14:textId="77777777" w:rsidR="00A4743F" w:rsidRDefault="00000000">
            <w:r>
              <w:rPr>
                <w:b/>
                <w:bCs/>
                <w:color w:val="1F3864"/>
                <w:sz w:val="18"/>
                <w:szCs w:val="18"/>
              </w:rPr>
              <w:t>User Management</w:t>
            </w:r>
          </w:p>
        </w:tc>
        <w:tc>
          <w:tcPr>
            <w:tcW w:w="2400" w:type="dxa"/>
            <w:tcMar>
              <w:top w:w="80" w:type="dxa"/>
              <w:left w:w="100" w:type="dxa"/>
              <w:bottom w:w="80" w:type="dxa"/>
              <w:right w:w="100" w:type="dxa"/>
            </w:tcMar>
            <w:vAlign w:val="center"/>
          </w:tcPr>
          <w:p w14:paraId="59F7E943" w14:textId="77777777" w:rsidR="00A4743F" w:rsidRDefault="00000000">
            <w:r>
              <w:rPr>
                <w:color w:val="222222"/>
                <w:sz w:val="18"/>
                <w:szCs w:val="18"/>
              </w:rPr>
              <w:t>Anchor / Member roles; manual add, bulk CSV/Excel import, Fast Create; multiple invitation options (Individual, Contacts, Existing Members, Bulk Upload — shipped v1.3); consent &amp; T&amp;C at first login; multi-anchor entitlement pulled forward as a build requirement (full rollout still in progress).</w:t>
            </w:r>
          </w:p>
        </w:tc>
        <w:tc>
          <w:tcPr>
            <w:tcW w:w="2400" w:type="dxa"/>
            <w:tcMar>
              <w:top w:w="80" w:type="dxa"/>
              <w:left w:w="100" w:type="dxa"/>
              <w:bottom w:w="80" w:type="dxa"/>
              <w:right w:w="100" w:type="dxa"/>
            </w:tcMar>
            <w:vAlign w:val="center"/>
          </w:tcPr>
          <w:p w14:paraId="59F7E944" w14:textId="77777777" w:rsidR="00A4743F" w:rsidRDefault="00000000">
            <w:r>
              <w:rPr>
                <w:color w:val="222222"/>
                <w:sz w:val="18"/>
                <w:szCs w:val="18"/>
              </w:rPr>
              <w:t>Quick-add (</w:t>
            </w:r>
            <w:proofErr w:type="spellStart"/>
            <w:r>
              <w:rPr>
                <w:color w:val="222222"/>
                <w:sz w:val="18"/>
                <w:szCs w:val="18"/>
              </w:rPr>
              <w:t>mobile+email</w:t>
            </w:r>
            <w:proofErr w:type="spellEnd"/>
            <w:r>
              <w:rPr>
                <w:color w:val="222222"/>
                <w:sz w:val="18"/>
                <w:szCs w:val="18"/>
              </w:rPr>
              <w:t xml:space="preserve"> only); AI-assisted member addition; Member self-join requests pending Anchor approval; full multi-anchor rollout.</w:t>
            </w:r>
          </w:p>
        </w:tc>
        <w:tc>
          <w:tcPr>
            <w:tcW w:w="1900" w:type="dxa"/>
            <w:tcMar>
              <w:top w:w="80" w:type="dxa"/>
              <w:left w:w="100" w:type="dxa"/>
              <w:bottom w:w="80" w:type="dxa"/>
              <w:right w:w="100" w:type="dxa"/>
            </w:tcMar>
            <w:vAlign w:val="center"/>
          </w:tcPr>
          <w:p w14:paraId="59F7E945" w14:textId="77777777" w:rsidR="00A4743F" w:rsidRDefault="00000000">
            <w:r>
              <w:rPr>
                <w:color w:val="222222"/>
                <w:sz w:val="18"/>
                <w:szCs w:val="18"/>
              </w:rPr>
              <w:t>Long-term group/event entitlement matrix by community type.</w:t>
            </w:r>
          </w:p>
        </w:tc>
      </w:tr>
      <w:tr w:rsidR="00A4743F" w14:paraId="59F7E94B" w14:textId="77777777">
        <w:tblPrEx>
          <w:tblCellMar>
            <w:top w:w="0" w:type="dxa"/>
            <w:bottom w:w="0" w:type="dxa"/>
          </w:tblCellMar>
        </w:tblPrEx>
        <w:tc>
          <w:tcPr>
            <w:tcW w:w="1800" w:type="dxa"/>
            <w:tcMar>
              <w:top w:w="80" w:type="dxa"/>
              <w:left w:w="100" w:type="dxa"/>
              <w:bottom w:w="80" w:type="dxa"/>
              <w:right w:w="100" w:type="dxa"/>
            </w:tcMar>
            <w:vAlign w:val="center"/>
          </w:tcPr>
          <w:p w14:paraId="59F7E947" w14:textId="77777777" w:rsidR="00A4743F" w:rsidRDefault="00000000">
            <w:r>
              <w:rPr>
                <w:b/>
                <w:bCs/>
                <w:color w:val="1F3864"/>
                <w:sz w:val="18"/>
                <w:szCs w:val="18"/>
              </w:rPr>
              <w:t>Event Planning (D1–D4)</w:t>
            </w:r>
          </w:p>
        </w:tc>
        <w:tc>
          <w:tcPr>
            <w:tcW w:w="2400" w:type="dxa"/>
            <w:tcMar>
              <w:top w:w="80" w:type="dxa"/>
              <w:left w:w="100" w:type="dxa"/>
              <w:bottom w:w="80" w:type="dxa"/>
              <w:right w:w="100" w:type="dxa"/>
            </w:tcMar>
            <w:vAlign w:val="center"/>
          </w:tcPr>
          <w:p w14:paraId="59F7E948" w14:textId="77777777" w:rsidR="00A4743F" w:rsidRDefault="00000000">
            <w:r>
              <w:rPr>
                <w:color w:val="222222"/>
                <w:sz w:val="18"/>
                <w:szCs w:val="18"/>
              </w:rPr>
              <w:t xml:space="preserve">Structured D1–D4 (Dates, Duration, Destination, Dollars) poll-driven planning; Sweet Spot review; Anchor-driven event lifecycle (Draft → Poll → Publish → </w:t>
            </w:r>
            <w:proofErr w:type="spellStart"/>
            <w:r>
              <w:rPr>
                <w:color w:val="222222"/>
                <w:sz w:val="18"/>
                <w:szCs w:val="18"/>
              </w:rPr>
              <w:t>CostGPT</w:t>
            </w:r>
            <w:proofErr w:type="spellEnd"/>
            <w:r>
              <w:rPr>
                <w:color w:val="222222"/>
                <w:sz w:val="18"/>
                <w:szCs w:val="18"/>
              </w:rPr>
              <w:t xml:space="preserve"> → RSVP → Payment → Execute); Reunion/Social and Sports event categories.</w:t>
            </w:r>
          </w:p>
        </w:tc>
        <w:tc>
          <w:tcPr>
            <w:tcW w:w="2400" w:type="dxa"/>
            <w:tcMar>
              <w:top w:w="80" w:type="dxa"/>
              <w:left w:w="100" w:type="dxa"/>
              <w:bottom w:w="80" w:type="dxa"/>
              <w:right w:w="100" w:type="dxa"/>
            </w:tcMar>
            <w:vAlign w:val="center"/>
          </w:tcPr>
          <w:p w14:paraId="59F7E949" w14:textId="77777777" w:rsidR="00A4743F" w:rsidRDefault="00000000">
            <w:r>
              <w:rPr>
                <w:color w:val="222222"/>
                <w:sz w:val="18"/>
                <w:szCs w:val="18"/>
              </w:rPr>
              <w:t>Anchor-defined custom data-capture fields; configurable RSVP cap; master group-level media library; poll-answer edit after submission.</w:t>
            </w:r>
          </w:p>
        </w:tc>
        <w:tc>
          <w:tcPr>
            <w:tcW w:w="1900" w:type="dxa"/>
            <w:tcMar>
              <w:top w:w="80" w:type="dxa"/>
              <w:left w:w="100" w:type="dxa"/>
              <w:bottom w:w="80" w:type="dxa"/>
              <w:right w:w="100" w:type="dxa"/>
            </w:tcMar>
            <w:vAlign w:val="center"/>
          </w:tcPr>
          <w:p w14:paraId="59F7E94A" w14:textId="77777777" w:rsidR="00A4743F" w:rsidRDefault="00000000">
            <w:r>
              <w:rPr>
                <w:color w:val="222222"/>
                <w:sz w:val="18"/>
                <w:szCs w:val="18"/>
              </w:rPr>
              <w:t>Payment-based RSVP inclusion override; Notice Board repost/replication.</w:t>
            </w:r>
          </w:p>
        </w:tc>
      </w:tr>
      <w:tr w:rsidR="00A4743F" w14:paraId="59F7E950" w14:textId="77777777">
        <w:tblPrEx>
          <w:tblCellMar>
            <w:top w:w="0" w:type="dxa"/>
            <w:bottom w:w="0" w:type="dxa"/>
          </w:tblCellMar>
        </w:tblPrEx>
        <w:tc>
          <w:tcPr>
            <w:tcW w:w="1800" w:type="dxa"/>
            <w:tcMar>
              <w:top w:w="80" w:type="dxa"/>
              <w:left w:w="100" w:type="dxa"/>
              <w:bottom w:w="80" w:type="dxa"/>
              <w:right w:w="100" w:type="dxa"/>
            </w:tcMar>
            <w:vAlign w:val="center"/>
          </w:tcPr>
          <w:p w14:paraId="59F7E94C" w14:textId="77777777" w:rsidR="00A4743F" w:rsidRDefault="00000000">
            <w:r>
              <w:rPr>
                <w:b/>
                <w:bCs/>
                <w:color w:val="1F3864"/>
                <w:sz w:val="18"/>
                <w:szCs w:val="18"/>
              </w:rPr>
              <w:t>Polling System</w:t>
            </w:r>
          </w:p>
        </w:tc>
        <w:tc>
          <w:tcPr>
            <w:tcW w:w="2400" w:type="dxa"/>
            <w:tcMar>
              <w:top w:w="80" w:type="dxa"/>
              <w:left w:w="100" w:type="dxa"/>
              <w:bottom w:w="80" w:type="dxa"/>
              <w:right w:w="100" w:type="dxa"/>
            </w:tcMar>
            <w:vAlign w:val="center"/>
          </w:tcPr>
          <w:p w14:paraId="59F7E94D" w14:textId="77777777" w:rsidR="00A4743F" w:rsidRDefault="00000000">
            <w:r>
              <w:rPr>
                <w:color w:val="222222"/>
                <w:sz w:val="18"/>
                <w:szCs w:val="18"/>
              </w:rPr>
              <w:t>D1–D4 structured poll, venue poll, post-RSVP preference polls (Veg/Non-Veg, Alcohol); anonymized responses by default; repoll workflow; AI-assisted result analysis.</w:t>
            </w:r>
          </w:p>
        </w:tc>
        <w:tc>
          <w:tcPr>
            <w:tcW w:w="2400" w:type="dxa"/>
            <w:tcMar>
              <w:top w:w="80" w:type="dxa"/>
              <w:left w:w="100" w:type="dxa"/>
              <w:bottom w:w="80" w:type="dxa"/>
              <w:right w:w="100" w:type="dxa"/>
            </w:tcMar>
            <w:vAlign w:val="center"/>
          </w:tcPr>
          <w:p w14:paraId="59F7E94E" w14:textId="77777777" w:rsidR="00A4743F" w:rsidRDefault="00000000">
            <w:r>
              <w:rPr>
                <w:color w:val="222222"/>
                <w:sz w:val="18"/>
                <w:szCs w:val="18"/>
              </w:rPr>
              <w:t>—</w:t>
            </w:r>
          </w:p>
        </w:tc>
        <w:tc>
          <w:tcPr>
            <w:tcW w:w="1900" w:type="dxa"/>
            <w:tcMar>
              <w:top w:w="80" w:type="dxa"/>
              <w:left w:w="100" w:type="dxa"/>
              <w:bottom w:w="80" w:type="dxa"/>
              <w:right w:w="100" w:type="dxa"/>
            </w:tcMar>
            <w:vAlign w:val="center"/>
          </w:tcPr>
          <w:p w14:paraId="59F7E94F" w14:textId="77777777" w:rsidR="00A4743F" w:rsidRDefault="00000000">
            <w:r>
              <w:rPr>
                <w:color w:val="222222"/>
                <w:sz w:val="18"/>
                <w:szCs w:val="18"/>
              </w:rPr>
              <w:t>A third, as-yet-unspecified poll type.</w:t>
            </w:r>
          </w:p>
        </w:tc>
      </w:tr>
      <w:tr w:rsidR="00A4743F" w14:paraId="59F7E955" w14:textId="77777777">
        <w:tblPrEx>
          <w:tblCellMar>
            <w:top w:w="0" w:type="dxa"/>
            <w:bottom w:w="0" w:type="dxa"/>
          </w:tblCellMar>
        </w:tblPrEx>
        <w:tc>
          <w:tcPr>
            <w:tcW w:w="1800" w:type="dxa"/>
            <w:tcMar>
              <w:top w:w="80" w:type="dxa"/>
              <w:left w:w="100" w:type="dxa"/>
              <w:bottom w:w="80" w:type="dxa"/>
              <w:right w:w="100" w:type="dxa"/>
            </w:tcMar>
            <w:vAlign w:val="center"/>
          </w:tcPr>
          <w:p w14:paraId="59F7E951" w14:textId="77777777" w:rsidR="00A4743F" w:rsidRDefault="00000000">
            <w:proofErr w:type="spellStart"/>
            <w:r>
              <w:rPr>
                <w:b/>
                <w:bCs/>
                <w:color w:val="1F3864"/>
                <w:sz w:val="18"/>
                <w:szCs w:val="18"/>
              </w:rPr>
              <w:t>CostGPT</w:t>
            </w:r>
            <w:proofErr w:type="spellEnd"/>
            <w:r>
              <w:rPr>
                <w:b/>
                <w:bCs/>
                <w:color w:val="1F3864"/>
                <w:sz w:val="18"/>
                <w:szCs w:val="18"/>
              </w:rPr>
              <w:t xml:space="preserve"> (Cost Estimation)</w:t>
            </w:r>
          </w:p>
        </w:tc>
        <w:tc>
          <w:tcPr>
            <w:tcW w:w="2400" w:type="dxa"/>
            <w:tcMar>
              <w:top w:w="80" w:type="dxa"/>
              <w:left w:w="100" w:type="dxa"/>
              <w:bottom w:w="80" w:type="dxa"/>
              <w:right w:w="100" w:type="dxa"/>
            </w:tcMar>
            <w:vAlign w:val="center"/>
          </w:tcPr>
          <w:p w14:paraId="59F7E952" w14:textId="77777777" w:rsidR="00A4743F" w:rsidRDefault="00000000">
            <w:r>
              <w:rPr>
                <w:color w:val="222222"/>
                <w:sz w:val="18"/>
                <w:szCs w:val="18"/>
              </w:rPr>
              <w:t>Mode A (Top-5 Advisory) and Mode B (Full Estimate, conversational “EVE” chat), Anchor-only; conversation/session persistence.</w:t>
            </w:r>
          </w:p>
        </w:tc>
        <w:tc>
          <w:tcPr>
            <w:tcW w:w="2400" w:type="dxa"/>
            <w:tcMar>
              <w:top w:w="80" w:type="dxa"/>
              <w:left w:w="100" w:type="dxa"/>
              <w:bottom w:w="80" w:type="dxa"/>
              <w:right w:w="100" w:type="dxa"/>
            </w:tcMar>
            <w:vAlign w:val="center"/>
          </w:tcPr>
          <w:p w14:paraId="59F7E953" w14:textId="77777777" w:rsidR="00A4743F" w:rsidRDefault="00000000">
            <w:r>
              <w:rPr>
                <w:color w:val="222222"/>
                <w:sz w:val="18"/>
                <w:szCs w:val="18"/>
              </w:rPr>
              <w:t>Cost variation scenarios (Low/Base/High); sensitivity analysis; off-topic guardrails; output-to-editable-form.</w:t>
            </w:r>
          </w:p>
        </w:tc>
        <w:tc>
          <w:tcPr>
            <w:tcW w:w="1900" w:type="dxa"/>
            <w:tcMar>
              <w:top w:w="80" w:type="dxa"/>
              <w:left w:w="100" w:type="dxa"/>
              <w:bottom w:w="80" w:type="dxa"/>
              <w:right w:w="100" w:type="dxa"/>
            </w:tcMar>
            <w:vAlign w:val="center"/>
          </w:tcPr>
          <w:p w14:paraId="59F7E954" w14:textId="77777777" w:rsidR="00A4743F" w:rsidRDefault="00000000">
            <w:r>
              <w:rPr>
                <w:color w:val="222222"/>
                <w:sz w:val="18"/>
                <w:szCs w:val="18"/>
              </w:rPr>
              <w:t>Flight/train logistics estimation; MakeMyTrip API/MCP integration for live travel data.</w:t>
            </w:r>
          </w:p>
        </w:tc>
      </w:tr>
      <w:tr w:rsidR="00A4743F" w14:paraId="59F7E95A" w14:textId="77777777">
        <w:tblPrEx>
          <w:tblCellMar>
            <w:top w:w="0" w:type="dxa"/>
            <w:bottom w:w="0" w:type="dxa"/>
          </w:tblCellMar>
        </w:tblPrEx>
        <w:tc>
          <w:tcPr>
            <w:tcW w:w="1800" w:type="dxa"/>
            <w:tcMar>
              <w:top w:w="80" w:type="dxa"/>
              <w:left w:w="100" w:type="dxa"/>
              <w:bottom w:w="80" w:type="dxa"/>
              <w:right w:w="100" w:type="dxa"/>
            </w:tcMar>
            <w:vAlign w:val="center"/>
          </w:tcPr>
          <w:p w14:paraId="59F7E956" w14:textId="77777777" w:rsidR="00A4743F" w:rsidRDefault="00000000">
            <w:r>
              <w:rPr>
                <w:b/>
                <w:bCs/>
                <w:color w:val="1F3864"/>
                <w:sz w:val="18"/>
                <w:szCs w:val="18"/>
              </w:rPr>
              <w:t>Payment Management</w:t>
            </w:r>
          </w:p>
        </w:tc>
        <w:tc>
          <w:tcPr>
            <w:tcW w:w="2400" w:type="dxa"/>
            <w:tcMar>
              <w:top w:w="80" w:type="dxa"/>
              <w:left w:w="100" w:type="dxa"/>
              <w:bottom w:w="80" w:type="dxa"/>
              <w:right w:w="100" w:type="dxa"/>
            </w:tcMar>
            <w:vAlign w:val="center"/>
          </w:tcPr>
          <w:p w14:paraId="59F7E957" w14:textId="77777777" w:rsidR="00A4743F" w:rsidRDefault="00000000">
            <w:r>
              <w:rPr>
                <w:color w:val="222222"/>
                <w:sz w:val="18"/>
                <w:szCs w:val="18"/>
              </w:rPr>
              <w:t>Manual payment tracking only (“Mark as Paid” + Event Expense Tracking); prepaid, full-payment only; app never holds funds.</w:t>
            </w:r>
          </w:p>
        </w:tc>
        <w:tc>
          <w:tcPr>
            <w:tcW w:w="2400" w:type="dxa"/>
            <w:tcMar>
              <w:top w:w="80" w:type="dxa"/>
              <w:left w:w="100" w:type="dxa"/>
              <w:bottom w:w="80" w:type="dxa"/>
              <w:right w:w="100" w:type="dxa"/>
            </w:tcMar>
            <w:vAlign w:val="center"/>
          </w:tcPr>
          <w:p w14:paraId="59F7E958" w14:textId="77777777" w:rsidR="00A4743F" w:rsidRDefault="00000000">
            <w:proofErr w:type="spellStart"/>
            <w:r>
              <w:rPr>
                <w:color w:val="222222"/>
                <w:sz w:val="18"/>
                <w:szCs w:val="18"/>
              </w:rPr>
              <w:t>Razorpay</w:t>
            </w:r>
            <w:proofErr w:type="spellEnd"/>
            <w:r>
              <w:rPr>
                <w:color w:val="222222"/>
                <w:sz w:val="18"/>
                <w:szCs w:val="18"/>
              </w:rPr>
              <w:t xml:space="preserve"> gateway integration live; KYC and audit-trail build-out; fund-custody policy resolved; postpaid/hybrid payment types.</w:t>
            </w:r>
          </w:p>
        </w:tc>
        <w:tc>
          <w:tcPr>
            <w:tcW w:w="1900" w:type="dxa"/>
            <w:tcMar>
              <w:top w:w="80" w:type="dxa"/>
              <w:left w:w="100" w:type="dxa"/>
              <w:bottom w:w="80" w:type="dxa"/>
              <w:right w:w="100" w:type="dxa"/>
            </w:tcMar>
            <w:vAlign w:val="center"/>
          </w:tcPr>
          <w:p w14:paraId="59F7E959" w14:textId="77777777" w:rsidR="00A4743F" w:rsidRDefault="00000000">
            <w:r>
              <w:rPr>
                <w:color w:val="222222"/>
                <w:sz w:val="18"/>
                <w:szCs w:val="18"/>
              </w:rPr>
              <w:t>Automated daily multi-merchant disbursement; billing module (flagged priority, not yet scoped — see Section 10).</w:t>
            </w:r>
          </w:p>
        </w:tc>
      </w:tr>
      <w:tr w:rsidR="00A4743F" w14:paraId="59F7E95F" w14:textId="77777777">
        <w:tblPrEx>
          <w:tblCellMar>
            <w:top w:w="0" w:type="dxa"/>
            <w:bottom w:w="0" w:type="dxa"/>
          </w:tblCellMar>
        </w:tblPrEx>
        <w:tc>
          <w:tcPr>
            <w:tcW w:w="1800" w:type="dxa"/>
            <w:tcMar>
              <w:top w:w="80" w:type="dxa"/>
              <w:left w:w="100" w:type="dxa"/>
              <w:bottom w:w="80" w:type="dxa"/>
              <w:right w:w="100" w:type="dxa"/>
            </w:tcMar>
            <w:vAlign w:val="center"/>
          </w:tcPr>
          <w:p w14:paraId="59F7E95B" w14:textId="77777777" w:rsidR="00A4743F" w:rsidRDefault="00000000">
            <w:r>
              <w:rPr>
                <w:b/>
                <w:bCs/>
                <w:color w:val="1F3864"/>
                <w:sz w:val="18"/>
                <w:szCs w:val="18"/>
              </w:rPr>
              <w:lastRenderedPageBreak/>
              <w:t>Notification System</w:t>
            </w:r>
          </w:p>
        </w:tc>
        <w:tc>
          <w:tcPr>
            <w:tcW w:w="2400" w:type="dxa"/>
            <w:tcMar>
              <w:top w:w="80" w:type="dxa"/>
              <w:left w:w="100" w:type="dxa"/>
              <w:bottom w:w="80" w:type="dxa"/>
              <w:right w:w="100" w:type="dxa"/>
            </w:tcMar>
            <w:vAlign w:val="center"/>
          </w:tcPr>
          <w:p w14:paraId="59F7E95C" w14:textId="77777777" w:rsidR="00A4743F" w:rsidRDefault="00000000">
            <w:r>
              <w:rPr>
                <w:color w:val="222222"/>
                <w:sz w:val="18"/>
                <w:szCs w:val="18"/>
              </w:rPr>
              <w:t xml:space="preserve">SMS + Email via </w:t>
            </w:r>
            <w:proofErr w:type="spellStart"/>
            <w:r>
              <w:rPr>
                <w:color w:val="222222"/>
                <w:sz w:val="18"/>
                <w:szCs w:val="18"/>
              </w:rPr>
              <w:t>Karix</w:t>
            </w:r>
            <w:proofErr w:type="spellEnd"/>
            <w:r>
              <w:rPr>
                <w:color w:val="222222"/>
                <w:sz w:val="18"/>
                <w:szCs w:val="18"/>
              </w:rPr>
              <w:t>, transactional only (no promotional/marketing messaging); event, poll, RSVP and payment notifications.</w:t>
            </w:r>
          </w:p>
        </w:tc>
        <w:tc>
          <w:tcPr>
            <w:tcW w:w="2400" w:type="dxa"/>
            <w:tcMar>
              <w:top w:w="80" w:type="dxa"/>
              <w:left w:w="100" w:type="dxa"/>
              <w:bottom w:w="80" w:type="dxa"/>
              <w:right w:w="100" w:type="dxa"/>
            </w:tcMar>
            <w:vAlign w:val="center"/>
          </w:tcPr>
          <w:p w14:paraId="59F7E95D" w14:textId="77777777" w:rsidR="00A4743F" w:rsidRDefault="00000000">
            <w:r>
              <w:rPr>
                <w:color w:val="222222"/>
                <w:sz w:val="18"/>
                <w:szCs w:val="18"/>
              </w:rPr>
              <w:t>WhatsApp channel (pending Meta/Facebook Business verification); campaign messaging; AI-driven RSVP nudge/reminder agent.</w:t>
            </w:r>
          </w:p>
        </w:tc>
        <w:tc>
          <w:tcPr>
            <w:tcW w:w="1900" w:type="dxa"/>
            <w:tcMar>
              <w:top w:w="80" w:type="dxa"/>
              <w:left w:w="100" w:type="dxa"/>
              <w:bottom w:w="80" w:type="dxa"/>
              <w:right w:w="100" w:type="dxa"/>
            </w:tcMar>
            <w:vAlign w:val="center"/>
          </w:tcPr>
          <w:p w14:paraId="59F7E95E" w14:textId="77777777" w:rsidR="00A4743F" w:rsidRDefault="00000000">
            <w:r>
              <w:rPr>
                <w:color w:val="222222"/>
                <w:sz w:val="18"/>
                <w:szCs w:val="18"/>
              </w:rPr>
              <w:t>—</w:t>
            </w:r>
          </w:p>
        </w:tc>
      </w:tr>
      <w:tr w:rsidR="00A4743F" w14:paraId="59F7E964" w14:textId="77777777">
        <w:tblPrEx>
          <w:tblCellMar>
            <w:top w:w="0" w:type="dxa"/>
            <w:bottom w:w="0" w:type="dxa"/>
          </w:tblCellMar>
        </w:tblPrEx>
        <w:tc>
          <w:tcPr>
            <w:tcW w:w="1800" w:type="dxa"/>
            <w:tcMar>
              <w:top w:w="80" w:type="dxa"/>
              <w:left w:w="100" w:type="dxa"/>
              <w:bottom w:w="80" w:type="dxa"/>
              <w:right w:w="100" w:type="dxa"/>
            </w:tcMar>
            <w:vAlign w:val="center"/>
          </w:tcPr>
          <w:p w14:paraId="59F7E960" w14:textId="77777777" w:rsidR="00A4743F" w:rsidRDefault="00000000">
            <w:r>
              <w:rPr>
                <w:b/>
                <w:bCs/>
                <w:color w:val="1F3864"/>
                <w:sz w:val="18"/>
                <w:szCs w:val="18"/>
              </w:rPr>
              <w:t>Profile Builder</w:t>
            </w:r>
          </w:p>
        </w:tc>
        <w:tc>
          <w:tcPr>
            <w:tcW w:w="2400" w:type="dxa"/>
            <w:tcMar>
              <w:top w:w="80" w:type="dxa"/>
              <w:left w:w="100" w:type="dxa"/>
              <w:bottom w:w="80" w:type="dxa"/>
              <w:right w:w="100" w:type="dxa"/>
            </w:tcMar>
            <w:vAlign w:val="center"/>
          </w:tcPr>
          <w:p w14:paraId="59F7E961" w14:textId="77777777" w:rsidR="00A4743F" w:rsidRDefault="00000000">
            <w:r>
              <w:rPr>
                <w:color w:val="222222"/>
                <w:sz w:val="18"/>
                <w:szCs w:val="18"/>
              </w:rPr>
              <w:t xml:space="preserve">Anchor-triggered AI profile generation (Claude Sonnet 4.6) from </w:t>
            </w:r>
            <w:proofErr w:type="spellStart"/>
            <w:r>
              <w:rPr>
                <w:color w:val="222222"/>
                <w:sz w:val="18"/>
                <w:szCs w:val="18"/>
              </w:rPr>
              <w:t>Firecrawl</w:t>
            </w:r>
            <w:proofErr w:type="spellEnd"/>
            <w:r>
              <w:rPr>
                <w:color w:val="222222"/>
                <w:sz w:val="18"/>
                <w:szCs w:val="18"/>
              </w:rPr>
              <w:t>/DuckDuckGo sourcing and member-supplied links/text; two-step consent; Member-side self-generation enabled.</w:t>
            </w:r>
          </w:p>
        </w:tc>
        <w:tc>
          <w:tcPr>
            <w:tcW w:w="2400" w:type="dxa"/>
            <w:tcMar>
              <w:top w:w="80" w:type="dxa"/>
              <w:left w:w="100" w:type="dxa"/>
              <w:bottom w:w="80" w:type="dxa"/>
              <w:right w:w="100" w:type="dxa"/>
            </w:tcMar>
            <w:vAlign w:val="center"/>
          </w:tcPr>
          <w:p w14:paraId="59F7E962" w14:textId="77777777" w:rsidR="00A4743F" w:rsidRDefault="00000000">
            <w:r>
              <w:rPr>
                <w:color w:val="222222"/>
                <w:sz w:val="18"/>
                <w:szCs w:val="18"/>
              </w:rPr>
              <w:t>Anchor choice of underlying LLM as a paid/premium-tier feature.</w:t>
            </w:r>
          </w:p>
        </w:tc>
        <w:tc>
          <w:tcPr>
            <w:tcW w:w="1900" w:type="dxa"/>
            <w:tcMar>
              <w:top w:w="80" w:type="dxa"/>
              <w:left w:w="100" w:type="dxa"/>
              <w:bottom w:w="80" w:type="dxa"/>
              <w:right w:w="100" w:type="dxa"/>
            </w:tcMar>
            <w:vAlign w:val="center"/>
          </w:tcPr>
          <w:p w14:paraId="59F7E963" w14:textId="77777777" w:rsidR="00A4743F" w:rsidRDefault="00000000">
            <w:r>
              <w:rPr>
                <w:color w:val="222222"/>
                <w:sz w:val="18"/>
                <w:szCs w:val="18"/>
              </w:rPr>
              <w:t>—</w:t>
            </w:r>
          </w:p>
        </w:tc>
      </w:tr>
      <w:tr w:rsidR="00A4743F" w14:paraId="59F7E969" w14:textId="77777777">
        <w:tblPrEx>
          <w:tblCellMar>
            <w:top w:w="0" w:type="dxa"/>
            <w:bottom w:w="0" w:type="dxa"/>
          </w:tblCellMar>
        </w:tblPrEx>
        <w:tc>
          <w:tcPr>
            <w:tcW w:w="1800" w:type="dxa"/>
            <w:tcMar>
              <w:top w:w="80" w:type="dxa"/>
              <w:left w:w="100" w:type="dxa"/>
              <w:bottom w:w="80" w:type="dxa"/>
              <w:right w:w="100" w:type="dxa"/>
            </w:tcMar>
            <w:vAlign w:val="center"/>
          </w:tcPr>
          <w:p w14:paraId="59F7E965" w14:textId="77777777" w:rsidR="00A4743F" w:rsidRDefault="00000000">
            <w:r>
              <w:rPr>
                <w:b/>
                <w:bCs/>
                <w:color w:val="1F3864"/>
                <w:sz w:val="18"/>
                <w:szCs w:val="18"/>
              </w:rPr>
              <w:t>Media Management</w:t>
            </w:r>
          </w:p>
        </w:tc>
        <w:tc>
          <w:tcPr>
            <w:tcW w:w="2400" w:type="dxa"/>
            <w:tcMar>
              <w:top w:w="80" w:type="dxa"/>
              <w:left w:w="100" w:type="dxa"/>
              <w:bottom w:w="80" w:type="dxa"/>
              <w:right w:w="100" w:type="dxa"/>
            </w:tcMar>
            <w:vAlign w:val="center"/>
          </w:tcPr>
          <w:p w14:paraId="59F7E966" w14:textId="77777777" w:rsidR="00A4743F" w:rsidRDefault="00000000">
            <w:r>
              <w:rPr>
                <w:color w:val="222222"/>
                <w:sz w:val="18"/>
                <w:szCs w:val="18"/>
              </w:rPr>
              <w:t>Event-level library — photo/video upload (Anchor + Member), PDF upload (Anchor only), Anchor-delete rights, chronological display.</w:t>
            </w:r>
          </w:p>
        </w:tc>
        <w:tc>
          <w:tcPr>
            <w:tcW w:w="2400" w:type="dxa"/>
            <w:tcMar>
              <w:top w:w="80" w:type="dxa"/>
              <w:left w:w="100" w:type="dxa"/>
              <w:bottom w:w="80" w:type="dxa"/>
              <w:right w:w="100" w:type="dxa"/>
            </w:tcMar>
            <w:vAlign w:val="center"/>
          </w:tcPr>
          <w:p w14:paraId="59F7E967" w14:textId="77777777" w:rsidR="00A4743F" w:rsidRDefault="00000000">
            <w:r>
              <w:rPr>
                <w:color w:val="222222"/>
                <w:sz w:val="18"/>
                <w:szCs w:val="18"/>
              </w:rPr>
              <w:t>Member Personal Library; consent filters for cross-cohort photo visibility.</w:t>
            </w:r>
          </w:p>
        </w:tc>
        <w:tc>
          <w:tcPr>
            <w:tcW w:w="1900" w:type="dxa"/>
            <w:tcMar>
              <w:top w:w="80" w:type="dxa"/>
              <w:left w:w="100" w:type="dxa"/>
              <w:bottom w:w="80" w:type="dxa"/>
              <w:right w:w="100" w:type="dxa"/>
            </w:tcMar>
            <w:vAlign w:val="center"/>
          </w:tcPr>
          <w:p w14:paraId="59F7E968" w14:textId="77777777" w:rsidR="00A4743F" w:rsidRDefault="00000000">
            <w:r>
              <w:rPr>
                <w:color w:val="222222"/>
                <w:sz w:val="18"/>
                <w:szCs w:val="18"/>
              </w:rPr>
              <w:t>Media auto-deletion after 60–90 days; AI video-montage bot for event highlight reels.</w:t>
            </w:r>
          </w:p>
        </w:tc>
      </w:tr>
      <w:tr w:rsidR="00A4743F" w14:paraId="59F7E96E" w14:textId="77777777">
        <w:tblPrEx>
          <w:tblCellMar>
            <w:top w:w="0" w:type="dxa"/>
            <w:bottom w:w="0" w:type="dxa"/>
          </w:tblCellMar>
        </w:tblPrEx>
        <w:tc>
          <w:tcPr>
            <w:tcW w:w="1800" w:type="dxa"/>
            <w:tcMar>
              <w:top w:w="80" w:type="dxa"/>
              <w:left w:w="100" w:type="dxa"/>
              <w:bottom w:w="80" w:type="dxa"/>
              <w:right w:w="100" w:type="dxa"/>
            </w:tcMar>
            <w:vAlign w:val="center"/>
          </w:tcPr>
          <w:p w14:paraId="59F7E96A" w14:textId="77777777" w:rsidR="00A4743F" w:rsidRDefault="00000000">
            <w:r>
              <w:rPr>
                <w:b/>
                <w:bCs/>
                <w:color w:val="1F3864"/>
                <w:sz w:val="18"/>
                <w:szCs w:val="18"/>
              </w:rPr>
              <w:t>Golf Tournament Module (add-on)</w:t>
            </w:r>
          </w:p>
        </w:tc>
        <w:tc>
          <w:tcPr>
            <w:tcW w:w="2400" w:type="dxa"/>
            <w:tcMar>
              <w:top w:w="80" w:type="dxa"/>
              <w:left w:w="100" w:type="dxa"/>
              <w:bottom w:w="80" w:type="dxa"/>
              <w:right w:w="100" w:type="dxa"/>
            </w:tcMar>
            <w:vAlign w:val="center"/>
          </w:tcPr>
          <w:p w14:paraId="59F7E96B" w14:textId="77777777" w:rsidR="00A4743F" w:rsidRDefault="00000000">
            <w:r>
              <w:rPr>
                <w:color w:val="222222"/>
                <w:sz w:val="18"/>
                <w:szCs w:val="18"/>
              </w:rPr>
              <w:t>Draw sheet, gross-score capture, scorecard fixes (“H” labeling, stroke-hole highlighting), Golf Statistics dashboards — shipped v1.3.</w:t>
            </w:r>
          </w:p>
        </w:tc>
        <w:tc>
          <w:tcPr>
            <w:tcW w:w="2400" w:type="dxa"/>
            <w:tcMar>
              <w:top w:w="80" w:type="dxa"/>
              <w:left w:w="100" w:type="dxa"/>
              <w:bottom w:w="80" w:type="dxa"/>
              <w:right w:w="100" w:type="dxa"/>
            </w:tcMar>
            <w:vAlign w:val="center"/>
          </w:tcPr>
          <w:p w14:paraId="59F7E96C" w14:textId="77777777" w:rsidR="00A4743F" w:rsidRDefault="00000000">
            <w:r>
              <w:rPr>
                <w:color w:val="222222"/>
                <w:sz w:val="18"/>
                <w:szCs w:val="18"/>
              </w:rPr>
              <w:t>Net/handicap live scoring, standings, dynamic-handicap automation, match-reminder push (Golf module’s internal Phase 2).</w:t>
            </w:r>
          </w:p>
        </w:tc>
        <w:tc>
          <w:tcPr>
            <w:tcW w:w="1900" w:type="dxa"/>
            <w:tcMar>
              <w:top w:w="80" w:type="dxa"/>
              <w:left w:w="100" w:type="dxa"/>
              <w:bottom w:w="80" w:type="dxa"/>
              <w:right w:w="100" w:type="dxa"/>
            </w:tcMar>
            <w:vAlign w:val="center"/>
          </w:tcPr>
          <w:p w14:paraId="59F7E96D" w14:textId="77777777" w:rsidR="00A4743F" w:rsidRDefault="00000000">
            <w:r>
              <w:rPr>
                <w:color w:val="222222"/>
                <w:sz w:val="18"/>
                <w:szCs w:val="18"/>
              </w:rPr>
              <w:t>Multi-sport adaptation (tennis, pickleball); official club-handicap API integration; voice-assisted score entry.</w:t>
            </w:r>
          </w:p>
        </w:tc>
      </w:tr>
      <w:tr w:rsidR="00A4743F" w14:paraId="59F7E973" w14:textId="77777777">
        <w:tblPrEx>
          <w:tblCellMar>
            <w:top w:w="0" w:type="dxa"/>
            <w:bottom w:w="0" w:type="dxa"/>
          </w:tblCellMar>
        </w:tblPrEx>
        <w:tc>
          <w:tcPr>
            <w:tcW w:w="1800" w:type="dxa"/>
            <w:tcMar>
              <w:top w:w="80" w:type="dxa"/>
              <w:left w:w="100" w:type="dxa"/>
              <w:bottom w:w="80" w:type="dxa"/>
              <w:right w:w="100" w:type="dxa"/>
            </w:tcMar>
            <w:vAlign w:val="center"/>
          </w:tcPr>
          <w:p w14:paraId="59F7E96F" w14:textId="77777777" w:rsidR="00A4743F" w:rsidRDefault="00000000">
            <w:r>
              <w:rPr>
                <w:b/>
                <w:bCs/>
                <w:color w:val="1F3864"/>
                <w:sz w:val="18"/>
                <w:szCs w:val="18"/>
              </w:rPr>
              <w:t>Billing Module</w:t>
            </w:r>
          </w:p>
        </w:tc>
        <w:tc>
          <w:tcPr>
            <w:tcW w:w="2400" w:type="dxa"/>
            <w:tcMar>
              <w:top w:w="80" w:type="dxa"/>
              <w:left w:w="100" w:type="dxa"/>
              <w:bottom w:w="80" w:type="dxa"/>
              <w:right w:w="100" w:type="dxa"/>
            </w:tcMar>
            <w:vAlign w:val="center"/>
          </w:tcPr>
          <w:p w14:paraId="59F7E970" w14:textId="77777777" w:rsidR="00A4743F" w:rsidRDefault="00000000">
            <w:r>
              <w:rPr>
                <w:color w:val="222222"/>
                <w:sz w:val="18"/>
                <w:szCs w:val="18"/>
              </w:rPr>
              <w:t>Not in scope.</w:t>
            </w:r>
          </w:p>
        </w:tc>
        <w:tc>
          <w:tcPr>
            <w:tcW w:w="2400" w:type="dxa"/>
            <w:tcMar>
              <w:top w:w="80" w:type="dxa"/>
              <w:left w:w="100" w:type="dxa"/>
              <w:bottom w:w="80" w:type="dxa"/>
              <w:right w:w="100" w:type="dxa"/>
            </w:tcMar>
            <w:vAlign w:val="center"/>
          </w:tcPr>
          <w:p w14:paraId="59F7E971" w14:textId="77777777" w:rsidR="00A4743F" w:rsidRDefault="00000000">
            <w:r>
              <w:rPr>
                <w:color w:val="222222"/>
                <w:sz w:val="18"/>
                <w:szCs w:val="18"/>
              </w:rPr>
              <w:t>Flagged by the client (18 Aug 2026) as the next immediate business priority — scope, timeline and dependencies not yet defined (OI-13).</w:t>
            </w:r>
          </w:p>
        </w:tc>
        <w:tc>
          <w:tcPr>
            <w:tcW w:w="1900" w:type="dxa"/>
            <w:tcMar>
              <w:top w:w="80" w:type="dxa"/>
              <w:left w:w="100" w:type="dxa"/>
              <w:bottom w:w="80" w:type="dxa"/>
              <w:right w:w="100" w:type="dxa"/>
            </w:tcMar>
            <w:vAlign w:val="center"/>
          </w:tcPr>
          <w:p w14:paraId="59F7E972" w14:textId="77777777" w:rsidR="00A4743F" w:rsidRDefault="00000000">
            <w:r>
              <w:rPr>
                <w:color w:val="222222"/>
                <w:sz w:val="18"/>
                <w:szCs w:val="18"/>
              </w:rPr>
              <w:t>—</w:t>
            </w:r>
          </w:p>
        </w:tc>
      </w:tr>
    </w:tbl>
    <w:p w14:paraId="59F7E974" w14:textId="77777777" w:rsidR="00A4743F" w:rsidRDefault="00A4743F">
      <w:pPr>
        <w:spacing w:after="240"/>
      </w:pPr>
    </w:p>
    <w:p w14:paraId="59F7E975" w14:textId="77777777" w:rsidR="00A4743F" w:rsidRDefault="00000000">
      <w:pPr>
        <w:pStyle w:val="Heading2"/>
        <w:spacing w:before="320" w:after="160"/>
      </w:pPr>
      <w:bookmarkStart w:id="7" w:name="_Toc239326825"/>
      <w:r>
        <w:rPr>
          <w:b/>
          <w:bCs/>
          <w:color w:val="2E5395"/>
          <w:sz w:val="24"/>
          <w:szCs w:val="24"/>
        </w:rPr>
        <w:t>5.1 Out of Scope (Current Release)</w:t>
      </w:r>
      <w:bookmarkEnd w:id="7"/>
    </w:p>
    <w:p w14:paraId="59F7E976" w14:textId="77777777" w:rsidR="00A4743F" w:rsidRDefault="00000000">
      <w:pPr>
        <w:spacing w:after="180" w:line="276" w:lineRule="auto"/>
        <w:jc w:val="both"/>
      </w:pPr>
      <w:r>
        <w:t>The following are explicitly out of scope for the current release and should not be assumed available without a separate scoping and prioritization exercise:</w:t>
      </w:r>
    </w:p>
    <w:p w14:paraId="59F7E977" w14:textId="77777777" w:rsidR="00A4743F" w:rsidRDefault="00000000">
      <w:pPr>
        <w:pStyle w:val="ListParagraph"/>
        <w:numPr>
          <w:ilvl w:val="0"/>
          <w:numId w:val="2"/>
        </w:numPr>
        <w:spacing w:after="90" w:line="276" w:lineRule="auto"/>
      </w:pPr>
      <w:r>
        <w:rPr>
          <w:b/>
          <w:bCs/>
        </w:rPr>
        <w:t>WhatsApp messaging</w:t>
      </w:r>
      <w:r>
        <w:t xml:space="preserve"> — deferred from Delta after </w:t>
      </w:r>
      <w:proofErr w:type="spellStart"/>
      <w:r>
        <w:t>Karix's</w:t>
      </w:r>
      <w:proofErr w:type="spellEnd"/>
      <w:r>
        <w:t xml:space="preserve"> Meta/Facebook Business account verification failed; targeted for Alpha once verification is resolved.</w:t>
      </w:r>
    </w:p>
    <w:p w14:paraId="59F7E978" w14:textId="77777777" w:rsidR="00A4743F" w:rsidRDefault="00000000">
      <w:pPr>
        <w:pStyle w:val="ListParagraph"/>
        <w:numPr>
          <w:ilvl w:val="0"/>
          <w:numId w:val="2"/>
        </w:numPr>
        <w:spacing w:after="90" w:line="276" w:lineRule="auto"/>
      </w:pPr>
      <w:r>
        <w:rPr>
          <w:b/>
          <w:bCs/>
        </w:rPr>
        <w:t xml:space="preserve">Live </w:t>
      </w:r>
      <w:proofErr w:type="spellStart"/>
      <w:r>
        <w:rPr>
          <w:b/>
          <w:bCs/>
        </w:rPr>
        <w:t>Razorpay</w:t>
      </w:r>
      <w:proofErr w:type="spellEnd"/>
      <w:r>
        <w:rPr>
          <w:b/>
          <w:bCs/>
        </w:rPr>
        <w:t xml:space="preserve"> checkout / payment-gateway integration</w:t>
      </w:r>
      <w:r>
        <w:t xml:space="preserve"> — deferred to Alpha; Delta uses manual payment tracking only, and the app does not hold funds.</w:t>
      </w:r>
    </w:p>
    <w:p w14:paraId="59F7E979" w14:textId="77777777" w:rsidR="00A4743F" w:rsidRDefault="00000000">
      <w:pPr>
        <w:pStyle w:val="ListParagraph"/>
        <w:numPr>
          <w:ilvl w:val="0"/>
          <w:numId w:val="2"/>
        </w:numPr>
        <w:spacing w:after="90" w:line="276" w:lineRule="auto"/>
      </w:pPr>
      <w:r>
        <w:rPr>
          <w:b/>
          <w:bCs/>
        </w:rPr>
        <w:t>Aggregated profile booklet (PDF) generation</w:t>
      </w:r>
      <w:r>
        <w:t xml:space="preserve"> — part of the platform's original product vision (profile aggregation into a printable/shareable alumni booklet) but not confirmed as built or scheduled within the Delta timeline reviewed for this BRD; treat as </w:t>
      </w:r>
      <w:proofErr w:type="spellStart"/>
      <w:r>
        <w:t>unscoped</w:t>
      </w:r>
      <w:proofErr w:type="spellEnd"/>
      <w:r>
        <w:t xml:space="preserve"> pending explicit confirmation.</w:t>
      </w:r>
    </w:p>
    <w:p w14:paraId="59F7E97A" w14:textId="77777777" w:rsidR="00A4743F" w:rsidRDefault="00000000">
      <w:pPr>
        <w:pStyle w:val="ListParagraph"/>
        <w:numPr>
          <w:ilvl w:val="0"/>
          <w:numId w:val="2"/>
        </w:numPr>
        <w:spacing w:after="90" w:line="276" w:lineRule="auto"/>
      </w:pPr>
      <w:r>
        <w:rPr>
          <w:b/>
          <w:bCs/>
        </w:rPr>
        <w:t>Dedicated Application Performance Monitoring (e.g. Sentry)</w:t>
      </w:r>
      <w:r>
        <w:t xml:space="preserve"> — deliberately deferred in favor of cloud-provider monitoring at the platform's current single-application scale.</w:t>
      </w:r>
    </w:p>
    <w:p w14:paraId="59F7E97B" w14:textId="77777777" w:rsidR="00A4743F" w:rsidRDefault="00000000">
      <w:pPr>
        <w:pStyle w:val="ListParagraph"/>
        <w:numPr>
          <w:ilvl w:val="0"/>
          <w:numId w:val="2"/>
        </w:numPr>
        <w:spacing w:after="90" w:line="276" w:lineRule="auto"/>
      </w:pPr>
      <w:r>
        <w:rPr>
          <w:b/>
          <w:bCs/>
        </w:rPr>
        <w:t>Private member-to-member messaging</w:t>
      </w:r>
      <w:r>
        <w:t xml:space="preserve"> — not yet built; when introduced, Anchors will be barred from viewing private messages by design.</w:t>
      </w:r>
    </w:p>
    <w:p w14:paraId="59F7E97C" w14:textId="77777777" w:rsidR="00A4743F" w:rsidRDefault="00000000">
      <w:pPr>
        <w:pStyle w:val="ListParagraph"/>
        <w:numPr>
          <w:ilvl w:val="0"/>
          <w:numId w:val="2"/>
        </w:numPr>
        <w:spacing w:after="90" w:line="276" w:lineRule="auto"/>
      </w:pPr>
      <w:r>
        <w:rPr>
          <w:b/>
          <w:bCs/>
        </w:rPr>
        <w:t>Multi-group Notice Board posting and repost/replication</w:t>
      </w:r>
      <w:r>
        <w:t xml:space="preserve"> — Delta is single-group posting only.</w:t>
      </w:r>
    </w:p>
    <w:p w14:paraId="59F7E97D" w14:textId="77777777" w:rsidR="00A4743F" w:rsidRDefault="00000000">
      <w:pPr>
        <w:pStyle w:val="Heading1"/>
        <w:pBdr>
          <w:bottom w:val="single" w:sz="6" w:space="4" w:color="1F3864"/>
        </w:pBdr>
        <w:spacing w:before="480" w:after="240"/>
      </w:pPr>
      <w:bookmarkStart w:id="8" w:name="_Toc239326826"/>
      <w:r>
        <w:rPr>
          <w:b/>
          <w:bCs/>
          <w:color w:val="1F3864"/>
          <w:sz w:val="30"/>
          <w:szCs w:val="30"/>
        </w:rPr>
        <w:t>6. Business Requirements by Module</w:t>
      </w:r>
      <w:bookmarkEnd w:id="8"/>
    </w:p>
    <w:p w14:paraId="59F7E97E" w14:textId="77777777" w:rsidR="00A4743F" w:rsidRDefault="00000000">
      <w:pPr>
        <w:spacing w:after="180" w:line="276" w:lineRule="auto"/>
        <w:jc w:val="both"/>
      </w:pPr>
      <w:r>
        <w:lastRenderedPageBreak/>
        <w:t xml:space="preserve">This section states, module by module, what the business requires and why — the confirmed decisions, business rules and rationale behind each module, at a level appropriate for a BRD. Screen-level and technical implementation detail is intentionally excluded here and belongs in the FRD and the Anchor / Member / Passive Content </w:t>
      </w:r>
      <w:proofErr w:type="spellStart"/>
      <w:r>
        <w:t>QuickLaunch</w:t>
      </w:r>
      <w:proofErr w:type="spellEnd"/>
      <w:r>
        <w:t xml:space="preserve"> FSDs.</w:t>
      </w:r>
    </w:p>
    <w:p w14:paraId="59F7E97F" w14:textId="77777777" w:rsidR="00A4743F" w:rsidRDefault="00000000">
      <w:pPr>
        <w:pStyle w:val="Heading3"/>
        <w:spacing w:before="220" w:after="120"/>
      </w:pPr>
      <w:bookmarkStart w:id="9" w:name="_Toc239326827"/>
      <w:r>
        <w:rPr>
          <w:b/>
          <w:bCs/>
          <w:color w:val="44546A"/>
          <w:sz w:val="22"/>
          <w:szCs w:val="22"/>
        </w:rPr>
        <w:t>6.1 User Management</w:t>
      </w:r>
      <w:bookmarkEnd w:id="9"/>
    </w:p>
    <w:p w14:paraId="59F7E980" w14:textId="77777777" w:rsidR="00A4743F" w:rsidRDefault="00000000">
      <w:pPr>
        <w:spacing w:after="180" w:line="276" w:lineRule="auto"/>
        <w:jc w:val="both"/>
      </w:pPr>
      <w:r>
        <w:t>The business requires a clean, unambiguous role model — Anchor (group administrator) and Member/Alum (participant) — with any platform user able to become an Anchor by being the first to create a group, and a single individual able to hold both roles simultaneously across different groups. Member onboarding must support the realities of alumni-group formation: manual addition by an Anchor, bulk CSV/Excel import (with the raw import file retained on AWS S3 as a permanent audit record and Anchor review/approval before imported profiles go live), and a Fast Create flow with Anchor-configured auto-population rules. Release v1.3.0 (30 Aug 2026) delivered a consolidated set of invitation options — Individual Invite, Contacts, Existing Members, and Bulk Upload — directly addressing the onboarding friction identified in the client's own prior manual reunion-planning experience.</w:t>
      </w:r>
    </w:p>
    <w:p w14:paraId="59F7E981" w14:textId="77777777" w:rsidR="00A4743F" w:rsidRDefault="00000000">
      <w:pPr>
        <w:spacing w:after="180" w:line="276" w:lineRule="auto"/>
        <w:jc w:val="both"/>
      </w:pPr>
      <w:r>
        <w:t>Member identity is anchored to a globally unique Member Code (first-initial + last-initial + a non-zero-padded numeric counter, user-overridable with duplicate checking) and a Cohort/Group Code, both required for reliable payment mapping and group-level reporting; mobile number is the primary identifier platform-wide, with email as secondary. Consent and Terms &amp; Conditions acceptance at first login — covering the rights an Anchor is granted over member data, logged for audit purposes — is now the standing pattern for every new group or client, not a one-off decision.</w:t>
      </w:r>
    </w:p>
    <w:p w14:paraId="59F7E982" w14:textId="77777777" w:rsidR="00A4743F" w:rsidRDefault="00000000">
      <w:pPr>
        <w:spacing w:after="180" w:line="276" w:lineRule="auto"/>
        <w:jc w:val="both"/>
      </w:pPr>
      <w:r>
        <w:t>The multi-anchor entitlement model (allowing an Anchor to grant anchor rights to other members, with an audit trail of anchor actions and entitlement checks before sensitive actions such as removing a member or closing a poll) was accepted as a build requirement and pulled ahead of the general Delta/Alpha split at client request, reflecting its business importance for groups that need more than one organizer. Full rollout, however, needs further internal testing and is targeted for after v1.3.0. The onboarding of CSGI40 (~140 members) as the platform's primary non-golf pilot cohort — deliberately chosen because the golf pilot group (Green Buddies) could not absorb further testing risk given its senior, discerning membership — is the current proving ground for these onboarding mechanics at real scale.</w:t>
      </w:r>
    </w:p>
    <w:p w14:paraId="59F7E983" w14:textId="77777777" w:rsidR="00A4743F" w:rsidRDefault="00000000">
      <w:pPr>
        <w:pStyle w:val="Heading3"/>
        <w:spacing w:before="220" w:after="120"/>
      </w:pPr>
      <w:bookmarkStart w:id="10" w:name="_Toc239326828"/>
      <w:r>
        <w:rPr>
          <w:b/>
          <w:bCs/>
          <w:color w:val="44546A"/>
          <w:sz w:val="22"/>
          <w:szCs w:val="22"/>
        </w:rPr>
        <w:t>6.2 Event Planning (D1–D4 Framework)</w:t>
      </w:r>
      <w:bookmarkEnd w:id="10"/>
    </w:p>
    <w:p w14:paraId="59F7E984" w14:textId="77777777" w:rsidR="00A4743F" w:rsidRDefault="00000000">
      <w:pPr>
        <w:spacing w:after="180" w:line="276" w:lineRule="auto"/>
        <w:jc w:val="both"/>
      </w:pPr>
      <w:r>
        <w:t xml:space="preserve">The business need is a repeatable, poll-driven path from “we should have a reunion” to “the reunion is happening,” removing the open-ended back-and-forth that causes most reunions to stall. This is operationalized as the D1–D4 framework — Dates, Duration, Destination, and Dollars (budget) — extended from the original three-dimension D3 (Duration/Date/Destination) model to add budget as a fourth confirmed poll dimension. The canonical business workflow is: an Anchor creates a group, adds members, creates an event, launches the D1–D4 poll, reviews aggregated “Sweet Spot” results and either polls again or publishes, obtains a </w:t>
      </w:r>
      <w:proofErr w:type="spellStart"/>
      <w:r>
        <w:t>CostGPT</w:t>
      </w:r>
      <w:proofErr w:type="spellEnd"/>
      <w:r>
        <w:t xml:space="preserve"> estimate, opens RSVP, collects payment, and executes the event — with the Anchor explicitly driving every phase transition (no phase auto-advances).</w:t>
      </w:r>
    </w:p>
    <w:p w14:paraId="59F7E985" w14:textId="77777777" w:rsidR="00A4743F" w:rsidRDefault="00000000">
      <w:pPr>
        <w:spacing w:after="180" w:line="276" w:lineRule="auto"/>
        <w:jc w:val="both"/>
      </w:pPr>
      <w:r>
        <w:t>Two business rules protect data integrity and group dynamics during planning: poll answers cannot be edited after submission during Delta (preventing shifting consensus mid-poll), and RSVP status is visible to all Members (not just the Anchor) so a group can see momentum build, while the underlying D1–D4 poll responses themselves remain anonymous. To keep cost information transparent without a heavy build, Members see a default top-line cost statement, and a request for a full itemized breakdown is routed to the Anchor rather than automated — satisfying the transparency expectation members reasonably have around where their money goes.</w:t>
      </w:r>
    </w:p>
    <w:p w14:paraId="59F7E986" w14:textId="77777777" w:rsidR="00A4743F" w:rsidRDefault="00000000">
      <w:pPr>
        <w:spacing w:after="180" w:line="276" w:lineRule="auto"/>
        <w:jc w:val="both"/>
      </w:pPr>
      <w:r>
        <w:t>As the platform has grown beyond alumni-reunion travel into sport-specific use (the Golf module, Section 6.9), event categories were formally split into Reunion/Social and Sports, each carrying its own set of category-specific capabilities (</w:t>
      </w:r>
      <w:proofErr w:type="spellStart"/>
      <w:r>
        <w:t>CostGPT</w:t>
      </w:r>
      <w:proofErr w:type="spellEnd"/>
      <w:r>
        <w:t xml:space="preserve"> and Travel for reunions; sport-specific scoring flows for sports) alongside a small set of </w:t>
      </w:r>
      <w:r>
        <w:lastRenderedPageBreak/>
        <w:t>capabilities common to both (Poll, Itinerary, RSVP). In the 25 August 2026 readiness review, the business explicitly ranked reunion-enablement (polls, cost estimation, RSVP, analytics) as the second-highest priority for remaining v1.3 effort, immediately after login/onboarding — directly reflecting that these are the features that make the difference between a reunion that happens and one that doesn't.</w:t>
      </w:r>
    </w:p>
    <w:p w14:paraId="59F7E987" w14:textId="77777777" w:rsidR="00A4743F" w:rsidRDefault="00000000">
      <w:pPr>
        <w:pStyle w:val="Heading3"/>
        <w:spacing w:before="220" w:after="120"/>
      </w:pPr>
      <w:bookmarkStart w:id="11" w:name="_Toc239326829"/>
      <w:r>
        <w:rPr>
          <w:b/>
          <w:bCs/>
          <w:color w:val="44546A"/>
          <w:sz w:val="22"/>
          <w:szCs w:val="22"/>
        </w:rPr>
        <w:t>6.3 Polling System</w:t>
      </w:r>
      <w:bookmarkEnd w:id="11"/>
    </w:p>
    <w:p w14:paraId="59F7E988" w14:textId="77777777" w:rsidR="00A4743F" w:rsidRDefault="00000000">
      <w:pPr>
        <w:spacing w:after="180" w:line="276" w:lineRule="auto"/>
        <w:jc w:val="both"/>
      </w:pPr>
      <w:r>
        <w:t>Polling is the mechanism through which a group converts individual preference into a group decision, and the business requires that mechanism be trustworthy, fast to read, and privacy-respecting. Individual poll and survey responses are anonymized by default, even from Anchors — driven by data-protection compliance (DPDP Act), the risk of a “loudest voice” distorting group dynamics if responses were attributable, and the consent friction that per-response consent would otherwise introduce. RSVP Yes/No status is the sole, deliberate exception, since attendance visibility itself is a stated Member-facing feature (“Who else is coming”). Poll results are presented in a 2+2 layout — the Anchor's own read of the results alongside an AI-suggested “popular choice” — keeping the Anchor firmly in control of the final call while giving them a fast, AI-assisted second opinion.</w:t>
      </w:r>
    </w:p>
    <w:p w14:paraId="59F7E989" w14:textId="77777777" w:rsidR="00A4743F" w:rsidRDefault="00000000">
      <w:pPr>
        <w:spacing w:after="180" w:line="276" w:lineRule="auto"/>
        <w:jc w:val="both"/>
      </w:pPr>
      <w:r>
        <w:t>A single, common generative-AI engine, differentiated only by prompt tuning rather than separate purpose-built engines, drives AI-assisted analysis across D1–D4 event polls, RSVP polls, and custom polls — a deliberate business decision to keep the AI investment consolidated and maintainable rather than fragmented. The business also requires that an Anchor can trigger a repoll pre-populated with prior questions directly from the analysis view, without rebuilding a poll from scratch, since re-polling on a narrowed set of options is a normal and expected part of group decision-making.</w:t>
      </w:r>
    </w:p>
    <w:p w14:paraId="59F7E98A" w14:textId="77777777" w:rsidR="00A4743F" w:rsidRDefault="00000000">
      <w:pPr>
        <w:pStyle w:val="Heading3"/>
        <w:spacing w:before="220" w:after="120"/>
      </w:pPr>
      <w:bookmarkStart w:id="12" w:name="_Toc239326830"/>
      <w:r>
        <w:rPr>
          <w:b/>
          <w:bCs/>
          <w:color w:val="44546A"/>
          <w:sz w:val="22"/>
          <w:szCs w:val="22"/>
        </w:rPr>
        <w:t>6.4 Cost Estimation Engine (</w:t>
      </w:r>
      <w:proofErr w:type="spellStart"/>
      <w:r>
        <w:rPr>
          <w:b/>
          <w:bCs/>
          <w:color w:val="44546A"/>
          <w:sz w:val="22"/>
          <w:szCs w:val="22"/>
        </w:rPr>
        <w:t>CostGPT</w:t>
      </w:r>
      <w:proofErr w:type="spellEnd"/>
      <w:r>
        <w:rPr>
          <w:b/>
          <w:bCs/>
          <w:color w:val="44546A"/>
          <w:sz w:val="22"/>
          <w:szCs w:val="22"/>
        </w:rPr>
        <w:t>)</w:t>
      </w:r>
      <w:bookmarkEnd w:id="12"/>
    </w:p>
    <w:p w14:paraId="59F7E98B" w14:textId="77777777" w:rsidR="00A4743F" w:rsidRDefault="00000000">
      <w:pPr>
        <w:spacing w:after="180" w:line="276" w:lineRule="auto"/>
        <w:jc w:val="both"/>
      </w:pPr>
      <w:proofErr w:type="spellStart"/>
      <w:r>
        <w:t>CostGPT</w:t>
      </w:r>
      <w:proofErr w:type="spellEnd"/>
      <w:r>
        <w:t xml:space="preserve"> exists to solve a specific business problem: Anchors need a defensible, in-app cost estimate without having to leave the platform for an unmanaged external AI tool, which would both fragment the workflow and risk exposing confidential group or platform data outside </w:t>
      </w:r>
      <w:proofErr w:type="spellStart"/>
      <w:r>
        <w:t>Alumnye's</w:t>
      </w:r>
      <w:proofErr w:type="spellEnd"/>
      <w:r>
        <w:t xml:space="preserve"> guardrails. It is Anchor-only by design — Members never see it — and operates in two confirmed modes: a Top-5 Advisory mode that suggests cost-optimized approaches directly from D1–D4 poll data, and a Full Estimate mode (the in-app conversational chat, referred to in later build documentation as “EVE”) in which the Anchor converses with an embedded AI to build a complete cost estimate covering hotel, food &amp; beverage, and airport transfer estimation. The engine auto-generates its own structured prompt context from the group's poll data, and its output was deliberately redesigned from an Excel-style export to a conversational, numbered-option chat format at the client's direction, improving Anchor </w:t>
      </w:r>
      <w:proofErr w:type="spellStart"/>
      <w:r>
        <w:t>scanability</w:t>
      </w:r>
      <w:proofErr w:type="spellEnd"/>
      <w:r>
        <w:t>.</w:t>
      </w:r>
    </w:p>
    <w:p w14:paraId="59F7E98C" w14:textId="77777777" w:rsidR="00A4743F" w:rsidRDefault="00000000">
      <w:pPr>
        <w:spacing w:after="180" w:line="276" w:lineRule="auto"/>
        <w:jc w:val="both"/>
      </w:pPr>
      <w:r>
        <w:t xml:space="preserve">The Delta scope for </w:t>
      </w:r>
      <w:proofErr w:type="spellStart"/>
      <w:r>
        <w:t>CostGPT</w:t>
      </w:r>
      <w:proofErr w:type="spellEnd"/>
      <w:r>
        <w:t xml:space="preserve"> was deliberately held narrow — retaining the existing estimation logic and adding only conversation/session persistence (so an Anchor's in-progress estimate survives closing and reopening the app) — with more ambitious capability (off-topic guardrails, flexible bridging into polls, converting AI output into an editable form, flight/train logistics estimation, cost-variation scenario modeling, and live travel-data integration via MakeMyTrip) explicitly pushed to Alpha and Future. Platform-wide AI guardrails apply without exception: no </w:t>
      </w:r>
      <w:proofErr w:type="spellStart"/>
      <w:r>
        <w:t>Alumnye</w:t>
      </w:r>
      <w:proofErr w:type="spellEnd"/>
      <w:r>
        <w:t xml:space="preserve"> name, company references, or internal/project-specific data may appear in any prompt; alcohol is always excluded from cost estimates; every AI-generated recommendation requires human (Anchor) review before it is finalized; and </w:t>
      </w:r>
      <w:proofErr w:type="spellStart"/>
      <w:r>
        <w:t>CostGPT</w:t>
      </w:r>
      <w:proofErr w:type="spellEnd"/>
      <w:r>
        <w:t xml:space="preserve"> output is treated as advisory only, never authoritative.</w:t>
      </w:r>
    </w:p>
    <w:p w14:paraId="59F7E98D" w14:textId="77777777" w:rsidR="00A4743F" w:rsidRDefault="00000000">
      <w:pPr>
        <w:pStyle w:val="Heading3"/>
        <w:spacing w:before="220" w:after="120"/>
      </w:pPr>
      <w:bookmarkStart w:id="13" w:name="_Toc239326831"/>
      <w:r>
        <w:rPr>
          <w:b/>
          <w:bCs/>
          <w:color w:val="44546A"/>
          <w:sz w:val="22"/>
          <w:szCs w:val="22"/>
        </w:rPr>
        <w:t>6.5 Payment Management</w:t>
      </w:r>
      <w:bookmarkEnd w:id="13"/>
    </w:p>
    <w:p w14:paraId="59F7E98E" w14:textId="77777777" w:rsidR="00A4743F" w:rsidRDefault="00000000">
      <w:pPr>
        <w:spacing w:after="180" w:line="276" w:lineRule="auto"/>
        <w:jc w:val="both"/>
      </w:pPr>
      <w:proofErr w:type="spellStart"/>
      <w:r>
        <w:t>Razorpay</w:t>
      </w:r>
      <w:proofErr w:type="spellEnd"/>
      <w:r>
        <w:t xml:space="preserve"> was selected as the preferred payment aggregator (evaluated against PayU for international coverage and </w:t>
      </w:r>
      <w:proofErr w:type="spellStart"/>
      <w:r>
        <w:t>CashFree</w:t>
      </w:r>
      <w:proofErr w:type="spellEnd"/>
      <w:r>
        <w:t xml:space="preserve"> for bulk payouts) on the strength of T+1 settlement, broad payment-method coverage, cross-border traceability for NRI alumni, and compliance/audit readiness — but the business made a deliberate, risk-driven decision to defer actual gateway integration to Alpha, and to launch Delta with manual payment tracking only (an Anchor-recorded “Mark as Paid” plus event expense tracking). No payment-wallet license was sought for Delta; the platform is designed to route through an aggregator rather than hold a wallet balance. Payments in Delta are </w:t>
      </w:r>
      <w:r>
        <w:lastRenderedPageBreak/>
        <w:t>prepaid, full-amount only — no partial payments — and can only be recorded once a member's RSVP is confirmed Yes.</w:t>
      </w:r>
    </w:p>
    <w:p w14:paraId="59F7E98F" w14:textId="77777777" w:rsidR="00A4743F" w:rsidRDefault="00000000">
      <w:pPr>
        <w:spacing w:after="180" w:line="276" w:lineRule="auto"/>
        <w:jc w:val="both"/>
      </w:pPr>
      <w:r>
        <w:t xml:space="preserve">The single most consequential open business question on the entire platform sits in this module: how long, and under what legal structure, </w:t>
      </w:r>
      <w:proofErr w:type="spellStart"/>
      <w:r>
        <w:t>Alumnye</w:t>
      </w:r>
      <w:proofErr w:type="spellEnd"/>
      <w:r>
        <w:t xml:space="preserve"> may hold collected member funds before disbursing them to vendors. The business has reframed payments as roughly 70% a compliance problem and 30% a transactional one, and has left the underlying custody model — a trust account for high-value events versus direct aggregator pass-through for low-value events — fully open pending legal and RBI input, because the applicable aggregator guidance appears to prohibit holding member funds beyond roughly one day, and because a prior attempt at a “collect then refund” float model had already resulted in a loss. Until that question is resolved, an interim, low-risk operating model has been adopted for live events: members pay a merchant directly by UPI/QR, upload a payment screenshot, and the Anchor reconciles manually via an exported spreadsheet — the app itself never touches the money. A longer-term, aggregator-based automated daily disbursement model, and an OCR-based fallback for extracting payment data from member-submitted screenshots, are both being designed for Alpha/Future but remain contingent on the same underlying legal resolution. Separately, the client has flagged a dedicated billing module as the next immediate business priority, with scope not yet defined (see Section 10).</w:t>
      </w:r>
    </w:p>
    <w:p w14:paraId="59F7E990" w14:textId="77777777" w:rsidR="00A4743F" w:rsidRDefault="00000000">
      <w:pPr>
        <w:pStyle w:val="Heading3"/>
        <w:spacing w:before="220" w:after="120"/>
      </w:pPr>
      <w:bookmarkStart w:id="14" w:name="_Toc239326832"/>
      <w:r>
        <w:rPr>
          <w:b/>
          <w:bCs/>
          <w:color w:val="44546A"/>
          <w:sz w:val="22"/>
          <w:szCs w:val="22"/>
        </w:rPr>
        <w:t>6.6 Notification System</w:t>
      </w:r>
      <w:bookmarkEnd w:id="14"/>
    </w:p>
    <w:p w14:paraId="59F7E991" w14:textId="77777777" w:rsidR="00A4743F" w:rsidRDefault="00000000">
      <w:pPr>
        <w:spacing w:after="180" w:line="276" w:lineRule="auto"/>
        <w:jc w:val="both"/>
      </w:pPr>
      <w:proofErr w:type="spellStart"/>
      <w:r>
        <w:t>Karix</w:t>
      </w:r>
      <w:proofErr w:type="spellEnd"/>
      <w:r>
        <w:t xml:space="preserve"> was selected, after a structured six-criteria vendor evaluation (scalability, delivery reliability, campaign capability, analytics, cost, long-term growth support), as the preferred vendor for SMS, WhatsApp and Email — chosen over </w:t>
      </w:r>
      <w:proofErr w:type="spellStart"/>
      <w:r>
        <w:t>Netcore</w:t>
      </w:r>
      <w:proofErr w:type="spellEnd"/>
      <w:r>
        <w:t xml:space="preserve"> (kept under evaluation for email campaigns only), </w:t>
      </w:r>
      <w:proofErr w:type="spellStart"/>
      <w:r>
        <w:t>SmartPing</w:t>
      </w:r>
      <w:proofErr w:type="spellEnd"/>
      <w:r>
        <w:t xml:space="preserve">, and </w:t>
      </w:r>
      <w:proofErr w:type="spellStart"/>
      <w:r>
        <w:t>ZeptoMail</w:t>
      </w:r>
      <w:proofErr w:type="spellEnd"/>
      <w:r>
        <w:t xml:space="preserve"> (used only as a temporary transactional-email bridge until </w:t>
      </w:r>
      <w:proofErr w:type="spellStart"/>
      <w:r>
        <w:t>Karix</w:t>
      </w:r>
      <w:proofErr w:type="spellEnd"/>
      <w:r>
        <w:t xml:space="preserve"> email went live). The business requirement for Delta is SMS and Email only, on a strictly transactional basis — no promotional or marketing messaging is being sent while there is no current business need for it, avoiding a regulatory (DLT) misclassification risk. WhatsApp was formally deferred out of Delta after </w:t>
      </w:r>
      <w:proofErr w:type="spellStart"/>
      <w:r>
        <w:t>Karix's</w:t>
      </w:r>
      <w:proofErr w:type="spellEnd"/>
      <w:r>
        <w:t xml:space="preserve"> Meta/Facebook Business account verification could not be resolved in time; it remains targeted for Alpha.</w:t>
      </w:r>
    </w:p>
    <w:p w14:paraId="59F7E992" w14:textId="77777777" w:rsidR="00A4743F" w:rsidRDefault="00000000">
      <w:pPr>
        <w:spacing w:after="180" w:line="276" w:lineRule="auto"/>
        <w:jc w:val="both"/>
      </w:pPr>
      <w:r>
        <w:t xml:space="preserve">Recurring </w:t>
      </w:r>
      <w:proofErr w:type="spellStart"/>
      <w:r>
        <w:t>Karix</w:t>
      </w:r>
      <w:proofErr w:type="spellEnd"/>
      <w:r>
        <w:t xml:space="preserve"> delivery reliability issues (OTP/SMS misclassification and delays that cost roughly three weeks of project time) led the business to place the </w:t>
      </w:r>
      <w:proofErr w:type="spellStart"/>
      <w:r>
        <w:t>Karix</w:t>
      </w:r>
      <w:proofErr w:type="spellEnd"/>
      <w:r>
        <w:t xml:space="preserve"> relationship under formal review, with a documented SLA comparison against </w:t>
      </w:r>
      <w:proofErr w:type="spellStart"/>
      <w:r>
        <w:t>Netcore</w:t>
      </w:r>
      <w:proofErr w:type="spellEnd"/>
      <w:r>
        <w:t xml:space="preserve"> now underway — this is an open, unresolved vendor decision (Section 10) with direct bearing on onboarding reliability. A consolidated AWS-plus-</w:t>
      </w:r>
      <w:proofErr w:type="spellStart"/>
      <w:r>
        <w:t>Karix</w:t>
      </w:r>
      <w:proofErr w:type="spellEnd"/>
      <w:r>
        <w:t xml:space="preserve"> cost and usage dashboard with alert thresholds was stood up after recurring AWS credit-consumption alerts exposed a gap in vendor cost visibility, reflecting the business's need to manage third-party messaging spend proactively rather than reactively.</w:t>
      </w:r>
    </w:p>
    <w:p w14:paraId="59F7E993" w14:textId="77777777" w:rsidR="00A4743F" w:rsidRDefault="00000000">
      <w:pPr>
        <w:pStyle w:val="Heading3"/>
        <w:spacing w:before="220" w:after="120"/>
      </w:pPr>
      <w:bookmarkStart w:id="15" w:name="_Toc239326833"/>
      <w:r>
        <w:rPr>
          <w:b/>
          <w:bCs/>
          <w:color w:val="44546A"/>
          <w:sz w:val="22"/>
          <w:szCs w:val="22"/>
        </w:rPr>
        <w:t>6.7 Profile Builder</w:t>
      </w:r>
      <w:bookmarkEnd w:id="15"/>
    </w:p>
    <w:p w14:paraId="59F7E994" w14:textId="77777777" w:rsidR="00A4743F" w:rsidRDefault="00000000">
      <w:pPr>
        <w:spacing w:after="180" w:line="276" w:lineRule="auto"/>
        <w:jc w:val="both"/>
      </w:pPr>
      <w:r>
        <w:t xml:space="preserve">The business need is to lower the effort required for a member to have a complete, professional profile, using AI to draft a starting bio from whatever public or member-supplied information is available, subject to member consent. LinkedIn scraping was confirmed infeasible under any evaluated tool — LinkedIn blocks unauthenticated access outright — so the platform instead combines </w:t>
      </w:r>
      <w:proofErr w:type="spellStart"/>
      <w:r>
        <w:t>Firecrawl</w:t>
      </w:r>
      <w:proofErr w:type="spellEnd"/>
      <w:r>
        <w:t xml:space="preserve"> (public-web scraping) with DuckDuckGo (public search), plus a single free-text field where a member can paste as many links as they wish; a member-supplied LinkedIn URL is stored on the profile but never live-scraped. This position was re-confirmed as recently as 25 August 2026, so it should be treated as a durable constraint rather than a temporary limitation.</w:t>
      </w:r>
    </w:p>
    <w:p w14:paraId="59F7E995" w14:textId="77777777" w:rsidR="00A4743F" w:rsidRDefault="00000000">
      <w:pPr>
        <w:spacing w:after="180" w:line="276" w:lineRule="auto"/>
        <w:jc w:val="both"/>
      </w:pPr>
      <w:r>
        <w:t xml:space="preserve">Claude Sonnet 4.6 (Anthropic) was adopted as the default LLM for both Profile Builder and </w:t>
      </w:r>
      <w:proofErr w:type="spellStart"/>
      <w:r>
        <w:t>CostGPT</w:t>
      </w:r>
      <w:proofErr w:type="spellEnd"/>
      <w:r>
        <w:t xml:space="preserve"> after a structured comparison judged it better suited to structured extraction and professional writing than the alternatives evaluated; the model is configured entirely at the back end, is not member-selectable in Delta, and can be swapped by the delivery team without requiring an app release — preserving the business's flexibility to change AI vendors without user-facing disruption or app-store delay. Token consumption per profile-generation attempt is capped (three attempts) to control runaway API cost. Consent is deliberately two-step — separate consent to extract data from public sources, and separate consent to publish the generated profile in-platform — reflecting the platform's broader privacy posture. Since 08 July 2026, Members (not only Anchors) can trigger their </w:t>
      </w:r>
      <w:r>
        <w:lastRenderedPageBreak/>
        <w:t xml:space="preserve">own AI profile generation, subject to the agreed pricing model; and as of </w:t>
      </w:r>
      <w:proofErr w:type="gramStart"/>
      <w:r>
        <w:t>24 August 2026</w:t>
      </w:r>
      <w:proofErr w:type="gramEnd"/>
      <w:r>
        <w:t xml:space="preserve"> it is an explicit business rule that AI-generated bios remain acceptable only when the Anchor (or member) manually reviews and refines the text before publishing, since generated text can pick up embellished or under-sourced claims.</w:t>
      </w:r>
    </w:p>
    <w:p w14:paraId="59F7E996" w14:textId="77777777" w:rsidR="00A4743F" w:rsidRDefault="00000000">
      <w:pPr>
        <w:pStyle w:val="Heading3"/>
        <w:spacing w:before="220" w:after="120"/>
      </w:pPr>
      <w:bookmarkStart w:id="16" w:name="_Toc239326834"/>
      <w:r>
        <w:rPr>
          <w:b/>
          <w:bCs/>
          <w:color w:val="44546A"/>
          <w:sz w:val="22"/>
          <w:szCs w:val="22"/>
        </w:rPr>
        <w:t>6.8 Media Management</w:t>
      </w:r>
      <w:bookmarkEnd w:id="16"/>
    </w:p>
    <w:p w14:paraId="59F7E997" w14:textId="77777777" w:rsidR="00A4743F" w:rsidRDefault="00000000">
      <w:pPr>
        <w:spacing w:after="180" w:line="276" w:lineRule="auto"/>
        <w:jc w:val="both"/>
      </w:pPr>
      <w:r>
        <w:t>The business requirement in Delta is a straightforward, cohort-scoped shared media library: both Anchors and Members can post photos and videos, only Anchors can remove posts, and visibility is scoped to the cohort (it does not transfer if a member later joins another cohort). PDF upload (itinerary, menus, documents) is Anchor-only. Scope is deliberately held at the event level for Delta — a master group-level library, a personal per-member library, and finer-grained visibility controls (proposed under the “Incognito” concept) are all planned for Alpha, once the event-level library has proven stable in production. Release v1.3.0 shipped enhancements to event-library image/video management and access.</w:t>
      </w:r>
    </w:p>
    <w:p w14:paraId="59F7E998" w14:textId="77777777" w:rsidR="00A4743F" w:rsidRDefault="00000000">
      <w:pPr>
        <w:spacing w:after="180" w:line="276" w:lineRule="auto"/>
        <w:jc w:val="both"/>
      </w:pPr>
      <w:r>
        <w:t>Looking further out, the business has identified photo-to-short-video montage generation as a high-value engagement feature (comparable to iPhone Memories or Google Photos), motivated by the observation that Anchors typically hold thousands of photos with heavy near-duplication; this remains a Future-roadmap item with a build-versus-reuse question still open, and is being approximated in the interim through manually produced Canva montages. Automatic media deletion after 60–90 days is likewise a Future item, framed explicitly as an S3 storage-cost control rather than a feature request.</w:t>
      </w:r>
    </w:p>
    <w:p w14:paraId="59F7E999" w14:textId="77777777" w:rsidR="00A4743F" w:rsidRDefault="00000000">
      <w:pPr>
        <w:pStyle w:val="Heading3"/>
        <w:spacing w:before="220" w:after="120"/>
      </w:pPr>
      <w:bookmarkStart w:id="17" w:name="_Toc239326835"/>
      <w:r>
        <w:rPr>
          <w:b/>
          <w:bCs/>
          <w:color w:val="44546A"/>
          <w:sz w:val="22"/>
          <w:szCs w:val="22"/>
        </w:rPr>
        <w:t>6.9 Golf Tournament Module (Standalone Add-On)</w:t>
      </w:r>
      <w:bookmarkEnd w:id="17"/>
    </w:p>
    <w:p w14:paraId="59F7E99A" w14:textId="77777777" w:rsidR="00A4743F" w:rsidRDefault="00000000">
      <w:pPr>
        <w:spacing w:after="180" w:line="276" w:lineRule="auto"/>
        <w:jc w:val="both"/>
      </w:pPr>
      <w:r>
        <w:t>Distinct from the platform's core alumni-event modules, the business commissioned a standalone Golf Tournament scoring and management add-on, deliberately kept separate from the main Delta/Alpha roadmap so that a fast-moving, sport-specific product could be built and tested for a real, live tournament (the ~44-member “Green Buddies” Rolling Trophy) without putting the core alumni-reunion roadmap at risk. The module is designed to be extensible to other sports (tennis, pickleball) in the future, differentiating it from single-purpose consumer golf apps. Business-critical scoring integrity requirements include: both gross and net (handicap-adjusted) scores; a single, board-verified Stroke Calculator lookup table as the sole source of truth for stroke allocation; gross-score-relative-to-par as the basis for dynamic handicap transitions; and manual (not automatic) handicap entry, a deliberate anti-cheating and accuracy safeguard pending the web functionality needed to automate it safely. A full re-evaluation of the Green Buddies tournament data (14 Aug 2026) confirmed the underlying handicap, stroke-allocation and net-score formulas as fully correct across more than 1,500 scoring records, with only a minor, already-diagnosed data-sync issue (a stale games-played counter) remaining open.</w:t>
      </w:r>
    </w:p>
    <w:p w14:paraId="59F7E99B" w14:textId="77777777" w:rsidR="00A4743F" w:rsidRDefault="00000000">
      <w:pPr>
        <w:spacing w:after="180" w:line="276" w:lineRule="auto"/>
        <w:jc w:val="both"/>
      </w:pPr>
      <w:r>
        <w:t>Release v1.3.0 shipped Golf Statistics (rankings, MVP/match points, course and team performance, and player performance metrics) and scorecard usability fixes, including replacing the temporary “AS” tied-match label with the correct golf convention “H,” and visibly highlighting stroke holes on the scorecard grid before and during play. Because the golf user base is senior and discerning, the business made a deliberate release-governance call to hold back the platform's direct Apple App Store release — even after iOS approval had already been received — until the dynamic-handicap and 27-hole course data gaps were fully resolved, prioritizing scoring credibility over release speed.</w:t>
      </w:r>
    </w:p>
    <w:p w14:paraId="59F7E99C" w14:textId="77777777" w:rsidR="00A4743F" w:rsidRDefault="00000000">
      <w:pPr>
        <w:pStyle w:val="Heading3"/>
        <w:spacing w:before="220" w:after="120"/>
      </w:pPr>
      <w:bookmarkStart w:id="18" w:name="_Toc239326836"/>
      <w:r>
        <w:rPr>
          <w:b/>
          <w:bCs/>
          <w:color w:val="44546A"/>
          <w:sz w:val="22"/>
          <w:szCs w:val="22"/>
        </w:rPr>
        <w:t>6.10 Infrastructure (AWS Cloud Platform)</w:t>
      </w:r>
      <w:bookmarkEnd w:id="18"/>
    </w:p>
    <w:p w14:paraId="59F7E99D" w14:textId="77777777" w:rsidR="00A4743F" w:rsidRDefault="00000000">
      <w:pPr>
        <w:spacing w:after="180" w:line="276" w:lineRule="auto"/>
        <w:jc w:val="both"/>
      </w:pPr>
      <w:r>
        <w:t xml:space="preserve">Infrastructure decisions in this project are treated as business decisions in their own right because they carry direct cost, compliance, and vendor-lock-in consequences. PostgreSQL on AWS RDS was selected over DynamoDB specifically for its fit with the complex, structured relational queries the platform needs across member, event, and payment data — a decision made early (08 Apr 2026) and documented for governance traceability. To control cost ahead of production-scale usage, the business chose to run on a pay-as-you-go AWS model (deferring reserved-instance commitments), to exclude RDS from the initial infrastructure footprint in favor of S3-only backups until data volume justifies it, and to schedule non-production server shutdowns outside business hours. A dedicated </w:t>
      </w:r>
      <w:r>
        <w:lastRenderedPageBreak/>
        <w:t>Prodian AWS account (migrated off a prior third-party account) gives the business clean, auditable ownership of cloud spend and billing.</w:t>
      </w:r>
    </w:p>
    <w:p w14:paraId="59F7E99E" w14:textId="77777777" w:rsidR="00A4743F" w:rsidRDefault="00000000">
      <w:pPr>
        <w:spacing w:after="180" w:line="276" w:lineRule="auto"/>
        <w:jc w:val="both"/>
      </w:pPr>
      <w:r>
        <w:t>App-store publishing required two business-level resolutions: Google Play's DUNS-based identity verification, completed early without incident, and an Apple App Store naming conflict (“Alumni” already taken), resolved by detaching from a legacy linked application and creating a new, dedicated “</w:t>
      </w:r>
      <w:proofErr w:type="spellStart"/>
      <w:r>
        <w:t>Alumnye</w:t>
      </w:r>
      <w:proofErr w:type="spellEnd"/>
      <w:r>
        <w:t>” App ID. The public website was deliberately scoped down to a minimal “Coming Soon” page — satisfying app-store review requirements for a live website and privacy policy without revealing product features ahead of launch — a pragmatic, low-cost decision whose sufficiency for store-review purposes is still being confirmed through actual review feedback rather than assumed. For application monitoring, the business chose to rely on standard cloud-provider monitoring for now and to explicitly defer dedicated APM tooling (such as Sentry) until the number of services and applications grows enough to justify the added cost and complexity.</w:t>
      </w:r>
    </w:p>
    <w:p w14:paraId="59F7E99F" w14:textId="77777777" w:rsidR="00A4743F" w:rsidRDefault="00000000">
      <w:pPr>
        <w:pStyle w:val="Heading3"/>
        <w:spacing w:before="220" w:after="120"/>
      </w:pPr>
      <w:bookmarkStart w:id="19" w:name="_Toc239326837"/>
      <w:r>
        <w:rPr>
          <w:b/>
          <w:bCs/>
          <w:color w:val="44546A"/>
          <w:sz w:val="22"/>
          <w:szCs w:val="22"/>
        </w:rPr>
        <w:t>6.11 Testing, QA &amp; Release Governance</w:t>
      </w:r>
      <w:bookmarkEnd w:id="19"/>
    </w:p>
    <w:p w14:paraId="59F7E9A0" w14:textId="77777777" w:rsidR="00A4743F" w:rsidRDefault="00000000">
      <w:pPr>
        <w:spacing w:after="180" w:line="276" w:lineRule="auto"/>
        <w:jc w:val="both"/>
      </w:pPr>
      <w:r>
        <w:t>The business requires a disciplined, staged approach to quality: first stabilize happy-path functional behavior, then build systematic regression and sanity coverage, then run phased security testing (source-code checks, dynamic application security testing, API testing, and penetration testing). Responsibility is explicitly split — design and development own building expected functionality and core security controls; the testing function independently validates that these work as intended, surfaces gaps on its own initiative, and gives the business actionable, risk-rated feedback rather than a simple pass/fail. A hard release gate applies platform-wide: a feature reaches end users only after the testing team has delivered unit, device/external-integration, and cross-browser test reports for it, with screenshots captured as delivery evidence.</w:t>
      </w:r>
    </w:p>
    <w:p w14:paraId="59F7E9A1" w14:textId="77777777" w:rsidR="00A4743F" w:rsidRDefault="00000000">
      <w:pPr>
        <w:spacing w:after="180" w:line="276" w:lineRule="auto"/>
        <w:jc w:val="both"/>
      </w:pPr>
      <w:r>
        <w:t>Unit test coverage is intended to be raised toward a higher target using existing AI-assisted automated test generation, but the actual target percentage has been cited inconsistently across project records (60–70% in one place, 75–80% in another) and needs formal reconciliation before it can be adopted as a firm quality KPI (Section 8, Section 10). A production-like staging environment, populated with realistic data, is being used ahead of production releases to reduce the historical practice of fixing issues directly on the live application. Following a 25 August 2026 quality escalation — in which the client flagged that overall build quality had not met expectations for that cycle, citing a specific defect that component testing had missed — the business committed to the Technical Lead personally reviewing unit tests and static content per commit, blocking hardcoded values from reaching production, and to clearer, more disciplined communication between the delivery team and the client about which parts of the build are “frozen” versus “still evolving.”</w:t>
      </w:r>
    </w:p>
    <w:p w14:paraId="59F7E9A2" w14:textId="77777777" w:rsidR="00A4743F" w:rsidRDefault="00000000">
      <w:pPr>
        <w:pStyle w:val="Heading3"/>
        <w:spacing w:before="220" w:after="120"/>
      </w:pPr>
      <w:bookmarkStart w:id="20" w:name="_Toc239326838"/>
      <w:r>
        <w:rPr>
          <w:b/>
          <w:bCs/>
          <w:color w:val="44546A"/>
          <w:sz w:val="22"/>
          <w:szCs w:val="22"/>
        </w:rPr>
        <w:t>6.12 Security &amp; Compliance</w:t>
      </w:r>
      <w:bookmarkEnd w:id="20"/>
    </w:p>
    <w:p w14:paraId="59F7E9A3" w14:textId="77777777" w:rsidR="00A4743F" w:rsidRDefault="00000000">
      <w:pPr>
        <w:spacing w:after="180" w:line="276" w:lineRule="auto"/>
        <w:jc w:val="both"/>
      </w:pPr>
      <w:r>
        <w:t xml:space="preserve">Security requirements are treated as a first-class business obligation, not a purely technical concern. File uploads (Notice Board attachments, contact-list imports) are treated as a high-risk entry point, with conservative size limits, restricted file types, and blocked malware/auto-execute content as the starting posture, to be relaxed later only with documented justification. All hardcoded secrets identified in the codebase (database passwords, API keys, test OTP values) are required to be removed and replaced with dynamic loading from a secret manager, with a full confirmation scan of the codebase and repositories committed to. The platform's AI guardrails — no confidential or platform-identifying data in prompts, mandatory human review before any AI output is finalized, no internal-prompt leakage, verifiable AI outputs — apply uniformly across </w:t>
      </w:r>
      <w:proofErr w:type="spellStart"/>
      <w:r>
        <w:t>CostGPT</w:t>
      </w:r>
      <w:proofErr w:type="spellEnd"/>
      <w:r>
        <w:t>, Profile Builder, and any future AI-driven feature, and all AI calls are proxied through an audited gateway that writes to a persistent audit log.</w:t>
      </w:r>
    </w:p>
    <w:p w14:paraId="59F7E9A4" w14:textId="77777777" w:rsidR="00A4743F" w:rsidRDefault="00000000">
      <w:pPr>
        <w:spacing w:after="180" w:line="276" w:lineRule="auto"/>
        <w:jc w:val="both"/>
      </w:pPr>
      <w:r>
        <w:t xml:space="preserve">The platform's privacy and consent architecture is aligned to India's Digital Personal Data Protection (DPDP) Act 2023, alongside TRAI DLT registration requirements for SMS, the IT Act 2000, and the SPDI Rules 2011. In practice this means individual poll and survey responses are anonymized by default even from Anchors (RSVP status is the sole exception); consent is split into contextual notices plus a blanket consent to avoid consent fatigue; the Privacy Policy is structured around clearly separated User-Provided Data, Automatically Collected Data, and Data Not Collected sections with a commitment to periodic review; and consent-and-T&amp;C at first login is now the standing </w:t>
      </w:r>
      <w:r>
        <w:lastRenderedPageBreak/>
        <w:t>onboarding pattern for every new group. An independent external security audit (Fable5) is underway, with code-sharing status and findings tracked as an open governance item.</w:t>
      </w:r>
    </w:p>
    <w:p w14:paraId="59F7E9A5" w14:textId="77777777" w:rsidR="00A4743F" w:rsidRDefault="00000000">
      <w:pPr>
        <w:pStyle w:val="Heading1"/>
        <w:pBdr>
          <w:bottom w:val="single" w:sz="6" w:space="4" w:color="1F3864"/>
        </w:pBdr>
        <w:spacing w:before="480" w:after="240"/>
      </w:pPr>
      <w:bookmarkStart w:id="21" w:name="_Toc239326839"/>
      <w:r>
        <w:rPr>
          <w:b/>
          <w:bCs/>
          <w:color w:val="1F3864"/>
          <w:sz w:val="30"/>
          <w:szCs w:val="30"/>
        </w:rPr>
        <w:t>7. Confirmed Technology &amp; Vendor Partners</w:t>
      </w:r>
      <w:bookmarkEnd w:id="21"/>
    </w:p>
    <w:p w14:paraId="59F7E9A6" w14:textId="77777777" w:rsidR="00A4743F" w:rsidRDefault="00000000">
      <w:pPr>
        <w:spacing w:after="180" w:line="276" w:lineRule="auto"/>
        <w:jc w:val="both"/>
      </w:pPr>
      <w:r>
        <w:t>Vendor and platform-technology selection is treated as a business decision in this project, given its direct cost, compliance, and lock-in implications. The table below reproduces the platform's confirmed technology and vendor stack as of Release v1.3.0, at a business-appropriate level of detail (full engineering specification is maintained separately in technical design documentation).</w:t>
      </w:r>
    </w:p>
    <w:tbl>
      <w:tblPr>
        <w:tblW w:w="89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3900"/>
        <w:gridCol w:w="2400"/>
      </w:tblGrid>
      <w:tr w:rsidR="00A4743F" w14:paraId="59F7E9AA" w14:textId="77777777">
        <w:tblPrEx>
          <w:tblCellMar>
            <w:top w:w="0" w:type="dxa"/>
            <w:bottom w:w="0" w:type="dxa"/>
          </w:tblCellMar>
        </w:tblPrEx>
        <w:trPr>
          <w:tblHeader/>
        </w:trPr>
        <w:tc>
          <w:tcPr>
            <w:tcW w:w="2600" w:type="dxa"/>
            <w:shd w:val="clear" w:color="auto" w:fill="D9E2F3"/>
            <w:tcMar>
              <w:top w:w="80" w:type="dxa"/>
              <w:left w:w="100" w:type="dxa"/>
              <w:bottom w:w="80" w:type="dxa"/>
              <w:right w:w="100" w:type="dxa"/>
            </w:tcMar>
            <w:vAlign w:val="center"/>
          </w:tcPr>
          <w:p w14:paraId="59F7E9A7" w14:textId="77777777" w:rsidR="00A4743F" w:rsidRDefault="00000000">
            <w:r>
              <w:rPr>
                <w:b/>
                <w:bCs/>
                <w:color w:val="1F3864"/>
                <w:sz w:val="19"/>
                <w:szCs w:val="19"/>
              </w:rPr>
              <w:t>Vendor / Technology</w:t>
            </w:r>
          </w:p>
        </w:tc>
        <w:tc>
          <w:tcPr>
            <w:tcW w:w="3900" w:type="dxa"/>
            <w:shd w:val="clear" w:color="auto" w:fill="D9E2F3"/>
            <w:tcMar>
              <w:top w:w="80" w:type="dxa"/>
              <w:left w:w="100" w:type="dxa"/>
              <w:bottom w:w="80" w:type="dxa"/>
              <w:right w:w="100" w:type="dxa"/>
            </w:tcMar>
            <w:vAlign w:val="center"/>
          </w:tcPr>
          <w:p w14:paraId="59F7E9A8" w14:textId="77777777" w:rsidR="00A4743F" w:rsidRDefault="00000000">
            <w:r>
              <w:rPr>
                <w:b/>
                <w:bCs/>
                <w:color w:val="1F3864"/>
                <w:sz w:val="19"/>
                <w:szCs w:val="19"/>
              </w:rPr>
              <w:t>Business Purpose</w:t>
            </w:r>
          </w:p>
        </w:tc>
        <w:tc>
          <w:tcPr>
            <w:tcW w:w="2400" w:type="dxa"/>
            <w:shd w:val="clear" w:color="auto" w:fill="D9E2F3"/>
            <w:tcMar>
              <w:top w:w="80" w:type="dxa"/>
              <w:left w:w="100" w:type="dxa"/>
              <w:bottom w:w="80" w:type="dxa"/>
              <w:right w:w="100" w:type="dxa"/>
            </w:tcMar>
            <w:vAlign w:val="center"/>
          </w:tcPr>
          <w:p w14:paraId="59F7E9A9" w14:textId="77777777" w:rsidR="00A4743F" w:rsidRDefault="00000000">
            <w:r>
              <w:rPr>
                <w:b/>
                <w:bCs/>
                <w:color w:val="1F3864"/>
                <w:sz w:val="19"/>
                <w:szCs w:val="19"/>
              </w:rPr>
              <w:t>Status (as of v1.3.0, 30-Aug-26)</w:t>
            </w:r>
          </w:p>
        </w:tc>
      </w:tr>
      <w:tr w:rsidR="00A4743F" w14:paraId="59F7E9AE" w14:textId="77777777">
        <w:tblPrEx>
          <w:tblCellMar>
            <w:top w:w="0" w:type="dxa"/>
            <w:bottom w:w="0" w:type="dxa"/>
          </w:tblCellMar>
        </w:tblPrEx>
        <w:tc>
          <w:tcPr>
            <w:tcW w:w="2600" w:type="dxa"/>
            <w:tcMar>
              <w:top w:w="80" w:type="dxa"/>
              <w:left w:w="100" w:type="dxa"/>
              <w:bottom w:w="80" w:type="dxa"/>
              <w:right w:w="100" w:type="dxa"/>
            </w:tcMar>
            <w:vAlign w:val="center"/>
          </w:tcPr>
          <w:p w14:paraId="59F7E9AB" w14:textId="77777777" w:rsidR="00A4743F" w:rsidRDefault="00000000">
            <w:r>
              <w:rPr>
                <w:color w:val="222222"/>
                <w:sz w:val="19"/>
                <w:szCs w:val="19"/>
              </w:rPr>
              <w:t>React.js + Java</w:t>
            </w:r>
          </w:p>
        </w:tc>
        <w:tc>
          <w:tcPr>
            <w:tcW w:w="3900" w:type="dxa"/>
            <w:tcMar>
              <w:top w:w="80" w:type="dxa"/>
              <w:left w:w="100" w:type="dxa"/>
              <w:bottom w:w="80" w:type="dxa"/>
              <w:right w:w="100" w:type="dxa"/>
            </w:tcMar>
            <w:vAlign w:val="center"/>
          </w:tcPr>
          <w:p w14:paraId="59F7E9AC" w14:textId="77777777" w:rsidR="00A4743F" w:rsidRDefault="00000000">
            <w:r>
              <w:rPr>
                <w:color w:val="222222"/>
                <w:sz w:val="19"/>
                <w:szCs w:val="19"/>
              </w:rPr>
              <w:t>Web application front end and early backend architecture.</w:t>
            </w:r>
          </w:p>
        </w:tc>
        <w:tc>
          <w:tcPr>
            <w:tcW w:w="2400" w:type="dxa"/>
            <w:tcMar>
              <w:top w:w="80" w:type="dxa"/>
              <w:left w:w="100" w:type="dxa"/>
              <w:bottom w:w="80" w:type="dxa"/>
              <w:right w:w="100" w:type="dxa"/>
            </w:tcMar>
            <w:vAlign w:val="center"/>
          </w:tcPr>
          <w:p w14:paraId="59F7E9AD" w14:textId="77777777" w:rsidR="00A4743F" w:rsidRDefault="00000000">
            <w:r>
              <w:rPr>
                <w:color w:val="222222"/>
                <w:sz w:val="19"/>
                <w:szCs w:val="19"/>
              </w:rPr>
              <w:t>Confirmed 10 Mar–08 Apr 2026, primary development priority.</w:t>
            </w:r>
          </w:p>
        </w:tc>
      </w:tr>
      <w:tr w:rsidR="00A4743F" w14:paraId="59F7E9B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9AF" w14:textId="77777777" w:rsidR="00A4743F" w:rsidRDefault="00000000">
            <w:r>
              <w:rPr>
                <w:color w:val="222222"/>
                <w:sz w:val="19"/>
                <w:szCs w:val="19"/>
              </w:rPr>
              <w:t>React Native (0.81) + Expo (54), TypeScript</w:t>
            </w:r>
          </w:p>
        </w:tc>
        <w:tc>
          <w:tcPr>
            <w:tcW w:w="3900" w:type="dxa"/>
            <w:shd w:val="clear" w:color="auto" w:fill="F2F2F2"/>
            <w:tcMar>
              <w:top w:w="80" w:type="dxa"/>
              <w:left w:w="100" w:type="dxa"/>
              <w:bottom w:w="80" w:type="dxa"/>
              <w:right w:w="100" w:type="dxa"/>
            </w:tcMar>
            <w:vAlign w:val="center"/>
          </w:tcPr>
          <w:p w14:paraId="59F7E9B0" w14:textId="77777777" w:rsidR="00A4743F" w:rsidRDefault="00000000">
            <w:r>
              <w:rPr>
                <w:color w:val="222222"/>
                <w:sz w:val="19"/>
                <w:szCs w:val="19"/>
              </w:rPr>
              <w:t>Mobile application (single codebase, Android + iOS).</w:t>
            </w:r>
          </w:p>
        </w:tc>
        <w:tc>
          <w:tcPr>
            <w:tcW w:w="2400" w:type="dxa"/>
            <w:shd w:val="clear" w:color="auto" w:fill="F2F2F2"/>
            <w:tcMar>
              <w:top w:w="80" w:type="dxa"/>
              <w:left w:w="100" w:type="dxa"/>
              <w:bottom w:w="80" w:type="dxa"/>
              <w:right w:w="100" w:type="dxa"/>
            </w:tcMar>
            <w:vAlign w:val="center"/>
          </w:tcPr>
          <w:p w14:paraId="59F7E9B1" w14:textId="77777777" w:rsidR="00A4743F" w:rsidRDefault="00000000">
            <w:r>
              <w:rPr>
                <w:color w:val="222222"/>
                <w:sz w:val="19"/>
                <w:szCs w:val="19"/>
              </w:rPr>
              <w:t>Current build as of v1.2, 08 Jul 2026.</w:t>
            </w:r>
          </w:p>
        </w:tc>
      </w:tr>
      <w:tr w:rsidR="00A4743F" w14:paraId="59F7E9B6" w14:textId="77777777">
        <w:tblPrEx>
          <w:tblCellMar>
            <w:top w:w="0" w:type="dxa"/>
            <w:bottom w:w="0" w:type="dxa"/>
          </w:tblCellMar>
        </w:tblPrEx>
        <w:tc>
          <w:tcPr>
            <w:tcW w:w="2600" w:type="dxa"/>
            <w:tcMar>
              <w:top w:w="80" w:type="dxa"/>
              <w:left w:w="100" w:type="dxa"/>
              <w:bottom w:w="80" w:type="dxa"/>
              <w:right w:w="100" w:type="dxa"/>
            </w:tcMar>
            <w:vAlign w:val="center"/>
          </w:tcPr>
          <w:p w14:paraId="59F7E9B3" w14:textId="77777777" w:rsidR="00A4743F" w:rsidRDefault="00000000">
            <w:r>
              <w:rPr>
                <w:color w:val="222222"/>
                <w:sz w:val="19"/>
                <w:szCs w:val="19"/>
              </w:rPr>
              <w:t>Spring Boot 3.4.2 / Java 21</w:t>
            </w:r>
          </w:p>
        </w:tc>
        <w:tc>
          <w:tcPr>
            <w:tcW w:w="3900" w:type="dxa"/>
            <w:tcMar>
              <w:top w:w="80" w:type="dxa"/>
              <w:left w:w="100" w:type="dxa"/>
              <w:bottom w:w="80" w:type="dxa"/>
              <w:right w:w="100" w:type="dxa"/>
            </w:tcMar>
            <w:vAlign w:val="center"/>
          </w:tcPr>
          <w:p w14:paraId="59F7E9B4" w14:textId="77777777" w:rsidR="00A4743F" w:rsidRDefault="00000000">
            <w:r>
              <w:rPr>
                <w:color w:val="222222"/>
                <w:sz w:val="19"/>
                <w:szCs w:val="19"/>
              </w:rPr>
              <w:t>Backend application server, REST API layer.</w:t>
            </w:r>
          </w:p>
        </w:tc>
        <w:tc>
          <w:tcPr>
            <w:tcW w:w="2400" w:type="dxa"/>
            <w:tcMar>
              <w:top w:w="80" w:type="dxa"/>
              <w:left w:w="100" w:type="dxa"/>
              <w:bottom w:w="80" w:type="dxa"/>
              <w:right w:w="100" w:type="dxa"/>
            </w:tcMar>
            <w:vAlign w:val="center"/>
          </w:tcPr>
          <w:p w14:paraId="59F7E9B5" w14:textId="77777777" w:rsidR="00A4743F" w:rsidRDefault="00000000">
            <w:r>
              <w:rPr>
                <w:color w:val="222222"/>
                <w:sz w:val="19"/>
                <w:szCs w:val="19"/>
              </w:rPr>
              <w:t>Current build as of v1.2.</w:t>
            </w:r>
          </w:p>
        </w:tc>
      </w:tr>
      <w:tr w:rsidR="00A4743F" w14:paraId="59F7E9B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9B7" w14:textId="77777777" w:rsidR="00A4743F" w:rsidRDefault="00000000">
            <w:r>
              <w:rPr>
                <w:color w:val="222222"/>
                <w:sz w:val="19"/>
                <w:szCs w:val="19"/>
              </w:rPr>
              <w:t>PostgreSQL (AWS RDS)</w:t>
            </w:r>
          </w:p>
        </w:tc>
        <w:tc>
          <w:tcPr>
            <w:tcW w:w="3900" w:type="dxa"/>
            <w:shd w:val="clear" w:color="auto" w:fill="F2F2F2"/>
            <w:tcMar>
              <w:top w:w="80" w:type="dxa"/>
              <w:left w:w="100" w:type="dxa"/>
              <w:bottom w:w="80" w:type="dxa"/>
              <w:right w:w="100" w:type="dxa"/>
            </w:tcMar>
            <w:vAlign w:val="center"/>
          </w:tcPr>
          <w:p w14:paraId="59F7E9B8" w14:textId="77777777" w:rsidR="00A4743F" w:rsidRDefault="00000000">
            <w:r>
              <w:rPr>
                <w:color w:val="222222"/>
                <w:sz w:val="19"/>
                <w:szCs w:val="19"/>
              </w:rPr>
              <w:t>Primary platform database — chosen over DynamoDB for relational/query complexity.</w:t>
            </w:r>
          </w:p>
        </w:tc>
        <w:tc>
          <w:tcPr>
            <w:tcW w:w="2400" w:type="dxa"/>
            <w:shd w:val="clear" w:color="auto" w:fill="F2F2F2"/>
            <w:tcMar>
              <w:top w:w="80" w:type="dxa"/>
              <w:left w:w="100" w:type="dxa"/>
              <w:bottom w:w="80" w:type="dxa"/>
              <w:right w:w="100" w:type="dxa"/>
            </w:tcMar>
            <w:vAlign w:val="center"/>
          </w:tcPr>
          <w:p w14:paraId="59F7E9B9" w14:textId="77777777" w:rsidR="00A4743F" w:rsidRDefault="00000000">
            <w:r>
              <w:rPr>
                <w:color w:val="222222"/>
                <w:sz w:val="19"/>
                <w:szCs w:val="19"/>
              </w:rPr>
              <w:t>Confirmed 08 Apr 2026 (DR-001); RDS itself excluded from initial infra footprint, S3-only backups until scale warrants it.</w:t>
            </w:r>
          </w:p>
        </w:tc>
      </w:tr>
      <w:tr w:rsidR="00A4743F" w14:paraId="59F7E9BE" w14:textId="77777777">
        <w:tblPrEx>
          <w:tblCellMar>
            <w:top w:w="0" w:type="dxa"/>
            <w:bottom w:w="0" w:type="dxa"/>
          </w:tblCellMar>
        </w:tblPrEx>
        <w:tc>
          <w:tcPr>
            <w:tcW w:w="2600" w:type="dxa"/>
            <w:tcMar>
              <w:top w:w="80" w:type="dxa"/>
              <w:left w:w="100" w:type="dxa"/>
              <w:bottom w:w="80" w:type="dxa"/>
              <w:right w:w="100" w:type="dxa"/>
            </w:tcMar>
            <w:vAlign w:val="center"/>
          </w:tcPr>
          <w:p w14:paraId="59F7E9BB" w14:textId="77777777" w:rsidR="00A4743F" w:rsidRDefault="00000000">
            <w:proofErr w:type="spellStart"/>
            <w:r>
              <w:rPr>
                <w:color w:val="222222"/>
                <w:sz w:val="19"/>
                <w:szCs w:val="19"/>
              </w:rPr>
              <w:t>Karix</w:t>
            </w:r>
            <w:proofErr w:type="spellEnd"/>
          </w:p>
        </w:tc>
        <w:tc>
          <w:tcPr>
            <w:tcW w:w="3900" w:type="dxa"/>
            <w:tcMar>
              <w:top w:w="80" w:type="dxa"/>
              <w:left w:w="100" w:type="dxa"/>
              <w:bottom w:w="80" w:type="dxa"/>
              <w:right w:w="100" w:type="dxa"/>
            </w:tcMar>
            <w:vAlign w:val="center"/>
          </w:tcPr>
          <w:p w14:paraId="59F7E9BC" w14:textId="77777777" w:rsidR="00A4743F" w:rsidRDefault="00000000">
            <w:r>
              <w:rPr>
                <w:color w:val="222222"/>
                <w:sz w:val="19"/>
                <w:szCs w:val="19"/>
              </w:rPr>
              <w:t>SMS, Email and (planned) WhatsApp notification delivery.</w:t>
            </w:r>
          </w:p>
        </w:tc>
        <w:tc>
          <w:tcPr>
            <w:tcW w:w="2400" w:type="dxa"/>
            <w:tcMar>
              <w:top w:w="80" w:type="dxa"/>
              <w:left w:w="100" w:type="dxa"/>
              <w:bottom w:w="80" w:type="dxa"/>
              <w:right w:w="100" w:type="dxa"/>
            </w:tcMar>
            <w:vAlign w:val="center"/>
          </w:tcPr>
          <w:p w14:paraId="59F7E9BD" w14:textId="77777777" w:rsidR="00A4743F" w:rsidRDefault="00000000">
            <w:r>
              <w:rPr>
                <w:color w:val="222222"/>
                <w:sz w:val="19"/>
                <w:szCs w:val="19"/>
              </w:rPr>
              <w:t xml:space="preserve">SMS + Email confirmed for Delta; WhatsApp deferred to Alpha; vendor relationship under formal SLA review vs. </w:t>
            </w:r>
            <w:proofErr w:type="spellStart"/>
            <w:r>
              <w:rPr>
                <w:color w:val="222222"/>
                <w:sz w:val="19"/>
                <w:szCs w:val="19"/>
              </w:rPr>
              <w:t>Netcore</w:t>
            </w:r>
            <w:proofErr w:type="spellEnd"/>
            <w:r>
              <w:rPr>
                <w:color w:val="222222"/>
                <w:sz w:val="19"/>
                <w:szCs w:val="19"/>
              </w:rPr>
              <w:t>, unresolved as of 30-Aug-26.</w:t>
            </w:r>
          </w:p>
        </w:tc>
      </w:tr>
      <w:tr w:rsidR="00A4743F" w14:paraId="59F7E9C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9BF" w14:textId="77777777" w:rsidR="00A4743F" w:rsidRDefault="00000000">
            <w:proofErr w:type="spellStart"/>
            <w:r>
              <w:rPr>
                <w:color w:val="222222"/>
                <w:sz w:val="19"/>
                <w:szCs w:val="19"/>
              </w:rPr>
              <w:t>Netcore</w:t>
            </w:r>
            <w:proofErr w:type="spellEnd"/>
          </w:p>
        </w:tc>
        <w:tc>
          <w:tcPr>
            <w:tcW w:w="3900" w:type="dxa"/>
            <w:shd w:val="clear" w:color="auto" w:fill="F2F2F2"/>
            <w:tcMar>
              <w:top w:w="80" w:type="dxa"/>
              <w:left w:w="100" w:type="dxa"/>
              <w:bottom w:w="80" w:type="dxa"/>
              <w:right w:w="100" w:type="dxa"/>
            </w:tcMar>
            <w:vAlign w:val="center"/>
          </w:tcPr>
          <w:p w14:paraId="59F7E9C0" w14:textId="77777777" w:rsidR="00A4743F" w:rsidRDefault="00000000">
            <w:r>
              <w:rPr>
                <w:color w:val="222222"/>
                <w:sz w:val="19"/>
                <w:szCs w:val="19"/>
              </w:rPr>
              <w:t>Email-campaign vendor, under evaluation.</w:t>
            </w:r>
          </w:p>
        </w:tc>
        <w:tc>
          <w:tcPr>
            <w:tcW w:w="2400" w:type="dxa"/>
            <w:shd w:val="clear" w:color="auto" w:fill="F2F2F2"/>
            <w:tcMar>
              <w:top w:w="80" w:type="dxa"/>
              <w:left w:w="100" w:type="dxa"/>
              <w:bottom w:w="80" w:type="dxa"/>
              <w:right w:w="100" w:type="dxa"/>
            </w:tcMar>
            <w:vAlign w:val="center"/>
          </w:tcPr>
          <w:p w14:paraId="59F7E9C1" w14:textId="77777777" w:rsidR="00A4743F" w:rsidRDefault="00000000">
            <w:r>
              <w:rPr>
                <w:color w:val="222222"/>
                <w:sz w:val="19"/>
                <w:szCs w:val="19"/>
              </w:rPr>
              <w:t>Not yet selected; under evaluation since 30–31 Mar 2026.</w:t>
            </w:r>
          </w:p>
        </w:tc>
      </w:tr>
      <w:tr w:rsidR="00A4743F" w14:paraId="59F7E9C6" w14:textId="77777777">
        <w:tblPrEx>
          <w:tblCellMar>
            <w:top w:w="0" w:type="dxa"/>
            <w:bottom w:w="0" w:type="dxa"/>
          </w:tblCellMar>
        </w:tblPrEx>
        <w:tc>
          <w:tcPr>
            <w:tcW w:w="2600" w:type="dxa"/>
            <w:tcMar>
              <w:top w:w="80" w:type="dxa"/>
              <w:left w:w="100" w:type="dxa"/>
              <w:bottom w:w="80" w:type="dxa"/>
              <w:right w:w="100" w:type="dxa"/>
            </w:tcMar>
            <w:vAlign w:val="center"/>
          </w:tcPr>
          <w:p w14:paraId="59F7E9C3" w14:textId="77777777" w:rsidR="00A4743F" w:rsidRDefault="00000000">
            <w:proofErr w:type="spellStart"/>
            <w:r>
              <w:rPr>
                <w:color w:val="222222"/>
                <w:sz w:val="19"/>
                <w:szCs w:val="19"/>
              </w:rPr>
              <w:t>Razorpay</w:t>
            </w:r>
            <w:proofErr w:type="spellEnd"/>
          </w:p>
        </w:tc>
        <w:tc>
          <w:tcPr>
            <w:tcW w:w="3900" w:type="dxa"/>
            <w:tcMar>
              <w:top w:w="80" w:type="dxa"/>
              <w:left w:w="100" w:type="dxa"/>
              <w:bottom w:w="80" w:type="dxa"/>
              <w:right w:w="100" w:type="dxa"/>
            </w:tcMar>
            <w:vAlign w:val="center"/>
          </w:tcPr>
          <w:p w14:paraId="59F7E9C4" w14:textId="77777777" w:rsidR="00A4743F" w:rsidRDefault="00000000">
            <w:r>
              <w:rPr>
                <w:color w:val="222222"/>
                <w:sz w:val="19"/>
                <w:szCs w:val="19"/>
              </w:rPr>
              <w:t>Primary payment aggregator (preferred).</w:t>
            </w:r>
          </w:p>
        </w:tc>
        <w:tc>
          <w:tcPr>
            <w:tcW w:w="2400" w:type="dxa"/>
            <w:tcMar>
              <w:top w:w="80" w:type="dxa"/>
              <w:left w:w="100" w:type="dxa"/>
              <w:bottom w:w="80" w:type="dxa"/>
              <w:right w:w="100" w:type="dxa"/>
            </w:tcMar>
            <w:vAlign w:val="center"/>
          </w:tcPr>
          <w:p w14:paraId="59F7E9C5" w14:textId="77777777" w:rsidR="00A4743F" w:rsidRDefault="00000000">
            <w:r>
              <w:rPr>
                <w:color w:val="222222"/>
                <w:sz w:val="19"/>
                <w:szCs w:val="19"/>
              </w:rPr>
              <w:t>Vendor confirmed 08 Apr 2026; gateway integration deferred to Alpha; manual tracking used in Delta.</w:t>
            </w:r>
          </w:p>
        </w:tc>
      </w:tr>
      <w:tr w:rsidR="00A4743F" w14:paraId="59F7E9C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9C7" w14:textId="77777777" w:rsidR="00A4743F" w:rsidRDefault="00000000">
            <w:proofErr w:type="spellStart"/>
            <w:r>
              <w:rPr>
                <w:color w:val="222222"/>
                <w:sz w:val="19"/>
                <w:szCs w:val="19"/>
              </w:rPr>
              <w:t>CashFree</w:t>
            </w:r>
            <w:proofErr w:type="spellEnd"/>
            <w:r>
              <w:rPr>
                <w:color w:val="222222"/>
                <w:sz w:val="19"/>
                <w:szCs w:val="19"/>
              </w:rPr>
              <w:t xml:space="preserve"> / PayU</w:t>
            </w:r>
          </w:p>
        </w:tc>
        <w:tc>
          <w:tcPr>
            <w:tcW w:w="3900" w:type="dxa"/>
            <w:shd w:val="clear" w:color="auto" w:fill="F2F2F2"/>
            <w:tcMar>
              <w:top w:w="80" w:type="dxa"/>
              <w:left w:w="100" w:type="dxa"/>
              <w:bottom w:w="80" w:type="dxa"/>
              <w:right w:w="100" w:type="dxa"/>
            </w:tcMar>
            <w:vAlign w:val="center"/>
          </w:tcPr>
          <w:p w14:paraId="59F7E9C8" w14:textId="77777777" w:rsidR="00A4743F" w:rsidRDefault="00000000">
            <w:r>
              <w:rPr>
                <w:color w:val="222222"/>
                <w:sz w:val="19"/>
                <w:szCs w:val="19"/>
              </w:rPr>
              <w:t xml:space="preserve">Bulk-payout and international-payment options evaluated alongside </w:t>
            </w:r>
            <w:proofErr w:type="spellStart"/>
            <w:r>
              <w:rPr>
                <w:color w:val="222222"/>
                <w:sz w:val="19"/>
                <w:szCs w:val="19"/>
              </w:rPr>
              <w:t>Razorpay</w:t>
            </w:r>
            <w:proofErr w:type="spellEnd"/>
            <w:r>
              <w:rPr>
                <w:color w:val="222222"/>
                <w:sz w:val="19"/>
                <w:szCs w:val="19"/>
              </w:rPr>
              <w:t>.</w:t>
            </w:r>
          </w:p>
        </w:tc>
        <w:tc>
          <w:tcPr>
            <w:tcW w:w="2400" w:type="dxa"/>
            <w:shd w:val="clear" w:color="auto" w:fill="F2F2F2"/>
            <w:tcMar>
              <w:top w:w="80" w:type="dxa"/>
              <w:left w:w="100" w:type="dxa"/>
              <w:bottom w:w="80" w:type="dxa"/>
              <w:right w:w="100" w:type="dxa"/>
            </w:tcMar>
            <w:vAlign w:val="center"/>
          </w:tcPr>
          <w:p w14:paraId="59F7E9C9" w14:textId="77777777" w:rsidR="00A4743F" w:rsidRDefault="00000000">
            <w:r>
              <w:rPr>
                <w:color w:val="222222"/>
                <w:sz w:val="19"/>
                <w:szCs w:val="19"/>
              </w:rPr>
              <w:t>Not selected for Delta.</w:t>
            </w:r>
          </w:p>
        </w:tc>
      </w:tr>
      <w:tr w:rsidR="00A4743F" w14:paraId="59F7E9CE" w14:textId="77777777">
        <w:tblPrEx>
          <w:tblCellMar>
            <w:top w:w="0" w:type="dxa"/>
            <w:bottom w:w="0" w:type="dxa"/>
          </w:tblCellMar>
        </w:tblPrEx>
        <w:tc>
          <w:tcPr>
            <w:tcW w:w="2600" w:type="dxa"/>
            <w:tcMar>
              <w:top w:w="80" w:type="dxa"/>
              <w:left w:w="100" w:type="dxa"/>
              <w:bottom w:w="80" w:type="dxa"/>
              <w:right w:w="100" w:type="dxa"/>
            </w:tcMar>
            <w:vAlign w:val="center"/>
          </w:tcPr>
          <w:p w14:paraId="59F7E9CB" w14:textId="77777777" w:rsidR="00A4743F" w:rsidRDefault="00000000">
            <w:r>
              <w:rPr>
                <w:color w:val="222222"/>
                <w:sz w:val="19"/>
                <w:szCs w:val="19"/>
              </w:rPr>
              <w:t>Claude Sonnet 4.6 (Anthropic)</w:t>
            </w:r>
          </w:p>
        </w:tc>
        <w:tc>
          <w:tcPr>
            <w:tcW w:w="3900" w:type="dxa"/>
            <w:tcMar>
              <w:top w:w="80" w:type="dxa"/>
              <w:left w:w="100" w:type="dxa"/>
              <w:bottom w:w="80" w:type="dxa"/>
              <w:right w:w="100" w:type="dxa"/>
            </w:tcMar>
            <w:vAlign w:val="center"/>
          </w:tcPr>
          <w:p w14:paraId="59F7E9CC" w14:textId="77777777" w:rsidR="00A4743F" w:rsidRDefault="00000000">
            <w:r>
              <w:rPr>
                <w:color w:val="222222"/>
                <w:sz w:val="19"/>
                <w:szCs w:val="19"/>
              </w:rPr>
              <w:t xml:space="preserve">AI/LLM engine for Profile Builder and </w:t>
            </w:r>
            <w:proofErr w:type="spellStart"/>
            <w:r>
              <w:rPr>
                <w:color w:val="222222"/>
                <w:sz w:val="19"/>
                <w:szCs w:val="19"/>
              </w:rPr>
              <w:t>CostGPT</w:t>
            </w:r>
            <w:proofErr w:type="spellEnd"/>
            <w:r>
              <w:rPr>
                <w:color w:val="222222"/>
                <w:sz w:val="19"/>
                <w:szCs w:val="19"/>
              </w:rPr>
              <w:t>.</w:t>
            </w:r>
          </w:p>
        </w:tc>
        <w:tc>
          <w:tcPr>
            <w:tcW w:w="2400" w:type="dxa"/>
            <w:tcMar>
              <w:top w:w="80" w:type="dxa"/>
              <w:left w:w="100" w:type="dxa"/>
              <w:bottom w:w="80" w:type="dxa"/>
              <w:right w:w="100" w:type="dxa"/>
            </w:tcMar>
            <w:vAlign w:val="center"/>
          </w:tcPr>
          <w:p w14:paraId="59F7E9CD" w14:textId="77777777" w:rsidR="00A4743F" w:rsidRDefault="00000000">
            <w:r>
              <w:rPr>
                <w:color w:val="222222"/>
                <w:sz w:val="19"/>
                <w:szCs w:val="19"/>
              </w:rPr>
              <w:t>Confirmed 02 Jun 2026 (DR-004); back-end configured, swappable without app release.</w:t>
            </w:r>
          </w:p>
        </w:tc>
      </w:tr>
      <w:tr w:rsidR="00A4743F" w14:paraId="59F7E9D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9CF" w14:textId="77777777" w:rsidR="00A4743F" w:rsidRDefault="00000000">
            <w:proofErr w:type="spellStart"/>
            <w:r>
              <w:rPr>
                <w:color w:val="222222"/>
                <w:sz w:val="19"/>
                <w:szCs w:val="19"/>
              </w:rPr>
              <w:t>Firecrawl</w:t>
            </w:r>
            <w:proofErr w:type="spellEnd"/>
            <w:r>
              <w:rPr>
                <w:color w:val="222222"/>
                <w:sz w:val="19"/>
                <w:szCs w:val="19"/>
              </w:rPr>
              <w:t xml:space="preserve"> + DuckDuckGo</w:t>
            </w:r>
          </w:p>
        </w:tc>
        <w:tc>
          <w:tcPr>
            <w:tcW w:w="3900" w:type="dxa"/>
            <w:shd w:val="clear" w:color="auto" w:fill="F2F2F2"/>
            <w:tcMar>
              <w:top w:w="80" w:type="dxa"/>
              <w:left w:w="100" w:type="dxa"/>
              <w:bottom w:w="80" w:type="dxa"/>
              <w:right w:w="100" w:type="dxa"/>
            </w:tcMar>
            <w:vAlign w:val="center"/>
          </w:tcPr>
          <w:p w14:paraId="59F7E9D0" w14:textId="77777777" w:rsidR="00A4743F" w:rsidRDefault="00000000">
            <w:r>
              <w:rPr>
                <w:color w:val="222222"/>
                <w:sz w:val="19"/>
                <w:szCs w:val="19"/>
              </w:rPr>
              <w:t>Public-web-source scraping and search for profile enrichment.</w:t>
            </w:r>
          </w:p>
        </w:tc>
        <w:tc>
          <w:tcPr>
            <w:tcW w:w="2400" w:type="dxa"/>
            <w:shd w:val="clear" w:color="auto" w:fill="F2F2F2"/>
            <w:tcMar>
              <w:top w:w="80" w:type="dxa"/>
              <w:left w:w="100" w:type="dxa"/>
              <w:bottom w:w="80" w:type="dxa"/>
              <w:right w:w="100" w:type="dxa"/>
            </w:tcMar>
            <w:vAlign w:val="center"/>
          </w:tcPr>
          <w:p w14:paraId="59F7E9D1" w14:textId="77777777" w:rsidR="00A4743F" w:rsidRDefault="00000000">
            <w:r>
              <w:rPr>
                <w:color w:val="222222"/>
                <w:sz w:val="19"/>
                <w:szCs w:val="19"/>
              </w:rPr>
              <w:t>Confirmed 01 Apr / 09 Jun 2026; reaffirmed 25 Aug 2026. LinkedIn scraping confirmed infeasible.</w:t>
            </w:r>
          </w:p>
        </w:tc>
      </w:tr>
      <w:tr w:rsidR="00A4743F" w14:paraId="59F7E9D6" w14:textId="77777777">
        <w:tblPrEx>
          <w:tblCellMar>
            <w:top w:w="0" w:type="dxa"/>
            <w:bottom w:w="0" w:type="dxa"/>
          </w:tblCellMar>
        </w:tblPrEx>
        <w:tc>
          <w:tcPr>
            <w:tcW w:w="2600" w:type="dxa"/>
            <w:tcMar>
              <w:top w:w="80" w:type="dxa"/>
              <w:left w:w="100" w:type="dxa"/>
              <w:bottom w:w="80" w:type="dxa"/>
              <w:right w:w="100" w:type="dxa"/>
            </w:tcMar>
            <w:vAlign w:val="center"/>
          </w:tcPr>
          <w:p w14:paraId="59F7E9D3" w14:textId="77777777" w:rsidR="00A4743F" w:rsidRDefault="00000000">
            <w:r>
              <w:rPr>
                <w:color w:val="222222"/>
                <w:sz w:val="19"/>
                <w:szCs w:val="19"/>
              </w:rPr>
              <w:t>AWS (Dev / SIT / Production)</w:t>
            </w:r>
          </w:p>
        </w:tc>
        <w:tc>
          <w:tcPr>
            <w:tcW w:w="3900" w:type="dxa"/>
            <w:tcMar>
              <w:top w:w="80" w:type="dxa"/>
              <w:left w:w="100" w:type="dxa"/>
              <w:bottom w:w="80" w:type="dxa"/>
              <w:right w:w="100" w:type="dxa"/>
            </w:tcMar>
            <w:vAlign w:val="center"/>
          </w:tcPr>
          <w:p w14:paraId="59F7E9D4" w14:textId="77777777" w:rsidR="00A4743F" w:rsidRDefault="00000000">
            <w:r>
              <w:rPr>
                <w:color w:val="222222"/>
                <w:sz w:val="19"/>
                <w:szCs w:val="19"/>
              </w:rPr>
              <w:t>Cloud hosting platform for the entire stack.</w:t>
            </w:r>
          </w:p>
        </w:tc>
        <w:tc>
          <w:tcPr>
            <w:tcW w:w="2400" w:type="dxa"/>
            <w:tcMar>
              <w:top w:w="80" w:type="dxa"/>
              <w:left w:w="100" w:type="dxa"/>
              <w:bottom w:w="80" w:type="dxa"/>
              <w:right w:w="100" w:type="dxa"/>
            </w:tcMar>
            <w:vAlign w:val="center"/>
          </w:tcPr>
          <w:p w14:paraId="59F7E9D5" w14:textId="77777777" w:rsidR="00A4743F" w:rsidRDefault="00000000">
            <w:r>
              <w:rPr>
                <w:color w:val="222222"/>
                <w:sz w:val="19"/>
                <w:szCs w:val="19"/>
              </w:rPr>
              <w:t>Migrated to a dedicated Prodian AWS account for clean ownership/billing.</w:t>
            </w:r>
          </w:p>
        </w:tc>
      </w:tr>
      <w:tr w:rsidR="00A4743F" w14:paraId="59F7E9D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9D7" w14:textId="77777777" w:rsidR="00A4743F" w:rsidRDefault="00000000">
            <w:r>
              <w:rPr>
                <w:color w:val="222222"/>
                <w:sz w:val="19"/>
                <w:szCs w:val="19"/>
              </w:rPr>
              <w:lastRenderedPageBreak/>
              <w:t>AWS S3</w:t>
            </w:r>
          </w:p>
        </w:tc>
        <w:tc>
          <w:tcPr>
            <w:tcW w:w="3900" w:type="dxa"/>
            <w:shd w:val="clear" w:color="auto" w:fill="F2F2F2"/>
            <w:tcMar>
              <w:top w:w="80" w:type="dxa"/>
              <w:left w:w="100" w:type="dxa"/>
              <w:bottom w:w="80" w:type="dxa"/>
              <w:right w:w="100" w:type="dxa"/>
            </w:tcMar>
            <w:vAlign w:val="center"/>
          </w:tcPr>
          <w:p w14:paraId="59F7E9D8" w14:textId="77777777" w:rsidR="00A4743F" w:rsidRDefault="00000000">
            <w:r>
              <w:rPr>
                <w:color w:val="222222"/>
                <w:sz w:val="19"/>
                <w:szCs w:val="19"/>
              </w:rPr>
              <w:t>Object storage — media, documents, CSV import audit files.</w:t>
            </w:r>
          </w:p>
        </w:tc>
        <w:tc>
          <w:tcPr>
            <w:tcW w:w="2400" w:type="dxa"/>
            <w:shd w:val="clear" w:color="auto" w:fill="F2F2F2"/>
            <w:tcMar>
              <w:top w:w="80" w:type="dxa"/>
              <w:left w:w="100" w:type="dxa"/>
              <w:bottom w:w="80" w:type="dxa"/>
              <w:right w:w="100" w:type="dxa"/>
            </w:tcMar>
            <w:vAlign w:val="center"/>
          </w:tcPr>
          <w:p w14:paraId="59F7E9D9" w14:textId="77777777" w:rsidR="00A4743F" w:rsidRDefault="00000000">
            <w:r>
              <w:rPr>
                <w:color w:val="222222"/>
                <w:sz w:val="19"/>
                <w:szCs w:val="19"/>
              </w:rPr>
              <w:t>Confirmed throughout the build.</w:t>
            </w:r>
          </w:p>
        </w:tc>
      </w:tr>
      <w:tr w:rsidR="00A4743F" w14:paraId="59F7E9DE" w14:textId="77777777">
        <w:tblPrEx>
          <w:tblCellMar>
            <w:top w:w="0" w:type="dxa"/>
            <w:bottom w:w="0" w:type="dxa"/>
          </w:tblCellMar>
        </w:tblPrEx>
        <w:tc>
          <w:tcPr>
            <w:tcW w:w="2600" w:type="dxa"/>
            <w:tcMar>
              <w:top w:w="80" w:type="dxa"/>
              <w:left w:w="100" w:type="dxa"/>
              <w:bottom w:w="80" w:type="dxa"/>
              <w:right w:w="100" w:type="dxa"/>
            </w:tcMar>
            <w:vAlign w:val="center"/>
          </w:tcPr>
          <w:p w14:paraId="59F7E9DB" w14:textId="77777777" w:rsidR="00A4743F" w:rsidRDefault="00000000">
            <w:r>
              <w:rPr>
                <w:color w:val="222222"/>
                <w:sz w:val="19"/>
                <w:szCs w:val="19"/>
              </w:rPr>
              <w:t>AWS CloudFront (CDN)</w:t>
            </w:r>
          </w:p>
        </w:tc>
        <w:tc>
          <w:tcPr>
            <w:tcW w:w="3900" w:type="dxa"/>
            <w:tcMar>
              <w:top w:w="80" w:type="dxa"/>
              <w:left w:w="100" w:type="dxa"/>
              <w:bottom w:w="80" w:type="dxa"/>
              <w:right w:w="100" w:type="dxa"/>
            </w:tcMar>
            <w:vAlign w:val="center"/>
          </w:tcPr>
          <w:p w14:paraId="59F7E9DC" w14:textId="77777777" w:rsidR="00A4743F" w:rsidRDefault="00000000">
            <w:r>
              <w:rPr>
                <w:color w:val="222222"/>
                <w:sz w:val="19"/>
                <w:szCs w:val="19"/>
              </w:rPr>
              <w:t>Content delivery network.</w:t>
            </w:r>
          </w:p>
        </w:tc>
        <w:tc>
          <w:tcPr>
            <w:tcW w:w="2400" w:type="dxa"/>
            <w:tcMar>
              <w:top w:w="80" w:type="dxa"/>
              <w:left w:w="100" w:type="dxa"/>
              <w:bottom w:w="80" w:type="dxa"/>
              <w:right w:w="100" w:type="dxa"/>
            </w:tcMar>
            <w:vAlign w:val="center"/>
          </w:tcPr>
          <w:p w14:paraId="59F7E9DD" w14:textId="77777777" w:rsidR="00A4743F" w:rsidRDefault="00000000">
            <w:r>
              <w:rPr>
                <w:color w:val="222222"/>
                <w:sz w:val="19"/>
                <w:szCs w:val="19"/>
              </w:rPr>
              <w:t>Pricing confirmed at $0.008 per 1,000 requests (region-variable), 19 Jun 2026.</w:t>
            </w:r>
          </w:p>
        </w:tc>
      </w:tr>
      <w:tr w:rsidR="00A4743F" w14:paraId="59F7E9E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9DF" w14:textId="77777777" w:rsidR="00A4743F" w:rsidRDefault="00000000">
            <w:r>
              <w:rPr>
                <w:color w:val="222222"/>
                <w:sz w:val="19"/>
                <w:szCs w:val="19"/>
              </w:rPr>
              <w:t>Firebase Cloud Messaging (FCM)</w:t>
            </w:r>
          </w:p>
        </w:tc>
        <w:tc>
          <w:tcPr>
            <w:tcW w:w="3900" w:type="dxa"/>
            <w:shd w:val="clear" w:color="auto" w:fill="F2F2F2"/>
            <w:tcMar>
              <w:top w:w="80" w:type="dxa"/>
              <w:left w:w="100" w:type="dxa"/>
              <w:bottom w:w="80" w:type="dxa"/>
              <w:right w:w="100" w:type="dxa"/>
            </w:tcMar>
            <w:vAlign w:val="center"/>
          </w:tcPr>
          <w:p w14:paraId="59F7E9E0" w14:textId="77777777" w:rsidR="00A4743F" w:rsidRDefault="00000000">
            <w:r>
              <w:rPr>
                <w:color w:val="222222"/>
                <w:sz w:val="19"/>
                <w:szCs w:val="19"/>
              </w:rPr>
              <w:t>Mobile push notifications (via expo-notifications).</w:t>
            </w:r>
          </w:p>
        </w:tc>
        <w:tc>
          <w:tcPr>
            <w:tcW w:w="2400" w:type="dxa"/>
            <w:shd w:val="clear" w:color="auto" w:fill="F2F2F2"/>
            <w:tcMar>
              <w:top w:w="80" w:type="dxa"/>
              <w:left w:w="100" w:type="dxa"/>
              <w:bottom w:w="80" w:type="dxa"/>
              <w:right w:w="100" w:type="dxa"/>
            </w:tcMar>
            <w:vAlign w:val="center"/>
          </w:tcPr>
          <w:p w14:paraId="59F7E9E1" w14:textId="77777777" w:rsidR="00A4743F" w:rsidRDefault="00000000">
            <w:r>
              <w:rPr>
                <w:color w:val="222222"/>
                <w:sz w:val="19"/>
                <w:szCs w:val="19"/>
              </w:rPr>
              <w:t>Current as of v1.2 build.</w:t>
            </w:r>
          </w:p>
        </w:tc>
      </w:tr>
      <w:tr w:rsidR="00A4743F" w14:paraId="59F7E9E6" w14:textId="77777777">
        <w:tblPrEx>
          <w:tblCellMar>
            <w:top w:w="0" w:type="dxa"/>
            <w:bottom w:w="0" w:type="dxa"/>
          </w:tblCellMar>
        </w:tblPrEx>
        <w:tc>
          <w:tcPr>
            <w:tcW w:w="2600" w:type="dxa"/>
            <w:tcMar>
              <w:top w:w="80" w:type="dxa"/>
              <w:left w:w="100" w:type="dxa"/>
              <w:bottom w:w="80" w:type="dxa"/>
              <w:right w:w="100" w:type="dxa"/>
            </w:tcMar>
            <w:vAlign w:val="center"/>
          </w:tcPr>
          <w:p w14:paraId="59F7E9E3" w14:textId="77777777" w:rsidR="00A4743F" w:rsidRDefault="00000000">
            <w:r>
              <w:rPr>
                <w:color w:val="222222"/>
                <w:sz w:val="19"/>
                <w:szCs w:val="19"/>
              </w:rPr>
              <w:t>GoDaddy</w:t>
            </w:r>
          </w:p>
        </w:tc>
        <w:tc>
          <w:tcPr>
            <w:tcW w:w="3900" w:type="dxa"/>
            <w:tcMar>
              <w:top w:w="80" w:type="dxa"/>
              <w:left w:w="100" w:type="dxa"/>
              <w:bottom w:w="80" w:type="dxa"/>
              <w:right w:w="100" w:type="dxa"/>
            </w:tcMar>
            <w:vAlign w:val="center"/>
          </w:tcPr>
          <w:p w14:paraId="59F7E9E4" w14:textId="77777777" w:rsidR="00A4743F" w:rsidRDefault="00000000">
            <w:r>
              <w:rPr>
                <w:color w:val="222222"/>
                <w:sz w:val="19"/>
                <w:szCs w:val="19"/>
              </w:rPr>
              <w:t>Domain registration (alumnye.com) and DNS/MX management.</w:t>
            </w:r>
          </w:p>
        </w:tc>
        <w:tc>
          <w:tcPr>
            <w:tcW w:w="2400" w:type="dxa"/>
            <w:tcMar>
              <w:top w:w="80" w:type="dxa"/>
              <w:left w:w="100" w:type="dxa"/>
              <w:bottom w:w="80" w:type="dxa"/>
              <w:right w:w="100" w:type="dxa"/>
            </w:tcMar>
            <w:vAlign w:val="center"/>
          </w:tcPr>
          <w:p w14:paraId="59F7E9E5" w14:textId="77777777" w:rsidR="00A4743F" w:rsidRDefault="00000000">
            <w:r>
              <w:rPr>
                <w:color w:val="222222"/>
                <w:sz w:val="19"/>
                <w:szCs w:val="19"/>
              </w:rPr>
              <w:t xml:space="preserve">Managed by the </w:t>
            </w:r>
            <w:proofErr w:type="spellStart"/>
            <w:r>
              <w:rPr>
                <w:color w:val="222222"/>
                <w:sz w:val="19"/>
                <w:szCs w:val="19"/>
              </w:rPr>
              <w:t>Alumnye</w:t>
            </w:r>
            <w:proofErr w:type="spellEnd"/>
            <w:r>
              <w:rPr>
                <w:color w:val="222222"/>
                <w:sz w:val="19"/>
                <w:szCs w:val="19"/>
              </w:rPr>
              <w:t>/</w:t>
            </w:r>
            <w:proofErr w:type="spellStart"/>
            <w:r>
              <w:rPr>
                <w:color w:val="222222"/>
                <w:sz w:val="19"/>
                <w:szCs w:val="19"/>
              </w:rPr>
              <w:t>Alumwhale</w:t>
            </w:r>
            <w:proofErr w:type="spellEnd"/>
            <w:r>
              <w:rPr>
                <w:color w:val="222222"/>
                <w:sz w:val="19"/>
                <w:szCs w:val="19"/>
              </w:rPr>
              <w:t xml:space="preserve"> team.</w:t>
            </w:r>
          </w:p>
        </w:tc>
      </w:tr>
      <w:tr w:rsidR="00A4743F" w14:paraId="59F7E9E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9E7" w14:textId="77777777" w:rsidR="00A4743F" w:rsidRDefault="00000000">
            <w:r>
              <w:rPr>
                <w:color w:val="222222"/>
                <w:sz w:val="19"/>
                <w:szCs w:val="19"/>
              </w:rPr>
              <w:t>Tela</w:t>
            </w:r>
          </w:p>
        </w:tc>
        <w:tc>
          <w:tcPr>
            <w:tcW w:w="3900" w:type="dxa"/>
            <w:shd w:val="clear" w:color="auto" w:fill="F2F2F2"/>
            <w:tcMar>
              <w:top w:w="80" w:type="dxa"/>
              <w:left w:w="100" w:type="dxa"/>
              <w:bottom w:w="80" w:type="dxa"/>
              <w:right w:w="100" w:type="dxa"/>
            </w:tcMar>
            <w:vAlign w:val="center"/>
          </w:tcPr>
          <w:p w14:paraId="59F7E9E8" w14:textId="77777777" w:rsidR="00A4743F" w:rsidRDefault="00000000">
            <w:r>
              <w:rPr>
                <w:color w:val="222222"/>
                <w:sz w:val="19"/>
                <w:szCs w:val="19"/>
              </w:rPr>
              <w:t>Documentation tooling (BRD, FRD, Test Cases).</w:t>
            </w:r>
          </w:p>
        </w:tc>
        <w:tc>
          <w:tcPr>
            <w:tcW w:w="2400" w:type="dxa"/>
            <w:shd w:val="clear" w:color="auto" w:fill="F2F2F2"/>
            <w:tcMar>
              <w:top w:w="80" w:type="dxa"/>
              <w:left w:w="100" w:type="dxa"/>
              <w:bottom w:w="80" w:type="dxa"/>
              <w:right w:w="100" w:type="dxa"/>
            </w:tcMar>
            <w:vAlign w:val="center"/>
          </w:tcPr>
          <w:p w14:paraId="59F7E9E9" w14:textId="77777777" w:rsidR="00A4743F" w:rsidRDefault="00000000">
            <w:r>
              <w:rPr>
                <w:color w:val="222222"/>
                <w:sz w:val="19"/>
                <w:szCs w:val="19"/>
              </w:rPr>
              <w:t>In use per Master Product Notes.</w:t>
            </w:r>
          </w:p>
        </w:tc>
      </w:tr>
      <w:tr w:rsidR="00A4743F" w14:paraId="59F7E9EE" w14:textId="77777777">
        <w:tblPrEx>
          <w:tblCellMar>
            <w:top w:w="0" w:type="dxa"/>
            <w:bottom w:w="0" w:type="dxa"/>
          </w:tblCellMar>
        </w:tblPrEx>
        <w:tc>
          <w:tcPr>
            <w:tcW w:w="2600" w:type="dxa"/>
            <w:tcMar>
              <w:top w:w="80" w:type="dxa"/>
              <w:left w:w="100" w:type="dxa"/>
              <w:bottom w:w="80" w:type="dxa"/>
              <w:right w:w="100" w:type="dxa"/>
            </w:tcMar>
            <w:vAlign w:val="center"/>
          </w:tcPr>
          <w:p w14:paraId="59F7E9EB" w14:textId="77777777" w:rsidR="00A4743F" w:rsidRDefault="00000000">
            <w:r>
              <w:rPr>
                <w:color w:val="222222"/>
                <w:sz w:val="19"/>
                <w:szCs w:val="19"/>
              </w:rPr>
              <w:t>Fable5</w:t>
            </w:r>
          </w:p>
        </w:tc>
        <w:tc>
          <w:tcPr>
            <w:tcW w:w="3900" w:type="dxa"/>
            <w:tcMar>
              <w:top w:w="80" w:type="dxa"/>
              <w:left w:w="100" w:type="dxa"/>
              <w:bottom w:w="80" w:type="dxa"/>
              <w:right w:w="100" w:type="dxa"/>
            </w:tcMar>
            <w:vAlign w:val="center"/>
          </w:tcPr>
          <w:p w14:paraId="59F7E9EC" w14:textId="77777777" w:rsidR="00A4743F" w:rsidRDefault="00000000">
            <w:r>
              <w:rPr>
                <w:color w:val="222222"/>
                <w:sz w:val="19"/>
                <w:szCs w:val="19"/>
              </w:rPr>
              <w:t>Independent external security audit.</w:t>
            </w:r>
          </w:p>
        </w:tc>
        <w:tc>
          <w:tcPr>
            <w:tcW w:w="2400" w:type="dxa"/>
            <w:tcMar>
              <w:top w:w="80" w:type="dxa"/>
              <w:left w:w="100" w:type="dxa"/>
              <w:bottom w:w="80" w:type="dxa"/>
              <w:right w:w="100" w:type="dxa"/>
            </w:tcMar>
            <w:vAlign w:val="center"/>
          </w:tcPr>
          <w:p w14:paraId="59F7E9ED" w14:textId="77777777" w:rsidR="00A4743F" w:rsidRDefault="00000000">
            <w:r>
              <w:rPr>
                <w:color w:val="222222"/>
                <w:sz w:val="19"/>
                <w:szCs w:val="19"/>
              </w:rPr>
              <w:t>Engaged; code-sharing status and findings tracked as an open item.</w:t>
            </w:r>
          </w:p>
        </w:tc>
      </w:tr>
      <w:tr w:rsidR="00A4743F" w14:paraId="59F7E9F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9F7E9EF" w14:textId="77777777" w:rsidR="00A4743F" w:rsidRDefault="00000000">
            <w:r>
              <w:rPr>
                <w:color w:val="222222"/>
                <w:sz w:val="19"/>
                <w:szCs w:val="19"/>
              </w:rPr>
              <w:t>App Store identity</w:t>
            </w:r>
          </w:p>
        </w:tc>
        <w:tc>
          <w:tcPr>
            <w:tcW w:w="3900" w:type="dxa"/>
            <w:shd w:val="clear" w:color="auto" w:fill="F2F2F2"/>
            <w:tcMar>
              <w:top w:w="80" w:type="dxa"/>
              <w:left w:w="100" w:type="dxa"/>
              <w:bottom w:w="80" w:type="dxa"/>
              <w:right w:w="100" w:type="dxa"/>
            </w:tcMar>
            <w:vAlign w:val="center"/>
          </w:tcPr>
          <w:p w14:paraId="59F7E9F0" w14:textId="77777777" w:rsidR="00A4743F" w:rsidRDefault="00000000">
            <w:r>
              <w:rPr>
                <w:color w:val="222222"/>
                <w:sz w:val="19"/>
                <w:szCs w:val="19"/>
              </w:rPr>
              <w:t>Google Play (DUNS-verified) and a dedicated Apple App ID “</w:t>
            </w:r>
            <w:proofErr w:type="spellStart"/>
            <w:r>
              <w:rPr>
                <w:color w:val="222222"/>
                <w:sz w:val="19"/>
                <w:szCs w:val="19"/>
              </w:rPr>
              <w:t>Alumnye</w:t>
            </w:r>
            <w:proofErr w:type="spellEnd"/>
            <w:r>
              <w:rPr>
                <w:color w:val="222222"/>
                <w:sz w:val="19"/>
                <w:szCs w:val="19"/>
              </w:rPr>
              <w:t>.”</w:t>
            </w:r>
          </w:p>
        </w:tc>
        <w:tc>
          <w:tcPr>
            <w:tcW w:w="2400" w:type="dxa"/>
            <w:shd w:val="clear" w:color="auto" w:fill="F2F2F2"/>
            <w:tcMar>
              <w:top w:w="80" w:type="dxa"/>
              <w:left w:w="100" w:type="dxa"/>
              <w:bottom w:w="80" w:type="dxa"/>
              <w:right w:w="100" w:type="dxa"/>
            </w:tcMar>
            <w:vAlign w:val="center"/>
          </w:tcPr>
          <w:p w14:paraId="59F7E9F1" w14:textId="77777777" w:rsidR="00A4743F" w:rsidRDefault="00000000">
            <w:r>
              <w:rPr>
                <w:color w:val="222222"/>
                <w:sz w:val="19"/>
                <w:szCs w:val="19"/>
              </w:rPr>
              <w:t>Google Play verification completed early; Apple naming conflict resolved 17 Jun 2026.</w:t>
            </w:r>
          </w:p>
        </w:tc>
      </w:tr>
    </w:tbl>
    <w:p w14:paraId="59F7E9F3" w14:textId="77777777" w:rsidR="00A4743F" w:rsidRDefault="00000000">
      <w:pPr>
        <w:pStyle w:val="Heading1"/>
        <w:pBdr>
          <w:bottom w:val="single" w:sz="6" w:space="4" w:color="1F3864"/>
        </w:pBdr>
        <w:spacing w:before="480" w:after="240"/>
      </w:pPr>
      <w:bookmarkStart w:id="22" w:name="_Toc239326840"/>
      <w:r>
        <w:rPr>
          <w:b/>
          <w:bCs/>
          <w:color w:val="1F3864"/>
          <w:sz w:val="30"/>
          <w:szCs w:val="30"/>
        </w:rPr>
        <w:t>8. Success Metrics / KPIs</w:t>
      </w:r>
      <w:bookmarkEnd w:id="22"/>
    </w:p>
    <w:p w14:paraId="59F7E9F4" w14:textId="77777777" w:rsidR="00A4743F" w:rsidRDefault="00000000">
      <w:pPr>
        <w:spacing w:after="180" w:line="276" w:lineRule="auto"/>
        <w:jc w:val="both"/>
      </w:pPr>
      <w:r>
        <w:t>The following business-level success metrics are drawn directly from confirmed project governance (the Post-Go-Live Checklist and the 25 August 2026 readiness review). Where a target is still unsettled in the source project record, this is flagged explicitly rather than presented as final.</w:t>
      </w:r>
    </w:p>
    <w:tbl>
      <w:tblPr>
        <w:tblW w:w="89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00"/>
        <w:gridCol w:w="3400"/>
        <w:gridCol w:w="2600"/>
      </w:tblGrid>
      <w:tr w:rsidR="00A4743F" w14:paraId="59F7E9F8" w14:textId="77777777">
        <w:tblPrEx>
          <w:tblCellMar>
            <w:top w:w="0" w:type="dxa"/>
            <w:bottom w:w="0" w:type="dxa"/>
          </w:tblCellMar>
        </w:tblPrEx>
        <w:trPr>
          <w:tblHeader/>
        </w:trPr>
        <w:tc>
          <w:tcPr>
            <w:tcW w:w="2900" w:type="dxa"/>
            <w:shd w:val="clear" w:color="auto" w:fill="D9E2F3"/>
            <w:tcMar>
              <w:top w:w="80" w:type="dxa"/>
              <w:left w:w="100" w:type="dxa"/>
              <w:bottom w:w="80" w:type="dxa"/>
              <w:right w:w="100" w:type="dxa"/>
            </w:tcMar>
            <w:vAlign w:val="center"/>
          </w:tcPr>
          <w:p w14:paraId="59F7E9F5" w14:textId="77777777" w:rsidR="00A4743F" w:rsidRDefault="00000000">
            <w:r>
              <w:rPr>
                <w:b/>
                <w:bCs/>
                <w:color w:val="1F3864"/>
                <w:sz w:val="19"/>
                <w:szCs w:val="19"/>
              </w:rPr>
              <w:t>KPI / Metric</w:t>
            </w:r>
          </w:p>
        </w:tc>
        <w:tc>
          <w:tcPr>
            <w:tcW w:w="3400" w:type="dxa"/>
            <w:shd w:val="clear" w:color="auto" w:fill="D9E2F3"/>
            <w:tcMar>
              <w:top w:w="80" w:type="dxa"/>
              <w:left w:w="100" w:type="dxa"/>
              <w:bottom w:w="80" w:type="dxa"/>
              <w:right w:w="100" w:type="dxa"/>
            </w:tcMar>
            <w:vAlign w:val="center"/>
          </w:tcPr>
          <w:p w14:paraId="59F7E9F6" w14:textId="77777777" w:rsidR="00A4743F" w:rsidRDefault="00000000">
            <w:r>
              <w:rPr>
                <w:b/>
                <w:bCs/>
                <w:color w:val="1F3864"/>
                <w:sz w:val="19"/>
                <w:szCs w:val="19"/>
              </w:rPr>
              <w:t>Target / Basis</w:t>
            </w:r>
          </w:p>
        </w:tc>
        <w:tc>
          <w:tcPr>
            <w:tcW w:w="2600" w:type="dxa"/>
            <w:shd w:val="clear" w:color="auto" w:fill="D9E2F3"/>
            <w:tcMar>
              <w:top w:w="80" w:type="dxa"/>
              <w:left w:w="100" w:type="dxa"/>
              <w:bottom w:w="80" w:type="dxa"/>
              <w:right w:w="100" w:type="dxa"/>
            </w:tcMar>
            <w:vAlign w:val="center"/>
          </w:tcPr>
          <w:p w14:paraId="59F7E9F7" w14:textId="77777777" w:rsidR="00A4743F" w:rsidRDefault="00000000">
            <w:r>
              <w:rPr>
                <w:b/>
                <w:bCs/>
                <w:color w:val="1F3864"/>
                <w:sz w:val="19"/>
                <w:szCs w:val="19"/>
              </w:rPr>
              <w:t>Source &amp; Status</w:t>
            </w:r>
          </w:p>
        </w:tc>
      </w:tr>
      <w:tr w:rsidR="00A4743F" w14:paraId="59F7E9FC" w14:textId="77777777">
        <w:tblPrEx>
          <w:tblCellMar>
            <w:top w:w="0" w:type="dxa"/>
            <w:bottom w:w="0" w:type="dxa"/>
          </w:tblCellMar>
        </w:tblPrEx>
        <w:tc>
          <w:tcPr>
            <w:tcW w:w="2900" w:type="dxa"/>
            <w:tcMar>
              <w:top w:w="80" w:type="dxa"/>
              <w:left w:w="100" w:type="dxa"/>
              <w:bottom w:w="80" w:type="dxa"/>
              <w:right w:w="100" w:type="dxa"/>
            </w:tcMar>
            <w:vAlign w:val="center"/>
          </w:tcPr>
          <w:p w14:paraId="59F7E9F9" w14:textId="77777777" w:rsidR="00A4743F" w:rsidRDefault="00000000">
            <w:r>
              <w:rPr>
                <w:color w:val="222222"/>
                <w:sz w:val="19"/>
                <w:szCs w:val="19"/>
              </w:rPr>
              <w:t>App Store / Play Store rating</w:t>
            </w:r>
          </w:p>
        </w:tc>
        <w:tc>
          <w:tcPr>
            <w:tcW w:w="3400" w:type="dxa"/>
            <w:tcMar>
              <w:top w:w="80" w:type="dxa"/>
              <w:left w:w="100" w:type="dxa"/>
              <w:bottom w:w="80" w:type="dxa"/>
              <w:right w:w="100" w:type="dxa"/>
            </w:tcMar>
            <w:vAlign w:val="center"/>
          </w:tcPr>
          <w:p w14:paraId="59F7E9FA" w14:textId="77777777" w:rsidR="00A4743F" w:rsidRDefault="00000000">
            <w:r>
              <w:rPr>
                <w:color w:val="222222"/>
                <w:sz w:val="19"/>
                <w:szCs w:val="19"/>
              </w:rPr>
              <w:t>Must remain ≥ 4.0</w:t>
            </w:r>
          </w:p>
        </w:tc>
        <w:tc>
          <w:tcPr>
            <w:tcW w:w="2600" w:type="dxa"/>
            <w:tcMar>
              <w:top w:w="80" w:type="dxa"/>
              <w:left w:w="100" w:type="dxa"/>
              <w:bottom w:w="80" w:type="dxa"/>
              <w:right w:w="100" w:type="dxa"/>
            </w:tcMar>
            <w:vAlign w:val="center"/>
          </w:tcPr>
          <w:p w14:paraId="59F7E9FB" w14:textId="77777777" w:rsidR="00A4743F" w:rsidRDefault="00000000">
            <w:r>
              <w:rPr>
                <w:color w:val="222222"/>
                <w:sz w:val="19"/>
                <w:szCs w:val="19"/>
              </w:rPr>
              <w:t>Post-Go-Live Checklist v1.0 (item D) — confirmed standing target.</w:t>
            </w:r>
          </w:p>
        </w:tc>
      </w:tr>
      <w:tr w:rsidR="00A4743F" w14:paraId="59F7EA00"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59F7E9FD" w14:textId="77777777" w:rsidR="00A4743F" w:rsidRDefault="00000000">
            <w:r>
              <w:rPr>
                <w:color w:val="222222"/>
                <w:sz w:val="19"/>
                <w:szCs w:val="19"/>
              </w:rPr>
              <w:t>User onboarding &amp; adoption</w:t>
            </w:r>
          </w:p>
        </w:tc>
        <w:tc>
          <w:tcPr>
            <w:tcW w:w="3400" w:type="dxa"/>
            <w:shd w:val="clear" w:color="auto" w:fill="F2F2F2"/>
            <w:tcMar>
              <w:top w:w="80" w:type="dxa"/>
              <w:left w:w="100" w:type="dxa"/>
              <w:bottom w:w="80" w:type="dxa"/>
              <w:right w:w="100" w:type="dxa"/>
            </w:tcMar>
            <w:vAlign w:val="center"/>
          </w:tcPr>
          <w:p w14:paraId="59F7E9FE" w14:textId="77777777" w:rsidR="00A4743F" w:rsidRDefault="00000000">
            <w:r>
              <w:rPr>
                <w:color w:val="222222"/>
                <w:sz w:val="19"/>
                <w:szCs w:val="19"/>
              </w:rPr>
              <w:t>Downloads, module usage, and AI-token-consumption analytics tracked daily</w:t>
            </w:r>
          </w:p>
        </w:tc>
        <w:tc>
          <w:tcPr>
            <w:tcW w:w="2600" w:type="dxa"/>
            <w:shd w:val="clear" w:color="auto" w:fill="F2F2F2"/>
            <w:tcMar>
              <w:top w:w="80" w:type="dxa"/>
              <w:left w:w="100" w:type="dxa"/>
              <w:bottom w:w="80" w:type="dxa"/>
              <w:right w:w="100" w:type="dxa"/>
            </w:tcMar>
            <w:vAlign w:val="center"/>
          </w:tcPr>
          <w:p w14:paraId="59F7E9FF" w14:textId="77777777" w:rsidR="00A4743F" w:rsidRDefault="00000000">
            <w:r>
              <w:rPr>
                <w:color w:val="222222"/>
                <w:sz w:val="19"/>
                <w:szCs w:val="19"/>
              </w:rPr>
              <w:t>Post-Go-Live Checklist v1.0 (item B) — confirmed as a tracked metric, no numeric target yet set.</w:t>
            </w:r>
          </w:p>
        </w:tc>
      </w:tr>
      <w:tr w:rsidR="00A4743F" w14:paraId="59F7EA04" w14:textId="77777777">
        <w:tblPrEx>
          <w:tblCellMar>
            <w:top w:w="0" w:type="dxa"/>
            <w:bottom w:w="0" w:type="dxa"/>
          </w:tblCellMar>
        </w:tblPrEx>
        <w:tc>
          <w:tcPr>
            <w:tcW w:w="2900" w:type="dxa"/>
            <w:tcMar>
              <w:top w:w="80" w:type="dxa"/>
              <w:left w:w="100" w:type="dxa"/>
              <w:bottom w:w="80" w:type="dxa"/>
              <w:right w:w="100" w:type="dxa"/>
            </w:tcMar>
            <w:vAlign w:val="center"/>
          </w:tcPr>
          <w:p w14:paraId="59F7EA01" w14:textId="77777777" w:rsidR="00A4743F" w:rsidRDefault="00000000">
            <w:r>
              <w:rPr>
                <w:color w:val="222222"/>
                <w:sz w:val="19"/>
                <w:szCs w:val="19"/>
              </w:rPr>
              <w:t>Reunion-participation impact</w:t>
            </w:r>
          </w:p>
        </w:tc>
        <w:tc>
          <w:tcPr>
            <w:tcW w:w="3400" w:type="dxa"/>
            <w:tcMar>
              <w:top w:w="80" w:type="dxa"/>
              <w:left w:w="100" w:type="dxa"/>
              <w:bottom w:w="80" w:type="dxa"/>
              <w:right w:w="100" w:type="dxa"/>
            </w:tcMar>
            <w:vAlign w:val="center"/>
          </w:tcPr>
          <w:p w14:paraId="59F7EA02" w14:textId="77777777" w:rsidR="00A4743F" w:rsidRDefault="00000000">
            <w:r>
              <w:rPr>
                <w:color w:val="222222"/>
                <w:sz w:val="19"/>
                <w:szCs w:val="19"/>
              </w:rPr>
              <w:t>Validate real-world reunion-participation impact via a 36–48 hour post-release testing/feedback window covering login, onboarding, event creation, polls, cost estimation, RSVP and analytics</w:t>
            </w:r>
          </w:p>
        </w:tc>
        <w:tc>
          <w:tcPr>
            <w:tcW w:w="2600" w:type="dxa"/>
            <w:tcMar>
              <w:top w:w="80" w:type="dxa"/>
              <w:left w:w="100" w:type="dxa"/>
              <w:bottom w:w="80" w:type="dxa"/>
              <w:right w:w="100" w:type="dxa"/>
            </w:tcMar>
            <w:vAlign w:val="center"/>
          </w:tcPr>
          <w:p w14:paraId="59F7EA03" w14:textId="77777777" w:rsidR="00A4743F" w:rsidRDefault="00000000">
            <w:r>
              <w:rPr>
                <w:color w:val="222222"/>
                <w:sz w:val="19"/>
                <w:szCs w:val="19"/>
              </w:rPr>
              <w:t>25 Aug 2026 readiness review — confirmed as a validation exercise; no numeric success threshold specified in source records.</w:t>
            </w:r>
          </w:p>
        </w:tc>
      </w:tr>
      <w:tr w:rsidR="00A4743F" w14:paraId="59F7EA08"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59F7EA05" w14:textId="77777777" w:rsidR="00A4743F" w:rsidRDefault="00000000">
            <w:r>
              <w:rPr>
                <w:color w:val="222222"/>
                <w:sz w:val="19"/>
                <w:szCs w:val="19"/>
              </w:rPr>
              <w:t>Infrastructure &amp; vendor cost visibility</w:t>
            </w:r>
          </w:p>
        </w:tc>
        <w:tc>
          <w:tcPr>
            <w:tcW w:w="3400" w:type="dxa"/>
            <w:shd w:val="clear" w:color="auto" w:fill="F2F2F2"/>
            <w:tcMar>
              <w:top w:w="80" w:type="dxa"/>
              <w:left w:w="100" w:type="dxa"/>
              <w:bottom w:w="80" w:type="dxa"/>
              <w:right w:w="100" w:type="dxa"/>
            </w:tcMar>
            <w:vAlign w:val="center"/>
          </w:tcPr>
          <w:p w14:paraId="59F7EA06" w14:textId="77777777" w:rsidR="00A4743F" w:rsidRDefault="00000000">
            <w:r>
              <w:rPr>
                <w:color w:val="222222"/>
                <w:sz w:val="19"/>
                <w:szCs w:val="19"/>
              </w:rPr>
              <w:t xml:space="preserve">AWS + </w:t>
            </w:r>
            <w:proofErr w:type="spellStart"/>
            <w:r>
              <w:rPr>
                <w:color w:val="222222"/>
                <w:sz w:val="19"/>
                <w:szCs w:val="19"/>
              </w:rPr>
              <w:t>Karix</w:t>
            </w:r>
            <w:proofErr w:type="spellEnd"/>
            <w:r>
              <w:rPr>
                <w:color w:val="222222"/>
                <w:sz w:val="19"/>
                <w:szCs w:val="19"/>
              </w:rPr>
              <w:t xml:space="preserve"> usage tracked via a consolidated cost dashboard with alert thresholds</w:t>
            </w:r>
          </w:p>
        </w:tc>
        <w:tc>
          <w:tcPr>
            <w:tcW w:w="2600" w:type="dxa"/>
            <w:shd w:val="clear" w:color="auto" w:fill="F2F2F2"/>
            <w:tcMar>
              <w:top w:w="80" w:type="dxa"/>
              <w:left w:w="100" w:type="dxa"/>
              <w:bottom w:w="80" w:type="dxa"/>
              <w:right w:w="100" w:type="dxa"/>
            </w:tcMar>
            <w:vAlign w:val="center"/>
          </w:tcPr>
          <w:p w14:paraId="59F7EA07" w14:textId="77777777" w:rsidR="00A4743F" w:rsidRDefault="00000000">
            <w:r>
              <w:rPr>
                <w:color w:val="222222"/>
                <w:sz w:val="19"/>
                <w:szCs w:val="19"/>
              </w:rPr>
              <w:t>DR-010, 10 Aug 2026 — confirmed, stood up in response to recurring ~85% AWS credit-consumption alerts.</w:t>
            </w:r>
          </w:p>
        </w:tc>
      </w:tr>
      <w:tr w:rsidR="00A4743F" w14:paraId="59F7EA0C" w14:textId="77777777">
        <w:tblPrEx>
          <w:tblCellMar>
            <w:top w:w="0" w:type="dxa"/>
            <w:bottom w:w="0" w:type="dxa"/>
          </w:tblCellMar>
        </w:tblPrEx>
        <w:tc>
          <w:tcPr>
            <w:tcW w:w="2900" w:type="dxa"/>
            <w:tcMar>
              <w:top w:w="80" w:type="dxa"/>
              <w:left w:w="100" w:type="dxa"/>
              <w:bottom w:w="80" w:type="dxa"/>
              <w:right w:w="100" w:type="dxa"/>
            </w:tcMar>
            <w:vAlign w:val="center"/>
          </w:tcPr>
          <w:p w14:paraId="59F7EA09" w14:textId="77777777" w:rsidR="00A4743F" w:rsidRDefault="00000000">
            <w:r>
              <w:rPr>
                <w:color w:val="222222"/>
                <w:sz w:val="19"/>
                <w:szCs w:val="19"/>
              </w:rPr>
              <w:t>Release-gate quality</w:t>
            </w:r>
          </w:p>
        </w:tc>
        <w:tc>
          <w:tcPr>
            <w:tcW w:w="3400" w:type="dxa"/>
            <w:tcMar>
              <w:top w:w="80" w:type="dxa"/>
              <w:left w:w="100" w:type="dxa"/>
              <w:bottom w:w="80" w:type="dxa"/>
              <w:right w:w="100" w:type="dxa"/>
            </w:tcMar>
            <w:vAlign w:val="center"/>
          </w:tcPr>
          <w:p w14:paraId="59F7EA0A" w14:textId="77777777" w:rsidR="00A4743F" w:rsidRDefault="00000000">
            <w:r>
              <w:rPr>
                <w:color w:val="222222"/>
                <w:sz w:val="19"/>
                <w:szCs w:val="19"/>
              </w:rPr>
              <w:t>No feature reaches end users without delivered unit, device/integration, and cross-browser test reports plus screenshot evidence</w:t>
            </w:r>
          </w:p>
        </w:tc>
        <w:tc>
          <w:tcPr>
            <w:tcW w:w="2600" w:type="dxa"/>
            <w:tcMar>
              <w:top w:w="80" w:type="dxa"/>
              <w:left w:w="100" w:type="dxa"/>
              <w:bottom w:w="80" w:type="dxa"/>
              <w:right w:w="100" w:type="dxa"/>
            </w:tcMar>
            <w:vAlign w:val="center"/>
          </w:tcPr>
          <w:p w14:paraId="59F7EA0B" w14:textId="77777777" w:rsidR="00A4743F" w:rsidRDefault="00000000">
            <w:r>
              <w:rPr>
                <w:color w:val="222222"/>
                <w:sz w:val="19"/>
                <w:szCs w:val="19"/>
              </w:rPr>
              <w:t>DR-103, 18 Aug 2026 — confirmed standing release gate.</w:t>
            </w:r>
          </w:p>
        </w:tc>
      </w:tr>
      <w:tr w:rsidR="00A4743F" w14:paraId="59F7EA10"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59F7EA0D" w14:textId="77777777" w:rsidR="00A4743F" w:rsidRDefault="00000000">
            <w:r>
              <w:rPr>
                <w:color w:val="222222"/>
                <w:sz w:val="19"/>
                <w:szCs w:val="19"/>
              </w:rPr>
              <w:lastRenderedPageBreak/>
              <w:t>Unit test coverage</w:t>
            </w:r>
          </w:p>
        </w:tc>
        <w:tc>
          <w:tcPr>
            <w:tcW w:w="3400" w:type="dxa"/>
            <w:shd w:val="clear" w:color="auto" w:fill="F2F2F2"/>
            <w:tcMar>
              <w:top w:w="80" w:type="dxa"/>
              <w:left w:w="100" w:type="dxa"/>
              <w:bottom w:w="80" w:type="dxa"/>
              <w:right w:w="100" w:type="dxa"/>
            </w:tcMar>
            <w:vAlign w:val="center"/>
          </w:tcPr>
          <w:p w14:paraId="59F7EA0E" w14:textId="77777777" w:rsidR="00A4743F" w:rsidRDefault="00000000">
            <w:r>
              <w:rPr>
                <w:color w:val="222222"/>
                <w:sz w:val="19"/>
                <w:szCs w:val="19"/>
              </w:rPr>
              <w:t>Target cited inconsistently as 60–70% in one project record and 75–80% in another</w:t>
            </w:r>
          </w:p>
        </w:tc>
        <w:tc>
          <w:tcPr>
            <w:tcW w:w="2600" w:type="dxa"/>
            <w:shd w:val="clear" w:color="auto" w:fill="F2F2F2"/>
            <w:tcMar>
              <w:top w:w="80" w:type="dxa"/>
              <w:left w:w="100" w:type="dxa"/>
              <w:bottom w:w="80" w:type="dxa"/>
              <w:right w:w="100" w:type="dxa"/>
            </w:tcMar>
            <w:vAlign w:val="center"/>
          </w:tcPr>
          <w:p w14:paraId="59F7EA0F" w14:textId="77777777" w:rsidR="00A4743F" w:rsidRDefault="00000000">
            <w:r>
              <w:rPr>
                <w:color w:val="222222"/>
                <w:sz w:val="19"/>
                <w:szCs w:val="19"/>
              </w:rPr>
              <w:t>OI-09 (open) — needs formal reconciliation before adoption as a firm KPI; not yet a settled number.</w:t>
            </w:r>
          </w:p>
        </w:tc>
      </w:tr>
      <w:tr w:rsidR="00A4743F" w14:paraId="59F7EA14" w14:textId="77777777">
        <w:tblPrEx>
          <w:tblCellMar>
            <w:top w:w="0" w:type="dxa"/>
            <w:bottom w:w="0" w:type="dxa"/>
          </w:tblCellMar>
        </w:tblPrEx>
        <w:tc>
          <w:tcPr>
            <w:tcW w:w="2900" w:type="dxa"/>
            <w:tcMar>
              <w:top w:w="80" w:type="dxa"/>
              <w:left w:w="100" w:type="dxa"/>
              <w:bottom w:w="80" w:type="dxa"/>
              <w:right w:w="100" w:type="dxa"/>
            </w:tcMar>
            <w:vAlign w:val="center"/>
          </w:tcPr>
          <w:p w14:paraId="59F7EA11" w14:textId="77777777" w:rsidR="00A4743F" w:rsidRDefault="00000000">
            <w:r>
              <w:rPr>
                <w:color w:val="222222"/>
                <w:sz w:val="19"/>
                <w:szCs w:val="19"/>
              </w:rPr>
              <w:t>Golf module data integrity</w:t>
            </w:r>
          </w:p>
        </w:tc>
        <w:tc>
          <w:tcPr>
            <w:tcW w:w="3400" w:type="dxa"/>
            <w:tcMar>
              <w:top w:w="80" w:type="dxa"/>
              <w:left w:w="100" w:type="dxa"/>
              <w:bottom w:w="80" w:type="dxa"/>
              <w:right w:w="100" w:type="dxa"/>
            </w:tcMar>
            <w:vAlign w:val="center"/>
          </w:tcPr>
          <w:p w14:paraId="59F7EA12" w14:textId="77777777" w:rsidR="00A4743F" w:rsidRDefault="00000000">
            <w:r>
              <w:rPr>
                <w:color w:val="222222"/>
                <w:sz w:val="19"/>
                <w:szCs w:val="19"/>
              </w:rPr>
              <w:t>Score cross-checks against a parallel manual/Excel record, handicap spot-checks, course-listing completeness</w:t>
            </w:r>
          </w:p>
        </w:tc>
        <w:tc>
          <w:tcPr>
            <w:tcW w:w="2600" w:type="dxa"/>
            <w:tcMar>
              <w:top w:w="80" w:type="dxa"/>
              <w:left w:w="100" w:type="dxa"/>
              <w:bottom w:w="80" w:type="dxa"/>
              <w:right w:w="100" w:type="dxa"/>
            </w:tcMar>
            <w:vAlign w:val="center"/>
          </w:tcPr>
          <w:p w14:paraId="59F7EA13" w14:textId="77777777" w:rsidR="00A4743F" w:rsidRDefault="00000000">
            <w:r>
              <w:rPr>
                <w:color w:val="222222"/>
                <w:sz w:val="19"/>
                <w:szCs w:val="19"/>
              </w:rPr>
              <w:t>Post-Go-Live Checklist v1.0 (item F) — confirmed as a recurring daily-review metric.</w:t>
            </w:r>
          </w:p>
        </w:tc>
      </w:tr>
      <w:tr w:rsidR="00A4743F" w14:paraId="59F7EA18"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59F7EA15" w14:textId="77777777" w:rsidR="00A4743F" w:rsidRDefault="00000000">
            <w:r>
              <w:rPr>
                <w:color w:val="222222"/>
                <w:sz w:val="19"/>
                <w:szCs w:val="19"/>
              </w:rPr>
              <w:t>Support responsiveness</w:t>
            </w:r>
          </w:p>
        </w:tc>
        <w:tc>
          <w:tcPr>
            <w:tcW w:w="3400" w:type="dxa"/>
            <w:shd w:val="clear" w:color="auto" w:fill="F2F2F2"/>
            <w:tcMar>
              <w:top w:w="80" w:type="dxa"/>
              <w:left w:w="100" w:type="dxa"/>
              <w:bottom w:w="80" w:type="dxa"/>
              <w:right w:w="100" w:type="dxa"/>
            </w:tcMar>
            <w:vAlign w:val="center"/>
          </w:tcPr>
          <w:p w14:paraId="59F7EA16" w14:textId="77777777" w:rsidR="00A4743F" w:rsidRDefault="00000000">
            <w:r>
              <w:rPr>
                <w:color w:val="222222"/>
                <w:sz w:val="19"/>
                <w:szCs w:val="19"/>
              </w:rPr>
              <w:t>Timely triage across the four dedicated inboxes: care / complaint / campaign / contract@alumnye.com</w:t>
            </w:r>
          </w:p>
        </w:tc>
        <w:tc>
          <w:tcPr>
            <w:tcW w:w="2600" w:type="dxa"/>
            <w:shd w:val="clear" w:color="auto" w:fill="F2F2F2"/>
            <w:tcMar>
              <w:top w:w="80" w:type="dxa"/>
              <w:left w:w="100" w:type="dxa"/>
              <w:bottom w:w="80" w:type="dxa"/>
              <w:right w:w="100" w:type="dxa"/>
            </w:tcMar>
            <w:vAlign w:val="center"/>
          </w:tcPr>
          <w:p w14:paraId="59F7EA17" w14:textId="77777777" w:rsidR="00A4743F" w:rsidRDefault="00000000">
            <w:r>
              <w:rPr>
                <w:color w:val="222222"/>
                <w:sz w:val="19"/>
                <w:szCs w:val="19"/>
              </w:rPr>
              <w:t>Post-Go-Live Checklist v1.0 (item C) — confirmed as a tracked operational metric.</w:t>
            </w:r>
          </w:p>
        </w:tc>
      </w:tr>
    </w:tbl>
    <w:p w14:paraId="59F7EA19" w14:textId="77777777" w:rsidR="00A4743F" w:rsidRDefault="00000000">
      <w:pPr>
        <w:pStyle w:val="Heading1"/>
        <w:pBdr>
          <w:bottom w:val="single" w:sz="6" w:space="4" w:color="1F3864"/>
        </w:pBdr>
        <w:spacing w:before="480" w:after="240"/>
      </w:pPr>
      <w:bookmarkStart w:id="23" w:name="_Toc239326841"/>
      <w:r>
        <w:rPr>
          <w:b/>
          <w:bCs/>
          <w:color w:val="1F3864"/>
          <w:sz w:val="30"/>
          <w:szCs w:val="30"/>
        </w:rPr>
        <w:t>9. Assumptions &amp; Constraints</w:t>
      </w:r>
      <w:bookmarkEnd w:id="23"/>
    </w:p>
    <w:p w14:paraId="59F7EA1A" w14:textId="77777777" w:rsidR="00A4743F" w:rsidRDefault="00000000">
      <w:pPr>
        <w:pStyle w:val="Heading2"/>
        <w:spacing w:before="320" w:after="160"/>
      </w:pPr>
      <w:bookmarkStart w:id="24" w:name="_Toc239326842"/>
      <w:r>
        <w:rPr>
          <w:b/>
          <w:bCs/>
          <w:color w:val="2E5395"/>
          <w:sz w:val="24"/>
          <w:szCs w:val="24"/>
        </w:rPr>
        <w:t>9.1 Assumptions</w:t>
      </w:r>
      <w:bookmarkEnd w:id="24"/>
    </w:p>
    <w:p w14:paraId="59F7EA1B" w14:textId="77777777" w:rsidR="00A4743F" w:rsidRDefault="00000000">
      <w:pPr>
        <w:pStyle w:val="ListParagraph"/>
        <w:numPr>
          <w:ilvl w:val="0"/>
          <w:numId w:val="2"/>
        </w:numPr>
        <w:spacing w:after="90" w:line="276" w:lineRule="auto"/>
      </w:pPr>
      <w:r>
        <w:t xml:space="preserve">WhatsApp will become available as a notification channel once </w:t>
      </w:r>
      <w:proofErr w:type="spellStart"/>
      <w:r>
        <w:t>Karix's</w:t>
      </w:r>
      <w:proofErr w:type="spellEnd"/>
      <w:r>
        <w:t xml:space="preserve"> Meta/Facebook Business account verification is resolved, unlocking the Alpha-phase WhatsApp and campaign-messaging roadmap.</w:t>
      </w:r>
    </w:p>
    <w:p w14:paraId="59F7EA1C" w14:textId="77777777" w:rsidR="00A4743F" w:rsidRDefault="00000000">
      <w:pPr>
        <w:pStyle w:val="ListParagraph"/>
        <w:numPr>
          <w:ilvl w:val="0"/>
          <w:numId w:val="2"/>
        </w:numPr>
        <w:spacing w:after="90" w:line="276" w:lineRule="auto"/>
      </w:pPr>
      <w:r>
        <w:t xml:space="preserve">Formal legal / RBI guidance on payment-fund custody will be obtained in time to support the Alpha-phase </w:t>
      </w:r>
      <w:proofErr w:type="spellStart"/>
      <w:r>
        <w:t>Razorpay</w:t>
      </w:r>
      <w:proofErr w:type="spellEnd"/>
      <w:r>
        <w:t xml:space="preserve"> gateway go-live; until then, the business proceeds with the manual, app-never-holds-funds interim model.</w:t>
      </w:r>
    </w:p>
    <w:p w14:paraId="59F7EA1D" w14:textId="77777777" w:rsidR="00A4743F" w:rsidRDefault="00000000">
      <w:pPr>
        <w:pStyle w:val="ListParagraph"/>
        <w:numPr>
          <w:ilvl w:val="0"/>
          <w:numId w:val="2"/>
        </w:numPr>
        <w:spacing w:after="90" w:line="276" w:lineRule="auto"/>
      </w:pPr>
      <w:r>
        <w:t>The CSGI40 pilot cohort (~140 members, ~70-member playing subset) is representative enough of a typical alumni group to validate onboarding, polling, cost-estimation and RSVP mechanics at real scale ahead of broader rollout.</w:t>
      </w:r>
    </w:p>
    <w:p w14:paraId="59F7EA1E" w14:textId="77777777" w:rsidR="00A4743F" w:rsidRDefault="00000000">
      <w:pPr>
        <w:pStyle w:val="ListParagraph"/>
        <w:numPr>
          <w:ilvl w:val="0"/>
          <w:numId w:val="2"/>
        </w:numPr>
        <w:spacing w:after="90" w:line="276" w:lineRule="auto"/>
      </w:pPr>
      <w:r>
        <w:t>The back-end AI engine (currently Claude Sonnet 4.6) can continue to be swapped or upgraded by the delivery team without requiring a new app-store release, preserving vendor flexibility.</w:t>
      </w:r>
    </w:p>
    <w:p w14:paraId="59F7EA1F" w14:textId="77777777" w:rsidR="00A4743F" w:rsidRDefault="00A4743F">
      <w:pPr>
        <w:spacing w:after="200"/>
      </w:pPr>
    </w:p>
    <w:p w14:paraId="59F7EA20" w14:textId="77777777" w:rsidR="00A4743F" w:rsidRDefault="00000000">
      <w:pPr>
        <w:pStyle w:val="Heading2"/>
        <w:spacing w:before="320" w:after="160"/>
      </w:pPr>
      <w:bookmarkStart w:id="25" w:name="_Toc239326843"/>
      <w:r>
        <w:rPr>
          <w:b/>
          <w:bCs/>
          <w:color w:val="2E5395"/>
          <w:sz w:val="24"/>
          <w:szCs w:val="24"/>
        </w:rPr>
        <w:t>9.2 Constraints</w:t>
      </w:r>
      <w:bookmarkEnd w:id="25"/>
    </w:p>
    <w:p w14:paraId="59F7EA21" w14:textId="77777777" w:rsidR="00A4743F" w:rsidRDefault="00000000">
      <w:pPr>
        <w:pStyle w:val="ListParagraph"/>
        <w:numPr>
          <w:ilvl w:val="0"/>
          <w:numId w:val="2"/>
        </w:numPr>
        <w:spacing w:after="90" w:line="276" w:lineRule="auto"/>
      </w:pPr>
      <w:r>
        <w:rPr>
          <w:b/>
          <w:bCs/>
        </w:rPr>
        <w:t>Profile enrichment cannot use LinkedIn as a data source under any evaluated tool</w:t>
      </w:r>
      <w:r>
        <w:t xml:space="preserve"> — LinkedIn blocks unauthenticated access outright; enrichment is limited to </w:t>
      </w:r>
      <w:proofErr w:type="spellStart"/>
      <w:r>
        <w:t>Firecrawl</w:t>
      </w:r>
      <w:proofErr w:type="spellEnd"/>
      <w:r>
        <w:t>, DuckDuckGo public search, and member-supplied links or text (reaffirmed 25 Aug 2026).</w:t>
      </w:r>
    </w:p>
    <w:p w14:paraId="59F7EA22" w14:textId="77777777" w:rsidR="00A4743F" w:rsidRDefault="00000000">
      <w:pPr>
        <w:pStyle w:val="ListParagraph"/>
        <w:numPr>
          <w:ilvl w:val="0"/>
          <w:numId w:val="2"/>
        </w:numPr>
        <w:spacing w:after="90" w:line="276" w:lineRule="auto"/>
      </w:pPr>
      <w:r>
        <w:rPr>
          <w:b/>
          <w:bCs/>
        </w:rPr>
        <w:t>Notification-vendor continuity is not yet assured</w:t>
      </w:r>
      <w:r>
        <w:t xml:space="preserve"> — </w:t>
      </w:r>
      <w:proofErr w:type="spellStart"/>
      <w:r>
        <w:t>Karix</w:t>
      </w:r>
      <w:proofErr w:type="spellEnd"/>
      <w:r>
        <w:t xml:space="preserve"> is under formal SLA review against </w:t>
      </w:r>
      <w:proofErr w:type="spellStart"/>
      <w:r>
        <w:t>Netcore</w:t>
      </w:r>
      <w:proofErr w:type="spellEnd"/>
      <w:r>
        <w:t xml:space="preserve"> following recurring OTP/SMS delivery failures that had already cost roughly three weeks of project delay (OI-05, open).</w:t>
      </w:r>
    </w:p>
    <w:p w14:paraId="59F7EA23" w14:textId="77777777" w:rsidR="00A4743F" w:rsidRDefault="00000000">
      <w:pPr>
        <w:pStyle w:val="ListParagraph"/>
        <w:numPr>
          <w:ilvl w:val="0"/>
          <w:numId w:val="2"/>
        </w:numPr>
        <w:spacing w:after="90" w:line="276" w:lineRule="auto"/>
      </w:pPr>
      <w:r>
        <w:rPr>
          <w:b/>
          <w:bCs/>
        </w:rPr>
        <w:t>The platform holds no payment-wallet license</w:t>
      </w:r>
      <w:r>
        <w:t xml:space="preserve"> and by design cannot hold a wallet balance; all payment flows must route through an aggregator, and the applicable aggregator guidance appears to cap fund-holding at roughly one day — a hard constraint on any future automated disbursement design.</w:t>
      </w:r>
    </w:p>
    <w:p w14:paraId="59F7EA24" w14:textId="77777777" w:rsidR="00A4743F" w:rsidRDefault="00000000">
      <w:pPr>
        <w:pStyle w:val="ListParagraph"/>
        <w:numPr>
          <w:ilvl w:val="0"/>
          <w:numId w:val="2"/>
        </w:numPr>
        <w:spacing w:after="90" w:line="276" w:lineRule="auto"/>
      </w:pPr>
      <w:r>
        <w:rPr>
          <w:b/>
          <w:bCs/>
        </w:rPr>
        <w:t>The Golf module's direct App Store release is gated</w:t>
      </w:r>
      <w:r>
        <w:t xml:space="preserve"> behind resolving dynamic-handicap and 27-hole course data-integrity gaps, even though iOS store approval has already been received — a deliberate constraint accepted to protect scoring credibility with a senior user base.</w:t>
      </w:r>
    </w:p>
    <w:p w14:paraId="59F7EA25" w14:textId="77777777" w:rsidR="00A4743F" w:rsidRDefault="00000000">
      <w:pPr>
        <w:pStyle w:val="ListParagraph"/>
        <w:numPr>
          <w:ilvl w:val="0"/>
          <w:numId w:val="2"/>
        </w:numPr>
        <w:spacing w:after="90" w:line="276" w:lineRule="auto"/>
      </w:pPr>
      <w:r>
        <w:rPr>
          <w:b/>
          <w:bCs/>
        </w:rPr>
        <w:t>Apple App Store identity required remediation</w:t>
      </w:r>
      <w:r>
        <w:t xml:space="preserve"> — the name “Alumni” was already taken, requiring detachment from a legacy linked application and creation of a new, dedicated “</w:t>
      </w:r>
      <w:proofErr w:type="spellStart"/>
      <w:r>
        <w:t>Alumnye</w:t>
      </w:r>
      <w:proofErr w:type="spellEnd"/>
      <w:r>
        <w:t>” App ID before store publishing could proceed.</w:t>
      </w:r>
    </w:p>
    <w:p w14:paraId="59F7EA26" w14:textId="77777777" w:rsidR="00A4743F" w:rsidRDefault="00000000">
      <w:pPr>
        <w:pStyle w:val="ListParagraph"/>
        <w:numPr>
          <w:ilvl w:val="0"/>
          <w:numId w:val="2"/>
        </w:numPr>
        <w:spacing w:after="90" w:line="276" w:lineRule="auto"/>
      </w:pPr>
      <w:r>
        <w:rPr>
          <w:b/>
          <w:bCs/>
        </w:rPr>
        <w:t>The public website is deliberately minimal</w:t>
      </w:r>
      <w:r>
        <w:t xml:space="preserve"> (a “Coming Soon” page) to avoid revealing product features ahead of launch, while still satisfying Apple/Google app-store review requirements for a live website and </w:t>
      </w:r>
      <w:r>
        <w:lastRenderedPageBreak/>
        <w:t>privacy policy; whether this minimal page will remain sufficient for store review has not yet been confirmed through an actual review cycle.</w:t>
      </w:r>
    </w:p>
    <w:p w14:paraId="59F7EA27" w14:textId="77777777" w:rsidR="00A4743F" w:rsidRDefault="00000000">
      <w:pPr>
        <w:pStyle w:val="Heading1"/>
        <w:pBdr>
          <w:bottom w:val="single" w:sz="6" w:space="4" w:color="1F3864"/>
        </w:pBdr>
        <w:spacing w:before="480" w:after="240"/>
      </w:pPr>
      <w:bookmarkStart w:id="26" w:name="_Toc239326844"/>
      <w:r>
        <w:rPr>
          <w:b/>
          <w:bCs/>
          <w:color w:val="1F3864"/>
          <w:sz w:val="30"/>
          <w:szCs w:val="30"/>
        </w:rPr>
        <w:t>10. Risks &amp; Open Business Decisions</w:t>
      </w:r>
      <w:bookmarkEnd w:id="26"/>
    </w:p>
    <w:p w14:paraId="59F7EA28" w14:textId="77777777" w:rsidR="00A4743F" w:rsidRDefault="00000000">
      <w:pPr>
        <w:spacing w:after="180" w:line="276" w:lineRule="auto"/>
        <w:jc w:val="both"/>
      </w:pPr>
      <w:r>
        <w:t xml:space="preserve">The register below consolidates every open item (OI-01 through OI-16) tracked in the project's Decision Records as of the 30 August 2026 cutoff. The </w:t>
      </w:r>
      <w:r>
        <w:rPr>
          <w:b/>
          <w:bCs/>
          <w:i/>
          <w:iCs/>
        </w:rPr>
        <w:t>Business Impact</w:t>
      </w:r>
      <w:r>
        <w:t xml:space="preserve"> column is this document's own synthesis of each item's business consequence, framed from the underlying project narrative — it should be reviewed and confirmed by the client alongside the rest of this BRD.</w:t>
      </w:r>
    </w:p>
    <w:tbl>
      <w:tblPr>
        <w:tblW w:w="8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2600"/>
        <w:gridCol w:w="2400"/>
        <w:gridCol w:w="1400"/>
        <w:gridCol w:w="1500"/>
      </w:tblGrid>
      <w:tr w:rsidR="00A4743F" w14:paraId="59F7EA2E" w14:textId="77777777">
        <w:tblPrEx>
          <w:tblCellMar>
            <w:top w:w="0" w:type="dxa"/>
            <w:bottom w:w="0" w:type="dxa"/>
          </w:tblCellMar>
        </w:tblPrEx>
        <w:trPr>
          <w:tblHeader/>
        </w:trPr>
        <w:tc>
          <w:tcPr>
            <w:tcW w:w="900" w:type="dxa"/>
            <w:shd w:val="clear" w:color="auto" w:fill="D9E2F3"/>
            <w:tcMar>
              <w:top w:w="80" w:type="dxa"/>
              <w:left w:w="100" w:type="dxa"/>
              <w:bottom w:w="80" w:type="dxa"/>
              <w:right w:w="100" w:type="dxa"/>
            </w:tcMar>
            <w:vAlign w:val="center"/>
          </w:tcPr>
          <w:p w14:paraId="59F7EA29" w14:textId="77777777" w:rsidR="00A4743F" w:rsidRDefault="00000000">
            <w:r>
              <w:rPr>
                <w:b/>
                <w:bCs/>
                <w:color w:val="1F3864"/>
                <w:sz w:val="17"/>
                <w:szCs w:val="17"/>
              </w:rPr>
              <w:t>ID</w:t>
            </w:r>
          </w:p>
        </w:tc>
        <w:tc>
          <w:tcPr>
            <w:tcW w:w="2600" w:type="dxa"/>
            <w:shd w:val="clear" w:color="auto" w:fill="D9E2F3"/>
            <w:tcMar>
              <w:top w:w="80" w:type="dxa"/>
              <w:left w:w="100" w:type="dxa"/>
              <w:bottom w:w="80" w:type="dxa"/>
              <w:right w:w="100" w:type="dxa"/>
            </w:tcMar>
            <w:vAlign w:val="center"/>
          </w:tcPr>
          <w:p w14:paraId="59F7EA2A" w14:textId="77777777" w:rsidR="00A4743F" w:rsidRDefault="00000000">
            <w:r>
              <w:rPr>
                <w:b/>
                <w:bCs/>
                <w:color w:val="1F3864"/>
                <w:sz w:val="17"/>
                <w:szCs w:val="17"/>
              </w:rPr>
              <w:t>Risk / Open Item</w:t>
            </w:r>
          </w:p>
        </w:tc>
        <w:tc>
          <w:tcPr>
            <w:tcW w:w="2400" w:type="dxa"/>
            <w:shd w:val="clear" w:color="auto" w:fill="D9E2F3"/>
            <w:tcMar>
              <w:top w:w="80" w:type="dxa"/>
              <w:left w:w="100" w:type="dxa"/>
              <w:bottom w:w="80" w:type="dxa"/>
              <w:right w:w="100" w:type="dxa"/>
            </w:tcMar>
            <w:vAlign w:val="center"/>
          </w:tcPr>
          <w:p w14:paraId="59F7EA2B" w14:textId="77777777" w:rsidR="00A4743F" w:rsidRDefault="00000000">
            <w:r>
              <w:rPr>
                <w:b/>
                <w:bCs/>
                <w:color w:val="1F3864"/>
                <w:sz w:val="17"/>
                <w:szCs w:val="17"/>
              </w:rPr>
              <w:t>Business Impact</w:t>
            </w:r>
          </w:p>
        </w:tc>
        <w:tc>
          <w:tcPr>
            <w:tcW w:w="1400" w:type="dxa"/>
            <w:shd w:val="clear" w:color="auto" w:fill="D9E2F3"/>
            <w:tcMar>
              <w:top w:w="80" w:type="dxa"/>
              <w:left w:w="100" w:type="dxa"/>
              <w:bottom w:w="80" w:type="dxa"/>
              <w:right w:w="100" w:type="dxa"/>
            </w:tcMar>
            <w:vAlign w:val="center"/>
          </w:tcPr>
          <w:p w14:paraId="59F7EA2C" w14:textId="77777777" w:rsidR="00A4743F" w:rsidRDefault="00000000">
            <w:r>
              <w:rPr>
                <w:b/>
                <w:bCs/>
                <w:color w:val="1F3864"/>
                <w:sz w:val="17"/>
                <w:szCs w:val="17"/>
              </w:rPr>
              <w:t>Owner</w:t>
            </w:r>
          </w:p>
        </w:tc>
        <w:tc>
          <w:tcPr>
            <w:tcW w:w="1500" w:type="dxa"/>
            <w:shd w:val="clear" w:color="auto" w:fill="D9E2F3"/>
            <w:tcMar>
              <w:top w:w="80" w:type="dxa"/>
              <w:left w:w="100" w:type="dxa"/>
              <w:bottom w:w="80" w:type="dxa"/>
              <w:right w:w="100" w:type="dxa"/>
            </w:tcMar>
            <w:vAlign w:val="center"/>
          </w:tcPr>
          <w:p w14:paraId="59F7EA2D" w14:textId="77777777" w:rsidR="00A4743F" w:rsidRDefault="00000000">
            <w:r>
              <w:rPr>
                <w:b/>
                <w:bCs/>
                <w:color w:val="1F3864"/>
                <w:sz w:val="17"/>
                <w:szCs w:val="17"/>
              </w:rPr>
              <w:t>Status</w:t>
            </w:r>
          </w:p>
        </w:tc>
      </w:tr>
      <w:tr w:rsidR="00A4743F" w14:paraId="59F7EA34" w14:textId="77777777">
        <w:tblPrEx>
          <w:tblCellMar>
            <w:top w:w="0" w:type="dxa"/>
            <w:bottom w:w="0" w:type="dxa"/>
          </w:tblCellMar>
        </w:tblPrEx>
        <w:tc>
          <w:tcPr>
            <w:tcW w:w="900" w:type="dxa"/>
            <w:tcMar>
              <w:top w:w="80" w:type="dxa"/>
              <w:left w:w="100" w:type="dxa"/>
              <w:bottom w:w="80" w:type="dxa"/>
              <w:right w:w="100" w:type="dxa"/>
            </w:tcMar>
            <w:vAlign w:val="center"/>
          </w:tcPr>
          <w:p w14:paraId="59F7EA2F" w14:textId="77777777" w:rsidR="00A4743F" w:rsidRDefault="00000000">
            <w:r>
              <w:rPr>
                <w:b/>
                <w:bCs/>
                <w:color w:val="1F3864"/>
                <w:sz w:val="17"/>
                <w:szCs w:val="17"/>
              </w:rPr>
              <w:t>OI-01</w:t>
            </w:r>
          </w:p>
        </w:tc>
        <w:tc>
          <w:tcPr>
            <w:tcW w:w="2600" w:type="dxa"/>
            <w:tcMar>
              <w:top w:w="80" w:type="dxa"/>
              <w:left w:w="100" w:type="dxa"/>
              <w:bottom w:w="80" w:type="dxa"/>
              <w:right w:w="100" w:type="dxa"/>
            </w:tcMar>
            <w:vAlign w:val="center"/>
          </w:tcPr>
          <w:p w14:paraId="59F7EA30" w14:textId="77777777" w:rsidR="00A4743F" w:rsidRDefault="00000000">
            <w:r>
              <w:rPr>
                <w:color w:val="222222"/>
                <w:sz w:val="17"/>
                <w:szCs w:val="17"/>
              </w:rPr>
              <w:t>Payment custody legal model (trust account vs. direct pass-through)</w:t>
            </w:r>
          </w:p>
        </w:tc>
        <w:tc>
          <w:tcPr>
            <w:tcW w:w="2400" w:type="dxa"/>
            <w:tcMar>
              <w:top w:w="80" w:type="dxa"/>
              <w:left w:w="100" w:type="dxa"/>
              <w:bottom w:w="80" w:type="dxa"/>
              <w:right w:w="100" w:type="dxa"/>
            </w:tcMar>
            <w:vAlign w:val="center"/>
          </w:tcPr>
          <w:p w14:paraId="59F7EA31" w14:textId="77777777" w:rsidR="00A4743F" w:rsidRDefault="00000000">
            <w:r>
              <w:rPr>
                <w:color w:val="222222"/>
                <w:sz w:val="17"/>
                <w:szCs w:val="17"/>
              </w:rPr>
              <w:t xml:space="preserve">Determines whether/how </w:t>
            </w:r>
            <w:proofErr w:type="spellStart"/>
            <w:r>
              <w:rPr>
                <w:color w:val="222222"/>
                <w:sz w:val="17"/>
                <w:szCs w:val="17"/>
              </w:rPr>
              <w:t>Alumnye</w:t>
            </w:r>
            <w:proofErr w:type="spellEnd"/>
            <w:r>
              <w:rPr>
                <w:color w:val="222222"/>
                <w:sz w:val="17"/>
                <w:szCs w:val="17"/>
              </w:rPr>
              <w:t xml:space="preserve"> can legally process and briefly hold member funds; directly blocks the Alpha payment-gateway go-live. Single highest-impact open risk on the platform.</w:t>
            </w:r>
          </w:p>
        </w:tc>
        <w:tc>
          <w:tcPr>
            <w:tcW w:w="1400" w:type="dxa"/>
            <w:tcMar>
              <w:top w:w="80" w:type="dxa"/>
              <w:left w:w="100" w:type="dxa"/>
              <w:bottom w:w="80" w:type="dxa"/>
              <w:right w:w="100" w:type="dxa"/>
            </w:tcMar>
            <w:vAlign w:val="center"/>
          </w:tcPr>
          <w:p w14:paraId="59F7EA32" w14:textId="77777777" w:rsidR="00A4743F" w:rsidRDefault="00000000">
            <w:r>
              <w:rPr>
                <w:color w:val="222222"/>
                <w:sz w:val="17"/>
                <w:szCs w:val="17"/>
              </w:rPr>
              <w:t>Indeevar</w:t>
            </w:r>
          </w:p>
        </w:tc>
        <w:tc>
          <w:tcPr>
            <w:tcW w:w="1500" w:type="dxa"/>
            <w:tcMar>
              <w:top w:w="80" w:type="dxa"/>
              <w:left w:w="100" w:type="dxa"/>
              <w:bottom w:w="80" w:type="dxa"/>
              <w:right w:w="100" w:type="dxa"/>
            </w:tcMar>
            <w:vAlign w:val="center"/>
          </w:tcPr>
          <w:p w14:paraId="59F7EA33" w14:textId="77777777" w:rsidR="00A4743F" w:rsidRDefault="00000000">
            <w:r>
              <w:rPr>
                <w:color w:val="222222"/>
                <w:sz w:val="17"/>
                <w:szCs w:val="17"/>
              </w:rPr>
              <w:t>Pending legal / RBI input (since 26 Jun)</w:t>
            </w:r>
          </w:p>
        </w:tc>
      </w:tr>
      <w:tr w:rsidR="00A4743F" w14:paraId="59F7EA3A" w14:textId="77777777">
        <w:tblPrEx>
          <w:tblCellMar>
            <w:top w:w="0" w:type="dxa"/>
            <w:bottom w:w="0" w:type="dxa"/>
          </w:tblCellMar>
        </w:tblPrEx>
        <w:tc>
          <w:tcPr>
            <w:tcW w:w="900" w:type="dxa"/>
            <w:tcMar>
              <w:top w:w="80" w:type="dxa"/>
              <w:left w:w="100" w:type="dxa"/>
              <w:bottom w:w="80" w:type="dxa"/>
              <w:right w:w="100" w:type="dxa"/>
            </w:tcMar>
            <w:vAlign w:val="center"/>
          </w:tcPr>
          <w:p w14:paraId="59F7EA35" w14:textId="77777777" w:rsidR="00A4743F" w:rsidRDefault="00000000">
            <w:r>
              <w:rPr>
                <w:b/>
                <w:bCs/>
                <w:color w:val="1F3864"/>
                <w:sz w:val="17"/>
                <w:szCs w:val="17"/>
              </w:rPr>
              <w:t>OI-02</w:t>
            </w:r>
          </w:p>
        </w:tc>
        <w:tc>
          <w:tcPr>
            <w:tcW w:w="2600" w:type="dxa"/>
            <w:tcMar>
              <w:top w:w="80" w:type="dxa"/>
              <w:left w:w="100" w:type="dxa"/>
              <w:bottom w:w="80" w:type="dxa"/>
              <w:right w:w="100" w:type="dxa"/>
            </w:tcMar>
            <w:vAlign w:val="center"/>
          </w:tcPr>
          <w:p w14:paraId="59F7EA36" w14:textId="77777777" w:rsidR="00A4743F" w:rsidRDefault="00000000">
            <w:r>
              <w:rPr>
                <w:color w:val="222222"/>
                <w:sz w:val="17"/>
                <w:szCs w:val="17"/>
              </w:rPr>
              <w:t>Whether Delta proceeds “detached” from payment entirely</w:t>
            </w:r>
          </w:p>
        </w:tc>
        <w:tc>
          <w:tcPr>
            <w:tcW w:w="2400" w:type="dxa"/>
            <w:tcMar>
              <w:top w:w="80" w:type="dxa"/>
              <w:left w:w="100" w:type="dxa"/>
              <w:bottom w:w="80" w:type="dxa"/>
              <w:right w:w="100" w:type="dxa"/>
            </w:tcMar>
            <w:vAlign w:val="center"/>
          </w:tcPr>
          <w:p w14:paraId="59F7EA37" w14:textId="77777777" w:rsidR="00A4743F" w:rsidRDefault="00000000">
            <w:r>
              <w:rPr>
                <w:color w:val="222222"/>
                <w:sz w:val="17"/>
                <w:szCs w:val="17"/>
              </w:rPr>
              <w:t>Shapes the interim payments product strategy while the custody model remains unresolved.</w:t>
            </w:r>
          </w:p>
        </w:tc>
        <w:tc>
          <w:tcPr>
            <w:tcW w:w="1400" w:type="dxa"/>
            <w:tcMar>
              <w:top w:w="80" w:type="dxa"/>
              <w:left w:w="100" w:type="dxa"/>
              <w:bottom w:w="80" w:type="dxa"/>
              <w:right w:w="100" w:type="dxa"/>
            </w:tcMar>
            <w:vAlign w:val="center"/>
          </w:tcPr>
          <w:p w14:paraId="59F7EA38" w14:textId="77777777" w:rsidR="00A4743F" w:rsidRDefault="00000000">
            <w:r>
              <w:rPr>
                <w:color w:val="222222"/>
                <w:sz w:val="17"/>
                <w:szCs w:val="17"/>
              </w:rPr>
              <w:t>Indeevar</w:t>
            </w:r>
          </w:p>
        </w:tc>
        <w:tc>
          <w:tcPr>
            <w:tcW w:w="1500" w:type="dxa"/>
            <w:tcMar>
              <w:top w:w="80" w:type="dxa"/>
              <w:left w:w="100" w:type="dxa"/>
              <w:bottom w:w="80" w:type="dxa"/>
              <w:right w:w="100" w:type="dxa"/>
            </w:tcMar>
            <w:vAlign w:val="center"/>
          </w:tcPr>
          <w:p w14:paraId="59F7EA39" w14:textId="77777777" w:rsidR="00A4743F" w:rsidRDefault="00000000">
            <w:r>
              <w:rPr>
                <w:color w:val="222222"/>
                <w:sz w:val="17"/>
                <w:szCs w:val="17"/>
              </w:rPr>
              <w:t>Pending (since 26 Jun)</w:t>
            </w:r>
          </w:p>
        </w:tc>
      </w:tr>
      <w:tr w:rsidR="00A4743F" w14:paraId="59F7EA40" w14:textId="77777777">
        <w:tblPrEx>
          <w:tblCellMar>
            <w:top w:w="0" w:type="dxa"/>
            <w:bottom w:w="0" w:type="dxa"/>
          </w:tblCellMar>
        </w:tblPrEx>
        <w:tc>
          <w:tcPr>
            <w:tcW w:w="900" w:type="dxa"/>
            <w:tcMar>
              <w:top w:w="80" w:type="dxa"/>
              <w:left w:w="100" w:type="dxa"/>
              <w:bottom w:w="80" w:type="dxa"/>
              <w:right w:w="100" w:type="dxa"/>
            </w:tcMar>
            <w:vAlign w:val="center"/>
          </w:tcPr>
          <w:p w14:paraId="59F7EA3B" w14:textId="77777777" w:rsidR="00A4743F" w:rsidRDefault="00000000">
            <w:r>
              <w:rPr>
                <w:b/>
                <w:bCs/>
                <w:color w:val="1F3864"/>
                <w:sz w:val="17"/>
                <w:szCs w:val="17"/>
              </w:rPr>
              <w:t>OI-03</w:t>
            </w:r>
          </w:p>
        </w:tc>
        <w:tc>
          <w:tcPr>
            <w:tcW w:w="2600" w:type="dxa"/>
            <w:tcMar>
              <w:top w:w="80" w:type="dxa"/>
              <w:left w:w="100" w:type="dxa"/>
              <w:bottom w:w="80" w:type="dxa"/>
              <w:right w:w="100" w:type="dxa"/>
            </w:tcMar>
            <w:vAlign w:val="center"/>
          </w:tcPr>
          <w:p w14:paraId="59F7EA3C" w14:textId="77777777" w:rsidR="00A4743F" w:rsidRDefault="00000000">
            <w:r>
              <w:rPr>
                <w:color w:val="222222"/>
                <w:sz w:val="17"/>
                <w:szCs w:val="17"/>
              </w:rPr>
              <w:t>Poll-answer visibility to Members after submission (own answers vs. aggregate only)</w:t>
            </w:r>
          </w:p>
        </w:tc>
        <w:tc>
          <w:tcPr>
            <w:tcW w:w="2400" w:type="dxa"/>
            <w:tcMar>
              <w:top w:w="80" w:type="dxa"/>
              <w:left w:w="100" w:type="dxa"/>
              <w:bottom w:w="80" w:type="dxa"/>
              <w:right w:w="100" w:type="dxa"/>
            </w:tcMar>
            <w:vAlign w:val="center"/>
          </w:tcPr>
          <w:p w14:paraId="59F7EA3D" w14:textId="77777777" w:rsidR="00A4743F" w:rsidRDefault="00000000">
            <w:r>
              <w:rPr>
                <w:color w:val="222222"/>
                <w:sz w:val="17"/>
                <w:szCs w:val="17"/>
              </w:rPr>
              <w:t>Affects member trust and perceived transparency in the polling experience.</w:t>
            </w:r>
          </w:p>
        </w:tc>
        <w:tc>
          <w:tcPr>
            <w:tcW w:w="1400" w:type="dxa"/>
            <w:tcMar>
              <w:top w:w="80" w:type="dxa"/>
              <w:left w:w="100" w:type="dxa"/>
              <w:bottom w:w="80" w:type="dxa"/>
              <w:right w:w="100" w:type="dxa"/>
            </w:tcMar>
            <w:vAlign w:val="center"/>
          </w:tcPr>
          <w:p w14:paraId="59F7EA3E" w14:textId="77777777" w:rsidR="00A4743F" w:rsidRDefault="00000000">
            <w:r>
              <w:rPr>
                <w:color w:val="222222"/>
                <w:sz w:val="17"/>
                <w:szCs w:val="17"/>
              </w:rPr>
              <w:t>Indeevar / Sathish</w:t>
            </w:r>
          </w:p>
        </w:tc>
        <w:tc>
          <w:tcPr>
            <w:tcW w:w="1500" w:type="dxa"/>
            <w:tcMar>
              <w:top w:w="80" w:type="dxa"/>
              <w:left w:w="100" w:type="dxa"/>
              <w:bottom w:w="80" w:type="dxa"/>
              <w:right w:w="100" w:type="dxa"/>
            </w:tcMar>
            <w:vAlign w:val="center"/>
          </w:tcPr>
          <w:p w14:paraId="59F7EA3F" w14:textId="77777777" w:rsidR="00A4743F" w:rsidRDefault="00000000">
            <w:r>
              <w:rPr>
                <w:color w:val="222222"/>
                <w:sz w:val="17"/>
                <w:szCs w:val="17"/>
              </w:rPr>
              <w:t>Deferred (since 23 Jun)</w:t>
            </w:r>
          </w:p>
        </w:tc>
      </w:tr>
      <w:tr w:rsidR="00A4743F" w14:paraId="59F7EA46" w14:textId="77777777">
        <w:tblPrEx>
          <w:tblCellMar>
            <w:top w:w="0" w:type="dxa"/>
            <w:bottom w:w="0" w:type="dxa"/>
          </w:tblCellMar>
        </w:tblPrEx>
        <w:tc>
          <w:tcPr>
            <w:tcW w:w="900" w:type="dxa"/>
            <w:tcMar>
              <w:top w:w="80" w:type="dxa"/>
              <w:left w:w="100" w:type="dxa"/>
              <w:bottom w:w="80" w:type="dxa"/>
              <w:right w:w="100" w:type="dxa"/>
            </w:tcMar>
            <w:vAlign w:val="center"/>
          </w:tcPr>
          <w:p w14:paraId="59F7EA41" w14:textId="77777777" w:rsidR="00A4743F" w:rsidRDefault="00000000">
            <w:r>
              <w:rPr>
                <w:b/>
                <w:bCs/>
                <w:color w:val="1F3864"/>
                <w:sz w:val="17"/>
                <w:szCs w:val="17"/>
              </w:rPr>
              <w:t>OI-04</w:t>
            </w:r>
          </w:p>
        </w:tc>
        <w:tc>
          <w:tcPr>
            <w:tcW w:w="2600" w:type="dxa"/>
            <w:tcMar>
              <w:top w:w="80" w:type="dxa"/>
              <w:left w:w="100" w:type="dxa"/>
              <w:bottom w:w="80" w:type="dxa"/>
              <w:right w:w="100" w:type="dxa"/>
            </w:tcMar>
            <w:vAlign w:val="center"/>
          </w:tcPr>
          <w:p w14:paraId="59F7EA42" w14:textId="77777777" w:rsidR="00A4743F" w:rsidRDefault="00000000">
            <w:r>
              <w:rPr>
                <w:color w:val="222222"/>
                <w:sz w:val="17"/>
                <w:szCs w:val="17"/>
              </w:rPr>
              <w:t>Configurable RSVP cap per event — exact numeric limit not yet specified</w:t>
            </w:r>
          </w:p>
        </w:tc>
        <w:tc>
          <w:tcPr>
            <w:tcW w:w="2400" w:type="dxa"/>
            <w:tcMar>
              <w:top w:w="80" w:type="dxa"/>
              <w:left w:w="100" w:type="dxa"/>
              <w:bottom w:w="80" w:type="dxa"/>
              <w:right w:w="100" w:type="dxa"/>
            </w:tcMar>
            <w:vAlign w:val="center"/>
          </w:tcPr>
          <w:p w14:paraId="59F7EA43" w14:textId="77777777" w:rsidR="00A4743F" w:rsidRDefault="00000000">
            <w:r>
              <w:rPr>
                <w:color w:val="222222"/>
                <w:sz w:val="17"/>
                <w:szCs w:val="17"/>
              </w:rPr>
              <w:t>Affects event-capacity planning and venue/vendor commitments once implemented.</w:t>
            </w:r>
          </w:p>
        </w:tc>
        <w:tc>
          <w:tcPr>
            <w:tcW w:w="1400" w:type="dxa"/>
            <w:tcMar>
              <w:top w:w="80" w:type="dxa"/>
              <w:left w:w="100" w:type="dxa"/>
              <w:bottom w:w="80" w:type="dxa"/>
              <w:right w:w="100" w:type="dxa"/>
            </w:tcMar>
            <w:vAlign w:val="center"/>
          </w:tcPr>
          <w:p w14:paraId="59F7EA44" w14:textId="77777777" w:rsidR="00A4743F" w:rsidRDefault="00000000">
            <w:r>
              <w:rPr>
                <w:color w:val="222222"/>
                <w:sz w:val="17"/>
                <w:szCs w:val="17"/>
              </w:rPr>
              <w:t>Indeevar</w:t>
            </w:r>
          </w:p>
        </w:tc>
        <w:tc>
          <w:tcPr>
            <w:tcW w:w="1500" w:type="dxa"/>
            <w:tcMar>
              <w:top w:w="80" w:type="dxa"/>
              <w:left w:w="100" w:type="dxa"/>
              <w:bottom w:w="80" w:type="dxa"/>
              <w:right w:w="100" w:type="dxa"/>
            </w:tcMar>
            <w:vAlign w:val="center"/>
          </w:tcPr>
          <w:p w14:paraId="59F7EA45" w14:textId="77777777" w:rsidR="00A4743F" w:rsidRDefault="00000000">
            <w:r>
              <w:rPr>
                <w:color w:val="222222"/>
                <w:sz w:val="17"/>
                <w:szCs w:val="17"/>
              </w:rPr>
              <w:t>Pending specification (since 23 Jun)</w:t>
            </w:r>
          </w:p>
        </w:tc>
      </w:tr>
      <w:tr w:rsidR="00A4743F" w14:paraId="59F7EA4C" w14:textId="77777777">
        <w:tblPrEx>
          <w:tblCellMar>
            <w:top w:w="0" w:type="dxa"/>
            <w:bottom w:w="0" w:type="dxa"/>
          </w:tblCellMar>
        </w:tblPrEx>
        <w:tc>
          <w:tcPr>
            <w:tcW w:w="900" w:type="dxa"/>
            <w:tcMar>
              <w:top w:w="80" w:type="dxa"/>
              <w:left w:w="100" w:type="dxa"/>
              <w:bottom w:w="80" w:type="dxa"/>
              <w:right w:w="100" w:type="dxa"/>
            </w:tcMar>
            <w:vAlign w:val="center"/>
          </w:tcPr>
          <w:p w14:paraId="59F7EA47" w14:textId="77777777" w:rsidR="00A4743F" w:rsidRDefault="00000000">
            <w:r>
              <w:rPr>
                <w:b/>
                <w:bCs/>
                <w:color w:val="1F3864"/>
                <w:sz w:val="17"/>
                <w:szCs w:val="17"/>
              </w:rPr>
              <w:t>OI-05</w:t>
            </w:r>
          </w:p>
        </w:tc>
        <w:tc>
          <w:tcPr>
            <w:tcW w:w="2600" w:type="dxa"/>
            <w:tcMar>
              <w:top w:w="80" w:type="dxa"/>
              <w:left w:w="100" w:type="dxa"/>
              <w:bottom w:w="80" w:type="dxa"/>
              <w:right w:w="100" w:type="dxa"/>
            </w:tcMar>
            <w:vAlign w:val="center"/>
          </w:tcPr>
          <w:p w14:paraId="59F7EA48" w14:textId="77777777" w:rsidR="00A4743F" w:rsidRDefault="00000000">
            <w:proofErr w:type="spellStart"/>
            <w:r>
              <w:rPr>
                <w:color w:val="222222"/>
                <w:sz w:val="17"/>
                <w:szCs w:val="17"/>
              </w:rPr>
              <w:t>Karix</w:t>
            </w:r>
            <w:proofErr w:type="spellEnd"/>
            <w:r>
              <w:rPr>
                <w:color w:val="222222"/>
                <w:sz w:val="17"/>
                <w:szCs w:val="17"/>
              </w:rPr>
              <w:t xml:space="preserve"> vs. </w:t>
            </w:r>
            <w:proofErr w:type="spellStart"/>
            <w:r>
              <w:rPr>
                <w:color w:val="222222"/>
                <w:sz w:val="17"/>
                <w:szCs w:val="17"/>
              </w:rPr>
              <w:t>Netcore</w:t>
            </w:r>
            <w:proofErr w:type="spellEnd"/>
            <w:r>
              <w:rPr>
                <w:color w:val="222222"/>
                <w:sz w:val="17"/>
                <w:szCs w:val="17"/>
              </w:rPr>
              <w:t xml:space="preserve"> final notification-vendor decision</w:t>
            </w:r>
          </w:p>
        </w:tc>
        <w:tc>
          <w:tcPr>
            <w:tcW w:w="2400" w:type="dxa"/>
            <w:tcMar>
              <w:top w:w="80" w:type="dxa"/>
              <w:left w:w="100" w:type="dxa"/>
              <w:bottom w:w="80" w:type="dxa"/>
              <w:right w:w="100" w:type="dxa"/>
            </w:tcMar>
            <w:vAlign w:val="center"/>
          </w:tcPr>
          <w:p w14:paraId="59F7EA49" w14:textId="77777777" w:rsidR="00A4743F" w:rsidRDefault="00000000">
            <w:r>
              <w:rPr>
                <w:color w:val="222222"/>
                <w:sz w:val="17"/>
                <w:szCs w:val="17"/>
              </w:rPr>
              <w:t>Notification delivery reliability risk; recurring OTP/SMS failures have already cost roughly 3 weeks of delay.</w:t>
            </w:r>
          </w:p>
        </w:tc>
        <w:tc>
          <w:tcPr>
            <w:tcW w:w="1400" w:type="dxa"/>
            <w:tcMar>
              <w:top w:w="80" w:type="dxa"/>
              <w:left w:w="100" w:type="dxa"/>
              <w:bottom w:w="80" w:type="dxa"/>
              <w:right w:w="100" w:type="dxa"/>
            </w:tcMar>
            <w:vAlign w:val="center"/>
          </w:tcPr>
          <w:p w14:paraId="59F7EA4A" w14:textId="77777777" w:rsidR="00A4743F" w:rsidRDefault="00000000">
            <w:r>
              <w:rPr>
                <w:color w:val="222222"/>
                <w:sz w:val="17"/>
                <w:szCs w:val="17"/>
              </w:rPr>
              <w:t>Anand</w:t>
            </w:r>
          </w:p>
        </w:tc>
        <w:tc>
          <w:tcPr>
            <w:tcW w:w="1500" w:type="dxa"/>
            <w:tcMar>
              <w:top w:w="80" w:type="dxa"/>
              <w:left w:w="100" w:type="dxa"/>
              <w:bottom w:w="80" w:type="dxa"/>
              <w:right w:w="100" w:type="dxa"/>
            </w:tcMar>
            <w:vAlign w:val="center"/>
          </w:tcPr>
          <w:p w14:paraId="59F7EA4B" w14:textId="77777777" w:rsidR="00A4743F" w:rsidRDefault="00000000">
            <w:r>
              <w:rPr>
                <w:color w:val="222222"/>
                <w:sz w:val="17"/>
                <w:szCs w:val="17"/>
              </w:rPr>
              <w:t>Pending SLA responses (since 10–11 Aug)</w:t>
            </w:r>
          </w:p>
        </w:tc>
      </w:tr>
      <w:tr w:rsidR="00A4743F" w14:paraId="59F7EA52" w14:textId="77777777">
        <w:tblPrEx>
          <w:tblCellMar>
            <w:top w:w="0" w:type="dxa"/>
            <w:bottom w:w="0" w:type="dxa"/>
          </w:tblCellMar>
        </w:tblPrEx>
        <w:tc>
          <w:tcPr>
            <w:tcW w:w="900" w:type="dxa"/>
            <w:tcMar>
              <w:top w:w="80" w:type="dxa"/>
              <w:left w:w="100" w:type="dxa"/>
              <w:bottom w:w="80" w:type="dxa"/>
              <w:right w:w="100" w:type="dxa"/>
            </w:tcMar>
            <w:vAlign w:val="center"/>
          </w:tcPr>
          <w:p w14:paraId="59F7EA4D" w14:textId="77777777" w:rsidR="00A4743F" w:rsidRDefault="00000000">
            <w:r>
              <w:rPr>
                <w:b/>
                <w:bCs/>
                <w:color w:val="1F3864"/>
                <w:sz w:val="17"/>
                <w:szCs w:val="17"/>
              </w:rPr>
              <w:t>OI-06</w:t>
            </w:r>
          </w:p>
        </w:tc>
        <w:tc>
          <w:tcPr>
            <w:tcW w:w="2600" w:type="dxa"/>
            <w:tcMar>
              <w:top w:w="80" w:type="dxa"/>
              <w:left w:w="100" w:type="dxa"/>
              <w:bottom w:w="80" w:type="dxa"/>
              <w:right w:w="100" w:type="dxa"/>
            </w:tcMar>
            <w:vAlign w:val="center"/>
          </w:tcPr>
          <w:p w14:paraId="59F7EA4E" w14:textId="77777777" w:rsidR="00A4743F" w:rsidRDefault="00000000">
            <w:r>
              <w:rPr>
                <w:color w:val="222222"/>
                <w:sz w:val="17"/>
                <w:szCs w:val="17"/>
              </w:rPr>
              <w:t>Sandeep duplicate-account root-cause fix</w:t>
            </w:r>
          </w:p>
        </w:tc>
        <w:tc>
          <w:tcPr>
            <w:tcW w:w="2400" w:type="dxa"/>
            <w:tcMar>
              <w:top w:w="80" w:type="dxa"/>
              <w:left w:w="100" w:type="dxa"/>
              <w:bottom w:w="80" w:type="dxa"/>
              <w:right w:w="100" w:type="dxa"/>
            </w:tcMar>
            <w:vAlign w:val="center"/>
          </w:tcPr>
          <w:p w14:paraId="59F7EA4F" w14:textId="77777777" w:rsidR="00A4743F" w:rsidRDefault="00000000">
            <w:r>
              <w:rPr>
                <w:color w:val="222222"/>
                <w:sz w:val="17"/>
                <w:szCs w:val="17"/>
              </w:rPr>
              <w:t>Data-quality / member-identity integrity risk if the same backend-bypass pattern recurs at scale.</w:t>
            </w:r>
          </w:p>
        </w:tc>
        <w:tc>
          <w:tcPr>
            <w:tcW w:w="1400" w:type="dxa"/>
            <w:tcMar>
              <w:top w:w="80" w:type="dxa"/>
              <w:left w:w="100" w:type="dxa"/>
              <w:bottom w:w="80" w:type="dxa"/>
              <w:right w:w="100" w:type="dxa"/>
            </w:tcMar>
            <w:vAlign w:val="center"/>
          </w:tcPr>
          <w:p w14:paraId="59F7EA50" w14:textId="77777777" w:rsidR="00A4743F" w:rsidRDefault="00000000">
            <w:r>
              <w:rPr>
                <w:color w:val="222222"/>
                <w:sz w:val="17"/>
                <w:szCs w:val="17"/>
              </w:rPr>
              <w:t>Dev Team</w:t>
            </w:r>
          </w:p>
        </w:tc>
        <w:tc>
          <w:tcPr>
            <w:tcW w:w="1500" w:type="dxa"/>
            <w:tcMar>
              <w:top w:w="80" w:type="dxa"/>
              <w:left w:w="100" w:type="dxa"/>
              <w:bottom w:w="80" w:type="dxa"/>
              <w:right w:w="100" w:type="dxa"/>
            </w:tcMar>
            <w:vAlign w:val="center"/>
          </w:tcPr>
          <w:p w14:paraId="59F7EA51" w14:textId="77777777" w:rsidR="00A4743F" w:rsidRDefault="00000000">
            <w:r>
              <w:rPr>
                <w:color w:val="222222"/>
                <w:sz w:val="17"/>
                <w:szCs w:val="17"/>
              </w:rPr>
              <w:t>Open, no fix scoped (since 27 Jul)</w:t>
            </w:r>
          </w:p>
        </w:tc>
      </w:tr>
      <w:tr w:rsidR="00A4743F" w14:paraId="59F7EA58" w14:textId="77777777">
        <w:tblPrEx>
          <w:tblCellMar>
            <w:top w:w="0" w:type="dxa"/>
            <w:bottom w:w="0" w:type="dxa"/>
          </w:tblCellMar>
        </w:tblPrEx>
        <w:tc>
          <w:tcPr>
            <w:tcW w:w="900" w:type="dxa"/>
            <w:tcMar>
              <w:top w:w="80" w:type="dxa"/>
              <w:left w:w="100" w:type="dxa"/>
              <w:bottom w:w="80" w:type="dxa"/>
              <w:right w:w="100" w:type="dxa"/>
            </w:tcMar>
            <w:vAlign w:val="center"/>
          </w:tcPr>
          <w:p w14:paraId="59F7EA53" w14:textId="77777777" w:rsidR="00A4743F" w:rsidRDefault="00000000">
            <w:r>
              <w:rPr>
                <w:b/>
                <w:bCs/>
                <w:color w:val="1F3864"/>
                <w:sz w:val="17"/>
                <w:szCs w:val="17"/>
              </w:rPr>
              <w:t>OI-07</w:t>
            </w:r>
          </w:p>
        </w:tc>
        <w:tc>
          <w:tcPr>
            <w:tcW w:w="2600" w:type="dxa"/>
            <w:tcMar>
              <w:top w:w="80" w:type="dxa"/>
              <w:left w:w="100" w:type="dxa"/>
              <w:bottom w:w="80" w:type="dxa"/>
              <w:right w:w="100" w:type="dxa"/>
            </w:tcMar>
            <w:vAlign w:val="center"/>
          </w:tcPr>
          <w:p w14:paraId="59F7EA54" w14:textId="77777777" w:rsidR="00A4743F" w:rsidRDefault="00000000">
            <w:r>
              <w:rPr>
                <w:color w:val="222222"/>
                <w:sz w:val="17"/>
                <w:szCs w:val="17"/>
              </w:rPr>
              <w:t>Golf games-played counter drift — recount/re-sync fix</w:t>
            </w:r>
          </w:p>
        </w:tc>
        <w:tc>
          <w:tcPr>
            <w:tcW w:w="2400" w:type="dxa"/>
            <w:tcMar>
              <w:top w:w="80" w:type="dxa"/>
              <w:left w:w="100" w:type="dxa"/>
              <w:bottom w:w="80" w:type="dxa"/>
              <w:right w:w="100" w:type="dxa"/>
            </w:tcMar>
            <w:vAlign w:val="center"/>
          </w:tcPr>
          <w:p w14:paraId="59F7EA55" w14:textId="77777777" w:rsidR="00A4743F" w:rsidRDefault="00000000">
            <w:r>
              <w:rPr>
                <w:color w:val="222222"/>
                <w:sz w:val="17"/>
                <w:szCs w:val="17"/>
              </w:rPr>
              <w:t>Data-integrity risk to tournament standings and rankings credibility with a senior, discerning user base.</w:t>
            </w:r>
          </w:p>
        </w:tc>
        <w:tc>
          <w:tcPr>
            <w:tcW w:w="1400" w:type="dxa"/>
            <w:tcMar>
              <w:top w:w="80" w:type="dxa"/>
              <w:left w:w="100" w:type="dxa"/>
              <w:bottom w:w="80" w:type="dxa"/>
              <w:right w:w="100" w:type="dxa"/>
            </w:tcMar>
            <w:vAlign w:val="center"/>
          </w:tcPr>
          <w:p w14:paraId="59F7EA56" w14:textId="77777777" w:rsidR="00A4743F" w:rsidRDefault="00000000">
            <w:r>
              <w:rPr>
                <w:color w:val="222222"/>
                <w:sz w:val="17"/>
                <w:szCs w:val="17"/>
              </w:rPr>
              <w:t>Dev Team</w:t>
            </w:r>
          </w:p>
        </w:tc>
        <w:tc>
          <w:tcPr>
            <w:tcW w:w="1500" w:type="dxa"/>
            <w:tcMar>
              <w:top w:w="80" w:type="dxa"/>
              <w:left w:w="100" w:type="dxa"/>
              <w:bottom w:w="80" w:type="dxa"/>
              <w:right w:w="100" w:type="dxa"/>
            </w:tcMar>
            <w:vAlign w:val="center"/>
          </w:tcPr>
          <w:p w14:paraId="59F7EA57" w14:textId="77777777" w:rsidR="00A4743F" w:rsidRDefault="00000000">
            <w:r>
              <w:rPr>
                <w:color w:val="222222"/>
                <w:sz w:val="17"/>
                <w:szCs w:val="17"/>
              </w:rPr>
              <w:t>Recommended, not yet actioned (since 14 Aug)</w:t>
            </w:r>
          </w:p>
        </w:tc>
      </w:tr>
      <w:tr w:rsidR="00A4743F" w14:paraId="59F7EA5E" w14:textId="77777777">
        <w:tblPrEx>
          <w:tblCellMar>
            <w:top w:w="0" w:type="dxa"/>
            <w:bottom w:w="0" w:type="dxa"/>
          </w:tblCellMar>
        </w:tblPrEx>
        <w:tc>
          <w:tcPr>
            <w:tcW w:w="900" w:type="dxa"/>
            <w:tcMar>
              <w:top w:w="80" w:type="dxa"/>
              <w:left w:w="100" w:type="dxa"/>
              <w:bottom w:w="80" w:type="dxa"/>
              <w:right w:w="100" w:type="dxa"/>
            </w:tcMar>
            <w:vAlign w:val="center"/>
          </w:tcPr>
          <w:p w14:paraId="59F7EA59" w14:textId="77777777" w:rsidR="00A4743F" w:rsidRDefault="00000000">
            <w:r>
              <w:rPr>
                <w:b/>
                <w:bCs/>
                <w:color w:val="1F3864"/>
                <w:sz w:val="17"/>
                <w:szCs w:val="17"/>
              </w:rPr>
              <w:t>OI-08</w:t>
            </w:r>
          </w:p>
        </w:tc>
        <w:tc>
          <w:tcPr>
            <w:tcW w:w="2600" w:type="dxa"/>
            <w:tcMar>
              <w:top w:w="80" w:type="dxa"/>
              <w:left w:w="100" w:type="dxa"/>
              <w:bottom w:w="80" w:type="dxa"/>
              <w:right w:w="100" w:type="dxa"/>
            </w:tcMar>
            <w:vAlign w:val="center"/>
          </w:tcPr>
          <w:p w14:paraId="59F7EA5A" w14:textId="77777777" w:rsidR="00A4743F" w:rsidRDefault="00000000">
            <w:r>
              <w:rPr>
                <w:color w:val="222222"/>
                <w:sz w:val="17"/>
                <w:szCs w:val="17"/>
              </w:rPr>
              <w:t>Regulatory confirmation on fund-holding for the automated multi-merchant payment model</w:t>
            </w:r>
          </w:p>
        </w:tc>
        <w:tc>
          <w:tcPr>
            <w:tcW w:w="2400" w:type="dxa"/>
            <w:tcMar>
              <w:top w:w="80" w:type="dxa"/>
              <w:left w:w="100" w:type="dxa"/>
              <w:bottom w:w="80" w:type="dxa"/>
              <w:right w:w="100" w:type="dxa"/>
            </w:tcMar>
            <w:vAlign w:val="center"/>
          </w:tcPr>
          <w:p w14:paraId="59F7EA5B" w14:textId="77777777" w:rsidR="00A4743F" w:rsidRDefault="00000000">
            <w:r>
              <w:rPr>
                <w:color w:val="222222"/>
                <w:sz w:val="17"/>
                <w:szCs w:val="17"/>
              </w:rPr>
              <w:t>Blocks roadmap build-out of automated multi-merchant disbursement; downstream of OI-01.</w:t>
            </w:r>
          </w:p>
        </w:tc>
        <w:tc>
          <w:tcPr>
            <w:tcW w:w="1400" w:type="dxa"/>
            <w:tcMar>
              <w:top w:w="80" w:type="dxa"/>
              <w:left w:w="100" w:type="dxa"/>
              <w:bottom w:w="80" w:type="dxa"/>
              <w:right w:w="100" w:type="dxa"/>
            </w:tcMar>
            <w:vAlign w:val="center"/>
          </w:tcPr>
          <w:p w14:paraId="59F7EA5C" w14:textId="77777777" w:rsidR="00A4743F" w:rsidRDefault="00000000">
            <w:r>
              <w:rPr>
                <w:color w:val="222222"/>
                <w:sz w:val="17"/>
                <w:szCs w:val="17"/>
              </w:rPr>
              <w:t>Anand / Legal</w:t>
            </w:r>
          </w:p>
        </w:tc>
        <w:tc>
          <w:tcPr>
            <w:tcW w:w="1500" w:type="dxa"/>
            <w:tcMar>
              <w:top w:w="80" w:type="dxa"/>
              <w:left w:w="100" w:type="dxa"/>
              <w:bottom w:w="80" w:type="dxa"/>
              <w:right w:w="100" w:type="dxa"/>
            </w:tcMar>
            <w:vAlign w:val="center"/>
          </w:tcPr>
          <w:p w14:paraId="59F7EA5D" w14:textId="77777777" w:rsidR="00A4743F" w:rsidRDefault="00000000">
            <w:r>
              <w:rPr>
                <w:color w:val="222222"/>
                <w:sz w:val="17"/>
                <w:szCs w:val="17"/>
              </w:rPr>
              <w:t>Required before roadmap build (since 11 Aug)</w:t>
            </w:r>
          </w:p>
        </w:tc>
      </w:tr>
      <w:tr w:rsidR="00A4743F" w14:paraId="59F7EA64" w14:textId="77777777">
        <w:tblPrEx>
          <w:tblCellMar>
            <w:top w:w="0" w:type="dxa"/>
            <w:bottom w:w="0" w:type="dxa"/>
          </w:tblCellMar>
        </w:tblPrEx>
        <w:tc>
          <w:tcPr>
            <w:tcW w:w="900" w:type="dxa"/>
            <w:tcMar>
              <w:top w:w="80" w:type="dxa"/>
              <w:left w:w="100" w:type="dxa"/>
              <w:bottom w:w="80" w:type="dxa"/>
              <w:right w:w="100" w:type="dxa"/>
            </w:tcMar>
            <w:vAlign w:val="center"/>
          </w:tcPr>
          <w:p w14:paraId="59F7EA5F" w14:textId="77777777" w:rsidR="00A4743F" w:rsidRDefault="00000000">
            <w:r>
              <w:rPr>
                <w:b/>
                <w:bCs/>
                <w:color w:val="1F3864"/>
                <w:sz w:val="17"/>
                <w:szCs w:val="17"/>
              </w:rPr>
              <w:t>OI-09</w:t>
            </w:r>
          </w:p>
        </w:tc>
        <w:tc>
          <w:tcPr>
            <w:tcW w:w="2600" w:type="dxa"/>
            <w:tcMar>
              <w:top w:w="80" w:type="dxa"/>
              <w:left w:w="100" w:type="dxa"/>
              <w:bottom w:w="80" w:type="dxa"/>
              <w:right w:w="100" w:type="dxa"/>
            </w:tcMar>
            <w:vAlign w:val="center"/>
          </w:tcPr>
          <w:p w14:paraId="59F7EA60" w14:textId="77777777" w:rsidR="00A4743F" w:rsidRDefault="00000000">
            <w:r>
              <w:rPr>
                <w:color w:val="222222"/>
                <w:sz w:val="17"/>
                <w:szCs w:val="17"/>
              </w:rPr>
              <w:t>Unit test coverage target cited inconsistently (60–70% vs. 75–80%)</w:t>
            </w:r>
          </w:p>
        </w:tc>
        <w:tc>
          <w:tcPr>
            <w:tcW w:w="2400" w:type="dxa"/>
            <w:tcMar>
              <w:top w:w="80" w:type="dxa"/>
              <w:left w:w="100" w:type="dxa"/>
              <w:bottom w:w="80" w:type="dxa"/>
              <w:right w:w="100" w:type="dxa"/>
            </w:tcMar>
            <w:vAlign w:val="center"/>
          </w:tcPr>
          <w:p w14:paraId="59F7EA61" w14:textId="77777777" w:rsidR="00A4743F" w:rsidRDefault="00000000">
            <w:r>
              <w:rPr>
                <w:color w:val="222222"/>
                <w:sz w:val="17"/>
                <w:szCs w:val="17"/>
              </w:rPr>
              <w:t>An unreconciled quality bar risks under- or over-investing QA effort; should not be reported as a firm KPI until resolved.</w:t>
            </w:r>
          </w:p>
        </w:tc>
        <w:tc>
          <w:tcPr>
            <w:tcW w:w="1400" w:type="dxa"/>
            <w:tcMar>
              <w:top w:w="80" w:type="dxa"/>
              <w:left w:w="100" w:type="dxa"/>
              <w:bottom w:w="80" w:type="dxa"/>
              <w:right w:w="100" w:type="dxa"/>
            </w:tcMar>
            <w:vAlign w:val="center"/>
          </w:tcPr>
          <w:p w14:paraId="59F7EA62" w14:textId="77777777" w:rsidR="00A4743F" w:rsidRDefault="00000000">
            <w:r>
              <w:rPr>
                <w:color w:val="222222"/>
                <w:sz w:val="17"/>
                <w:szCs w:val="17"/>
              </w:rPr>
              <w:t>Sathish / Gurusamy</w:t>
            </w:r>
          </w:p>
        </w:tc>
        <w:tc>
          <w:tcPr>
            <w:tcW w:w="1500" w:type="dxa"/>
            <w:tcMar>
              <w:top w:w="80" w:type="dxa"/>
              <w:left w:w="100" w:type="dxa"/>
              <w:bottom w:w="80" w:type="dxa"/>
              <w:right w:w="100" w:type="dxa"/>
            </w:tcMar>
            <w:vAlign w:val="center"/>
          </w:tcPr>
          <w:p w14:paraId="59F7EA63" w14:textId="77777777" w:rsidR="00A4743F" w:rsidRDefault="00000000">
            <w:r>
              <w:rPr>
                <w:color w:val="222222"/>
                <w:sz w:val="17"/>
                <w:szCs w:val="17"/>
              </w:rPr>
              <w:t>Pending reconciliation (since 24 Aug)</w:t>
            </w:r>
          </w:p>
        </w:tc>
      </w:tr>
      <w:tr w:rsidR="00A4743F" w14:paraId="59F7EA6A" w14:textId="77777777">
        <w:tblPrEx>
          <w:tblCellMar>
            <w:top w:w="0" w:type="dxa"/>
            <w:bottom w:w="0" w:type="dxa"/>
          </w:tblCellMar>
        </w:tblPrEx>
        <w:tc>
          <w:tcPr>
            <w:tcW w:w="900" w:type="dxa"/>
            <w:tcMar>
              <w:top w:w="80" w:type="dxa"/>
              <w:left w:w="100" w:type="dxa"/>
              <w:bottom w:w="80" w:type="dxa"/>
              <w:right w:w="100" w:type="dxa"/>
            </w:tcMar>
            <w:vAlign w:val="center"/>
          </w:tcPr>
          <w:p w14:paraId="59F7EA65" w14:textId="77777777" w:rsidR="00A4743F" w:rsidRDefault="00000000">
            <w:r>
              <w:rPr>
                <w:b/>
                <w:bCs/>
                <w:color w:val="1F3864"/>
                <w:sz w:val="17"/>
                <w:szCs w:val="17"/>
              </w:rPr>
              <w:t>OI-10</w:t>
            </w:r>
          </w:p>
        </w:tc>
        <w:tc>
          <w:tcPr>
            <w:tcW w:w="2600" w:type="dxa"/>
            <w:tcMar>
              <w:top w:w="80" w:type="dxa"/>
              <w:left w:w="100" w:type="dxa"/>
              <w:bottom w:w="80" w:type="dxa"/>
              <w:right w:w="100" w:type="dxa"/>
            </w:tcMar>
            <w:vAlign w:val="center"/>
          </w:tcPr>
          <w:p w14:paraId="59F7EA66" w14:textId="77777777" w:rsidR="00A4743F" w:rsidRDefault="00000000">
            <w:r>
              <w:rPr>
                <w:color w:val="222222"/>
                <w:sz w:val="17"/>
                <w:szCs w:val="17"/>
              </w:rPr>
              <w:t>New testing lead's name and unattributed transcript speakers</w:t>
            </w:r>
          </w:p>
        </w:tc>
        <w:tc>
          <w:tcPr>
            <w:tcW w:w="2400" w:type="dxa"/>
            <w:tcMar>
              <w:top w:w="80" w:type="dxa"/>
              <w:left w:w="100" w:type="dxa"/>
              <w:bottom w:w="80" w:type="dxa"/>
              <w:right w:w="100" w:type="dxa"/>
            </w:tcMar>
            <w:vAlign w:val="center"/>
          </w:tcPr>
          <w:p w14:paraId="59F7EA67" w14:textId="77777777" w:rsidR="00A4743F" w:rsidRDefault="00000000">
            <w:r>
              <w:rPr>
                <w:color w:val="222222"/>
                <w:sz w:val="17"/>
                <w:szCs w:val="17"/>
              </w:rPr>
              <w:t>Low — documentation/attribution accuracy only.</w:t>
            </w:r>
          </w:p>
        </w:tc>
        <w:tc>
          <w:tcPr>
            <w:tcW w:w="1400" w:type="dxa"/>
            <w:tcMar>
              <w:top w:w="80" w:type="dxa"/>
              <w:left w:w="100" w:type="dxa"/>
              <w:bottom w:w="80" w:type="dxa"/>
              <w:right w:w="100" w:type="dxa"/>
            </w:tcMar>
            <w:vAlign w:val="center"/>
          </w:tcPr>
          <w:p w14:paraId="59F7EA68" w14:textId="77777777" w:rsidR="00A4743F" w:rsidRDefault="00000000">
            <w:r>
              <w:rPr>
                <w:color w:val="222222"/>
                <w:sz w:val="17"/>
                <w:szCs w:val="17"/>
              </w:rPr>
              <w:t xml:space="preserve">Anand / </w:t>
            </w:r>
            <w:proofErr w:type="spellStart"/>
            <w:r>
              <w:rPr>
                <w:color w:val="222222"/>
                <w:sz w:val="17"/>
                <w:szCs w:val="17"/>
              </w:rPr>
              <w:t>organiser</w:t>
            </w:r>
            <w:proofErr w:type="spellEnd"/>
          </w:p>
        </w:tc>
        <w:tc>
          <w:tcPr>
            <w:tcW w:w="1500" w:type="dxa"/>
            <w:tcMar>
              <w:top w:w="80" w:type="dxa"/>
              <w:left w:w="100" w:type="dxa"/>
              <w:bottom w:w="80" w:type="dxa"/>
              <w:right w:w="100" w:type="dxa"/>
            </w:tcMar>
            <w:vAlign w:val="center"/>
          </w:tcPr>
          <w:p w14:paraId="59F7EA69" w14:textId="77777777" w:rsidR="00A4743F" w:rsidRDefault="00000000">
            <w:r>
              <w:rPr>
                <w:color w:val="222222"/>
                <w:sz w:val="17"/>
                <w:szCs w:val="17"/>
              </w:rPr>
              <w:t>Pending confirmation (since 24 Aug)</w:t>
            </w:r>
          </w:p>
        </w:tc>
      </w:tr>
      <w:tr w:rsidR="00A4743F" w14:paraId="59F7EA70" w14:textId="77777777">
        <w:tblPrEx>
          <w:tblCellMar>
            <w:top w:w="0" w:type="dxa"/>
            <w:bottom w:w="0" w:type="dxa"/>
          </w:tblCellMar>
        </w:tblPrEx>
        <w:tc>
          <w:tcPr>
            <w:tcW w:w="900" w:type="dxa"/>
            <w:tcMar>
              <w:top w:w="80" w:type="dxa"/>
              <w:left w:w="100" w:type="dxa"/>
              <w:bottom w:w="80" w:type="dxa"/>
              <w:right w:w="100" w:type="dxa"/>
            </w:tcMar>
            <w:vAlign w:val="center"/>
          </w:tcPr>
          <w:p w14:paraId="59F7EA6B" w14:textId="77777777" w:rsidR="00A4743F" w:rsidRDefault="00000000">
            <w:r>
              <w:rPr>
                <w:b/>
                <w:bCs/>
                <w:color w:val="1F3864"/>
                <w:sz w:val="17"/>
                <w:szCs w:val="17"/>
              </w:rPr>
              <w:t>OI-11</w:t>
            </w:r>
          </w:p>
        </w:tc>
        <w:tc>
          <w:tcPr>
            <w:tcW w:w="2600" w:type="dxa"/>
            <w:tcMar>
              <w:top w:w="80" w:type="dxa"/>
              <w:left w:w="100" w:type="dxa"/>
              <w:bottom w:w="80" w:type="dxa"/>
              <w:right w:w="100" w:type="dxa"/>
            </w:tcMar>
            <w:vAlign w:val="center"/>
          </w:tcPr>
          <w:p w14:paraId="59F7EA6C" w14:textId="77777777" w:rsidR="00A4743F" w:rsidRDefault="00000000">
            <w:r>
              <w:rPr>
                <w:color w:val="222222"/>
                <w:sz w:val="17"/>
                <w:szCs w:val="17"/>
              </w:rPr>
              <w:t>Vendor name “</w:t>
            </w:r>
            <w:proofErr w:type="spellStart"/>
            <w:r>
              <w:rPr>
                <w:color w:val="222222"/>
                <w:sz w:val="17"/>
                <w:szCs w:val="17"/>
              </w:rPr>
              <w:t>Kairix</w:t>
            </w:r>
            <w:proofErr w:type="spellEnd"/>
            <w:r>
              <w:rPr>
                <w:color w:val="222222"/>
                <w:sz w:val="17"/>
                <w:szCs w:val="17"/>
              </w:rPr>
              <w:t>” in one transcript — standardized to “</w:t>
            </w:r>
            <w:proofErr w:type="spellStart"/>
            <w:r>
              <w:rPr>
                <w:color w:val="222222"/>
                <w:sz w:val="17"/>
                <w:szCs w:val="17"/>
              </w:rPr>
              <w:t>Karix</w:t>
            </w:r>
            <w:proofErr w:type="spellEnd"/>
            <w:r>
              <w:rPr>
                <w:color w:val="222222"/>
                <w:sz w:val="17"/>
                <w:szCs w:val="17"/>
              </w:rPr>
              <w:t>”</w:t>
            </w:r>
          </w:p>
        </w:tc>
        <w:tc>
          <w:tcPr>
            <w:tcW w:w="2400" w:type="dxa"/>
            <w:tcMar>
              <w:top w:w="80" w:type="dxa"/>
              <w:left w:w="100" w:type="dxa"/>
              <w:bottom w:w="80" w:type="dxa"/>
              <w:right w:w="100" w:type="dxa"/>
            </w:tcMar>
            <w:vAlign w:val="center"/>
          </w:tcPr>
          <w:p w14:paraId="59F7EA6D" w14:textId="77777777" w:rsidR="00A4743F" w:rsidRDefault="00000000">
            <w:r>
              <w:rPr>
                <w:color w:val="222222"/>
                <w:sz w:val="17"/>
                <w:szCs w:val="17"/>
              </w:rPr>
              <w:t xml:space="preserve">Low — documentation accuracy; needs confirmation it </w:t>
            </w:r>
            <w:r>
              <w:rPr>
                <w:color w:val="222222"/>
                <w:sz w:val="17"/>
                <w:szCs w:val="17"/>
              </w:rPr>
              <w:lastRenderedPageBreak/>
              <w:t>is the same vendor to avoid confusion in vendor records.</w:t>
            </w:r>
          </w:p>
        </w:tc>
        <w:tc>
          <w:tcPr>
            <w:tcW w:w="1400" w:type="dxa"/>
            <w:tcMar>
              <w:top w:w="80" w:type="dxa"/>
              <w:left w:w="100" w:type="dxa"/>
              <w:bottom w:w="80" w:type="dxa"/>
              <w:right w:w="100" w:type="dxa"/>
            </w:tcMar>
            <w:vAlign w:val="center"/>
          </w:tcPr>
          <w:p w14:paraId="59F7EA6E" w14:textId="77777777" w:rsidR="00A4743F" w:rsidRDefault="00000000">
            <w:r>
              <w:rPr>
                <w:color w:val="222222"/>
                <w:sz w:val="17"/>
                <w:szCs w:val="17"/>
              </w:rPr>
              <w:lastRenderedPageBreak/>
              <w:t>Dev Team</w:t>
            </w:r>
          </w:p>
        </w:tc>
        <w:tc>
          <w:tcPr>
            <w:tcW w:w="1500" w:type="dxa"/>
            <w:tcMar>
              <w:top w:w="80" w:type="dxa"/>
              <w:left w:w="100" w:type="dxa"/>
              <w:bottom w:w="80" w:type="dxa"/>
              <w:right w:w="100" w:type="dxa"/>
            </w:tcMar>
            <w:vAlign w:val="center"/>
          </w:tcPr>
          <w:p w14:paraId="59F7EA6F" w14:textId="77777777" w:rsidR="00A4743F" w:rsidRDefault="00000000">
            <w:r>
              <w:rPr>
                <w:color w:val="222222"/>
                <w:sz w:val="17"/>
                <w:szCs w:val="17"/>
              </w:rPr>
              <w:t>Pending confirmation (since 24 Aug)</w:t>
            </w:r>
          </w:p>
        </w:tc>
      </w:tr>
      <w:tr w:rsidR="00A4743F" w14:paraId="59F7EA76" w14:textId="77777777">
        <w:tblPrEx>
          <w:tblCellMar>
            <w:top w:w="0" w:type="dxa"/>
            <w:bottom w:w="0" w:type="dxa"/>
          </w:tblCellMar>
        </w:tblPrEx>
        <w:tc>
          <w:tcPr>
            <w:tcW w:w="900" w:type="dxa"/>
            <w:tcMar>
              <w:top w:w="80" w:type="dxa"/>
              <w:left w:w="100" w:type="dxa"/>
              <w:bottom w:w="80" w:type="dxa"/>
              <w:right w:w="100" w:type="dxa"/>
            </w:tcMar>
            <w:vAlign w:val="center"/>
          </w:tcPr>
          <w:p w14:paraId="59F7EA71" w14:textId="77777777" w:rsidR="00A4743F" w:rsidRDefault="00000000">
            <w:r>
              <w:rPr>
                <w:b/>
                <w:bCs/>
                <w:color w:val="1F3864"/>
                <w:sz w:val="17"/>
                <w:szCs w:val="17"/>
              </w:rPr>
              <w:t>OI-12</w:t>
            </w:r>
          </w:p>
        </w:tc>
        <w:tc>
          <w:tcPr>
            <w:tcW w:w="2600" w:type="dxa"/>
            <w:tcMar>
              <w:top w:w="80" w:type="dxa"/>
              <w:left w:w="100" w:type="dxa"/>
              <w:bottom w:w="80" w:type="dxa"/>
              <w:right w:w="100" w:type="dxa"/>
            </w:tcMar>
            <w:vAlign w:val="center"/>
          </w:tcPr>
          <w:p w14:paraId="59F7EA72" w14:textId="77777777" w:rsidR="00A4743F" w:rsidRDefault="00000000">
            <w:r>
              <w:rPr>
                <w:color w:val="222222"/>
                <w:sz w:val="17"/>
                <w:szCs w:val="17"/>
              </w:rPr>
              <w:t>Replacing profile “Experience/Education” fields with “Preferences”</w:t>
            </w:r>
          </w:p>
        </w:tc>
        <w:tc>
          <w:tcPr>
            <w:tcW w:w="2400" w:type="dxa"/>
            <w:tcMar>
              <w:top w:w="80" w:type="dxa"/>
              <w:left w:w="100" w:type="dxa"/>
              <w:bottom w:w="80" w:type="dxa"/>
              <w:right w:w="100" w:type="dxa"/>
            </w:tcMar>
            <w:vAlign w:val="center"/>
          </w:tcPr>
          <w:p w14:paraId="59F7EA73" w14:textId="77777777" w:rsidR="00A4743F" w:rsidRDefault="00000000">
            <w:r>
              <w:rPr>
                <w:color w:val="222222"/>
                <w:sz w:val="17"/>
                <w:szCs w:val="17"/>
              </w:rPr>
              <w:t>Affects the member profile data model and data-capture UX if adopted.</w:t>
            </w:r>
          </w:p>
        </w:tc>
        <w:tc>
          <w:tcPr>
            <w:tcW w:w="1400" w:type="dxa"/>
            <w:tcMar>
              <w:top w:w="80" w:type="dxa"/>
              <w:left w:w="100" w:type="dxa"/>
              <w:bottom w:w="80" w:type="dxa"/>
              <w:right w:w="100" w:type="dxa"/>
            </w:tcMar>
            <w:vAlign w:val="center"/>
          </w:tcPr>
          <w:p w14:paraId="59F7EA74" w14:textId="77777777" w:rsidR="00A4743F" w:rsidRDefault="00000000">
            <w:r>
              <w:rPr>
                <w:color w:val="222222"/>
                <w:sz w:val="17"/>
                <w:szCs w:val="17"/>
              </w:rPr>
              <w:t>Indeevar / Sathish</w:t>
            </w:r>
          </w:p>
        </w:tc>
        <w:tc>
          <w:tcPr>
            <w:tcW w:w="1500" w:type="dxa"/>
            <w:tcMar>
              <w:top w:w="80" w:type="dxa"/>
              <w:left w:w="100" w:type="dxa"/>
              <w:bottom w:w="80" w:type="dxa"/>
              <w:right w:w="100" w:type="dxa"/>
            </w:tcMar>
            <w:vAlign w:val="center"/>
          </w:tcPr>
          <w:p w14:paraId="59F7EA75" w14:textId="77777777" w:rsidR="00A4743F" w:rsidRDefault="00000000">
            <w:r>
              <w:rPr>
                <w:color w:val="222222"/>
                <w:sz w:val="17"/>
                <w:szCs w:val="17"/>
              </w:rPr>
              <w:t>Under consideration (since 18 Aug)</w:t>
            </w:r>
          </w:p>
        </w:tc>
      </w:tr>
      <w:tr w:rsidR="00A4743F" w14:paraId="59F7EA7C" w14:textId="77777777">
        <w:tblPrEx>
          <w:tblCellMar>
            <w:top w:w="0" w:type="dxa"/>
            <w:bottom w:w="0" w:type="dxa"/>
          </w:tblCellMar>
        </w:tblPrEx>
        <w:tc>
          <w:tcPr>
            <w:tcW w:w="900" w:type="dxa"/>
            <w:tcMar>
              <w:top w:w="80" w:type="dxa"/>
              <w:left w:w="100" w:type="dxa"/>
              <w:bottom w:w="80" w:type="dxa"/>
              <w:right w:w="100" w:type="dxa"/>
            </w:tcMar>
            <w:vAlign w:val="center"/>
          </w:tcPr>
          <w:p w14:paraId="59F7EA77" w14:textId="77777777" w:rsidR="00A4743F" w:rsidRDefault="00000000">
            <w:r>
              <w:rPr>
                <w:b/>
                <w:bCs/>
                <w:color w:val="1F3864"/>
                <w:sz w:val="17"/>
                <w:szCs w:val="17"/>
              </w:rPr>
              <w:t>OI-13</w:t>
            </w:r>
          </w:p>
        </w:tc>
        <w:tc>
          <w:tcPr>
            <w:tcW w:w="2600" w:type="dxa"/>
            <w:tcMar>
              <w:top w:w="80" w:type="dxa"/>
              <w:left w:w="100" w:type="dxa"/>
              <w:bottom w:w="80" w:type="dxa"/>
              <w:right w:w="100" w:type="dxa"/>
            </w:tcMar>
            <w:vAlign w:val="center"/>
          </w:tcPr>
          <w:p w14:paraId="59F7EA78" w14:textId="77777777" w:rsidR="00A4743F" w:rsidRDefault="00000000">
            <w:r>
              <w:rPr>
                <w:color w:val="222222"/>
                <w:sz w:val="17"/>
                <w:szCs w:val="17"/>
              </w:rPr>
              <w:t>Billing module — flagged as the next immediate business requirement</w:t>
            </w:r>
          </w:p>
        </w:tc>
        <w:tc>
          <w:tcPr>
            <w:tcW w:w="2400" w:type="dxa"/>
            <w:tcMar>
              <w:top w:w="80" w:type="dxa"/>
              <w:left w:w="100" w:type="dxa"/>
              <w:bottom w:w="80" w:type="dxa"/>
              <w:right w:w="100" w:type="dxa"/>
            </w:tcMar>
            <w:vAlign w:val="center"/>
          </w:tcPr>
          <w:p w14:paraId="59F7EA79" w14:textId="77777777" w:rsidR="00A4743F" w:rsidRDefault="00000000">
            <w:r>
              <w:rPr>
                <w:color w:val="222222"/>
                <w:sz w:val="17"/>
                <w:szCs w:val="17"/>
              </w:rPr>
              <w:t>Client-designated next priority; undefined scope creates roadmap and resourcing risk until scoped.</w:t>
            </w:r>
          </w:p>
        </w:tc>
        <w:tc>
          <w:tcPr>
            <w:tcW w:w="1400" w:type="dxa"/>
            <w:tcMar>
              <w:top w:w="80" w:type="dxa"/>
              <w:left w:w="100" w:type="dxa"/>
              <w:bottom w:w="80" w:type="dxa"/>
              <w:right w:w="100" w:type="dxa"/>
            </w:tcMar>
            <w:vAlign w:val="center"/>
          </w:tcPr>
          <w:p w14:paraId="59F7EA7A" w14:textId="77777777" w:rsidR="00A4743F" w:rsidRDefault="00000000">
            <w:r>
              <w:rPr>
                <w:color w:val="222222"/>
                <w:sz w:val="17"/>
                <w:szCs w:val="17"/>
              </w:rPr>
              <w:t>Indeevar</w:t>
            </w:r>
          </w:p>
        </w:tc>
        <w:tc>
          <w:tcPr>
            <w:tcW w:w="1500" w:type="dxa"/>
            <w:tcMar>
              <w:top w:w="80" w:type="dxa"/>
              <w:left w:w="100" w:type="dxa"/>
              <w:bottom w:w="80" w:type="dxa"/>
              <w:right w:w="100" w:type="dxa"/>
            </w:tcMar>
            <w:vAlign w:val="center"/>
          </w:tcPr>
          <w:p w14:paraId="59F7EA7B" w14:textId="77777777" w:rsidR="00A4743F" w:rsidRDefault="00000000">
            <w:r>
              <w:rPr>
                <w:color w:val="222222"/>
                <w:sz w:val="17"/>
                <w:szCs w:val="17"/>
              </w:rPr>
              <w:t>Scope not yet defined (since 18 Aug)</w:t>
            </w:r>
          </w:p>
        </w:tc>
      </w:tr>
      <w:tr w:rsidR="00A4743F" w14:paraId="59F7EA82" w14:textId="77777777">
        <w:tblPrEx>
          <w:tblCellMar>
            <w:top w:w="0" w:type="dxa"/>
            <w:bottom w:w="0" w:type="dxa"/>
          </w:tblCellMar>
        </w:tblPrEx>
        <w:tc>
          <w:tcPr>
            <w:tcW w:w="900" w:type="dxa"/>
            <w:tcMar>
              <w:top w:w="80" w:type="dxa"/>
              <w:left w:w="100" w:type="dxa"/>
              <w:bottom w:w="80" w:type="dxa"/>
              <w:right w:w="100" w:type="dxa"/>
            </w:tcMar>
            <w:vAlign w:val="center"/>
          </w:tcPr>
          <w:p w14:paraId="59F7EA7D" w14:textId="77777777" w:rsidR="00A4743F" w:rsidRDefault="00000000">
            <w:r>
              <w:rPr>
                <w:b/>
                <w:bCs/>
                <w:color w:val="1F3864"/>
                <w:sz w:val="17"/>
                <w:szCs w:val="17"/>
              </w:rPr>
              <w:t>OI-14</w:t>
            </w:r>
          </w:p>
        </w:tc>
        <w:tc>
          <w:tcPr>
            <w:tcW w:w="2600" w:type="dxa"/>
            <w:tcMar>
              <w:top w:w="80" w:type="dxa"/>
              <w:left w:w="100" w:type="dxa"/>
              <w:bottom w:w="80" w:type="dxa"/>
              <w:right w:w="100" w:type="dxa"/>
            </w:tcMar>
            <w:vAlign w:val="center"/>
          </w:tcPr>
          <w:p w14:paraId="59F7EA7E" w14:textId="77777777" w:rsidR="00A4743F" w:rsidRDefault="00000000">
            <w:r>
              <w:rPr>
                <w:color w:val="222222"/>
                <w:sz w:val="17"/>
                <w:szCs w:val="17"/>
              </w:rPr>
              <w:t>Downstream-impact check for CSGI40 backend-upload onboarding</w:t>
            </w:r>
          </w:p>
        </w:tc>
        <w:tc>
          <w:tcPr>
            <w:tcW w:w="2400" w:type="dxa"/>
            <w:tcMar>
              <w:top w:w="80" w:type="dxa"/>
              <w:left w:w="100" w:type="dxa"/>
              <w:bottom w:w="80" w:type="dxa"/>
              <w:right w:w="100" w:type="dxa"/>
            </w:tcMar>
            <w:vAlign w:val="center"/>
          </w:tcPr>
          <w:p w14:paraId="59F7EA7F" w14:textId="77777777" w:rsidR="00A4743F" w:rsidRDefault="00000000">
            <w:r>
              <w:rPr>
                <w:color w:val="222222"/>
                <w:sz w:val="17"/>
                <w:szCs w:val="17"/>
              </w:rPr>
              <w:t>Risk of unintended side effects when onboarding a live, real-world pilot cohort at scale.</w:t>
            </w:r>
          </w:p>
        </w:tc>
        <w:tc>
          <w:tcPr>
            <w:tcW w:w="1400" w:type="dxa"/>
            <w:tcMar>
              <w:top w:w="80" w:type="dxa"/>
              <w:left w:w="100" w:type="dxa"/>
              <w:bottom w:w="80" w:type="dxa"/>
              <w:right w:w="100" w:type="dxa"/>
            </w:tcMar>
            <w:vAlign w:val="center"/>
          </w:tcPr>
          <w:p w14:paraId="59F7EA80" w14:textId="77777777" w:rsidR="00A4743F" w:rsidRDefault="00000000">
            <w:r>
              <w:rPr>
                <w:color w:val="222222"/>
                <w:sz w:val="17"/>
                <w:szCs w:val="17"/>
              </w:rPr>
              <w:t>Dev Team</w:t>
            </w:r>
          </w:p>
        </w:tc>
        <w:tc>
          <w:tcPr>
            <w:tcW w:w="1500" w:type="dxa"/>
            <w:tcMar>
              <w:top w:w="80" w:type="dxa"/>
              <w:left w:w="100" w:type="dxa"/>
              <w:bottom w:w="80" w:type="dxa"/>
              <w:right w:w="100" w:type="dxa"/>
            </w:tcMar>
            <w:vAlign w:val="center"/>
          </w:tcPr>
          <w:p w14:paraId="59F7EA81" w14:textId="77777777" w:rsidR="00A4743F" w:rsidRDefault="00000000">
            <w:r>
              <w:rPr>
                <w:color w:val="222222"/>
                <w:sz w:val="17"/>
                <w:szCs w:val="17"/>
              </w:rPr>
              <w:t>Pending (since 24 Aug)</w:t>
            </w:r>
          </w:p>
        </w:tc>
      </w:tr>
      <w:tr w:rsidR="00A4743F" w14:paraId="59F7EA88" w14:textId="77777777">
        <w:tblPrEx>
          <w:tblCellMar>
            <w:top w:w="0" w:type="dxa"/>
            <w:bottom w:w="0" w:type="dxa"/>
          </w:tblCellMar>
        </w:tblPrEx>
        <w:tc>
          <w:tcPr>
            <w:tcW w:w="900" w:type="dxa"/>
            <w:tcMar>
              <w:top w:w="80" w:type="dxa"/>
              <w:left w:w="100" w:type="dxa"/>
              <w:bottom w:w="80" w:type="dxa"/>
              <w:right w:w="100" w:type="dxa"/>
            </w:tcMar>
            <w:vAlign w:val="center"/>
          </w:tcPr>
          <w:p w14:paraId="59F7EA83" w14:textId="77777777" w:rsidR="00A4743F" w:rsidRDefault="00000000">
            <w:r>
              <w:rPr>
                <w:b/>
                <w:bCs/>
                <w:color w:val="1F3864"/>
                <w:sz w:val="17"/>
                <w:szCs w:val="17"/>
              </w:rPr>
              <w:t>OI-15</w:t>
            </w:r>
          </w:p>
        </w:tc>
        <w:tc>
          <w:tcPr>
            <w:tcW w:w="2600" w:type="dxa"/>
            <w:tcMar>
              <w:top w:w="80" w:type="dxa"/>
              <w:left w:w="100" w:type="dxa"/>
              <w:bottom w:w="80" w:type="dxa"/>
              <w:right w:w="100" w:type="dxa"/>
            </w:tcMar>
            <w:vAlign w:val="center"/>
          </w:tcPr>
          <w:p w14:paraId="59F7EA84" w14:textId="77777777" w:rsidR="00A4743F" w:rsidRDefault="00000000">
            <w:r>
              <w:rPr>
                <w:color w:val="222222"/>
                <w:sz w:val="17"/>
                <w:szCs w:val="17"/>
              </w:rPr>
              <w:t>Proof-of-payment OCR extraction workflow</w:t>
            </w:r>
          </w:p>
        </w:tc>
        <w:tc>
          <w:tcPr>
            <w:tcW w:w="2400" w:type="dxa"/>
            <w:tcMar>
              <w:top w:w="80" w:type="dxa"/>
              <w:left w:w="100" w:type="dxa"/>
              <w:bottom w:w="80" w:type="dxa"/>
              <w:right w:w="100" w:type="dxa"/>
            </w:tcMar>
            <w:vAlign w:val="center"/>
          </w:tcPr>
          <w:p w14:paraId="59F7EA85" w14:textId="77777777" w:rsidR="00A4743F" w:rsidRDefault="00000000">
            <w:r>
              <w:rPr>
                <w:color w:val="222222"/>
                <w:sz w:val="17"/>
                <w:szCs w:val="17"/>
              </w:rPr>
              <w:t>Affects the pace of automating payment verification and reducing manual reconciliation effort; targeted v1.4+/v1.5.</w:t>
            </w:r>
          </w:p>
        </w:tc>
        <w:tc>
          <w:tcPr>
            <w:tcW w:w="1400" w:type="dxa"/>
            <w:tcMar>
              <w:top w:w="80" w:type="dxa"/>
              <w:left w:w="100" w:type="dxa"/>
              <w:bottom w:w="80" w:type="dxa"/>
              <w:right w:w="100" w:type="dxa"/>
            </w:tcMar>
            <w:vAlign w:val="center"/>
          </w:tcPr>
          <w:p w14:paraId="59F7EA86" w14:textId="77777777" w:rsidR="00A4743F" w:rsidRDefault="00000000">
            <w:r>
              <w:rPr>
                <w:color w:val="222222"/>
                <w:sz w:val="17"/>
                <w:szCs w:val="17"/>
              </w:rPr>
              <w:t>Dev Team</w:t>
            </w:r>
          </w:p>
        </w:tc>
        <w:tc>
          <w:tcPr>
            <w:tcW w:w="1500" w:type="dxa"/>
            <w:tcMar>
              <w:top w:w="80" w:type="dxa"/>
              <w:left w:w="100" w:type="dxa"/>
              <w:bottom w:w="80" w:type="dxa"/>
              <w:right w:w="100" w:type="dxa"/>
            </w:tcMar>
            <w:vAlign w:val="center"/>
          </w:tcPr>
          <w:p w14:paraId="59F7EA87" w14:textId="77777777" w:rsidR="00A4743F" w:rsidRDefault="00000000">
            <w:r>
              <w:rPr>
                <w:color w:val="222222"/>
                <w:sz w:val="17"/>
                <w:szCs w:val="17"/>
              </w:rPr>
              <w:t>Design document pending review (since 18 &amp; 24 Aug)</w:t>
            </w:r>
          </w:p>
        </w:tc>
      </w:tr>
      <w:tr w:rsidR="00A4743F" w14:paraId="59F7EA8E" w14:textId="77777777">
        <w:tblPrEx>
          <w:tblCellMar>
            <w:top w:w="0" w:type="dxa"/>
            <w:bottom w:w="0" w:type="dxa"/>
          </w:tblCellMar>
        </w:tblPrEx>
        <w:tc>
          <w:tcPr>
            <w:tcW w:w="900" w:type="dxa"/>
            <w:tcMar>
              <w:top w:w="80" w:type="dxa"/>
              <w:left w:w="100" w:type="dxa"/>
              <w:bottom w:w="80" w:type="dxa"/>
              <w:right w:w="100" w:type="dxa"/>
            </w:tcMar>
            <w:vAlign w:val="center"/>
          </w:tcPr>
          <w:p w14:paraId="59F7EA89" w14:textId="77777777" w:rsidR="00A4743F" w:rsidRDefault="00000000">
            <w:r>
              <w:rPr>
                <w:b/>
                <w:bCs/>
                <w:color w:val="1F3864"/>
                <w:sz w:val="17"/>
                <w:szCs w:val="17"/>
              </w:rPr>
              <w:t>OI-16</w:t>
            </w:r>
          </w:p>
        </w:tc>
        <w:tc>
          <w:tcPr>
            <w:tcW w:w="2600" w:type="dxa"/>
            <w:tcMar>
              <w:top w:w="80" w:type="dxa"/>
              <w:left w:w="100" w:type="dxa"/>
              <w:bottom w:w="80" w:type="dxa"/>
              <w:right w:w="100" w:type="dxa"/>
            </w:tcMar>
            <w:vAlign w:val="center"/>
          </w:tcPr>
          <w:p w14:paraId="59F7EA8A" w14:textId="77777777" w:rsidR="00A4743F" w:rsidRDefault="00000000">
            <w:r>
              <w:rPr>
                <w:color w:val="222222"/>
                <w:sz w:val="17"/>
                <w:szCs w:val="17"/>
              </w:rPr>
              <w:t>Long-term group/event entitlement matrix by community type</w:t>
            </w:r>
          </w:p>
        </w:tc>
        <w:tc>
          <w:tcPr>
            <w:tcW w:w="2400" w:type="dxa"/>
            <w:tcMar>
              <w:top w:w="80" w:type="dxa"/>
              <w:left w:w="100" w:type="dxa"/>
              <w:bottom w:w="80" w:type="dxa"/>
              <w:right w:w="100" w:type="dxa"/>
            </w:tcMar>
            <w:vAlign w:val="center"/>
          </w:tcPr>
          <w:p w14:paraId="59F7EA8B" w14:textId="77777777" w:rsidR="00A4743F" w:rsidRDefault="00000000">
            <w:r>
              <w:rPr>
                <w:color w:val="222222"/>
                <w:sz w:val="17"/>
                <w:szCs w:val="17"/>
              </w:rPr>
              <w:t>Affects the data-visibility and privacy model as the platform scales beyond alumni reunions and golf into other community types.</w:t>
            </w:r>
          </w:p>
        </w:tc>
        <w:tc>
          <w:tcPr>
            <w:tcW w:w="1400" w:type="dxa"/>
            <w:tcMar>
              <w:top w:w="80" w:type="dxa"/>
              <w:left w:w="100" w:type="dxa"/>
              <w:bottom w:w="80" w:type="dxa"/>
              <w:right w:w="100" w:type="dxa"/>
            </w:tcMar>
            <w:vAlign w:val="center"/>
          </w:tcPr>
          <w:p w14:paraId="59F7EA8C" w14:textId="77777777" w:rsidR="00A4743F" w:rsidRDefault="00000000">
            <w:r>
              <w:rPr>
                <w:color w:val="222222"/>
                <w:sz w:val="17"/>
                <w:szCs w:val="17"/>
              </w:rPr>
              <w:t>Indeevar / Dev Team</w:t>
            </w:r>
          </w:p>
        </w:tc>
        <w:tc>
          <w:tcPr>
            <w:tcW w:w="1500" w:type="dxa"/>
            <w:tcMar>
              <w:top w:w="80" w:type="dxa"/>
              <w:left w:w="100" w:type="dxa"/>
              <w:bottom w:w="80" w:type="dxa"/>
              <w:right w:w="100" w:type="dxa"/>
            </w:tcMar>
            <w:vAlign w:val="center"/>
          </w:tcPr>
          <w:p w14:paraId="59F7EA8D" w14:textId="77777777" w:rsidR="00A4743F" w:rsidRDefault="00000000">
            <w:r>
              <w:rPr>
                <w:color w:val="222222"/>
                <w:sz w:val="17"/>
                <w:szCs w:val="17"/>
              </w:rPr>
              <w:t>Direction agreed, not yet specified (since 24 Aug)</w:t>
            </w:r>
          </w:p>
        </w:tc>
      </w:tr>
    </w:tbl>
    <w:p w14:paraId="59F7EA8F" w14:textId="77777777" w:rsidR="00A4743F" w:rsidRDefault="00A4743F">
      <w:pPr>
        <w:spacing w:after="240"/>
      </w:pPr>
    </w:p>
    <w:p w14:paraId="59F7EA90" w14:textId="77777777" w:rsidR="00A4743F" w:rsidRDefault="00000000">
      <w:pPr>
        <w:pStyle w:val="Heading2"/>
        <w:spacing w:before="320" w:after="160"/>
      </w:pPr>
      <w:bookmarkStart w:id="27" w:name="_Toc239326845"/>
      <w:r>
        <w:rPr>
          <w:b/>
          <w:bCs/>
          <w:color w:val="2E5395"/>
          <w:sz w:val="24"/>
          <w:szCs w:val="24"/>
        </w:rPr>
        <w:t>10.1 Highest-Impact Risk: Payment Custody</w:t>
      </w:r>
      <w:bookmarkEnd w:id="27"/>
    </w:p>
    <w:p w14:paraId="59F7EA91" w14:textId="77777777" w:rsidR="00A4743F" w:rsidRDefault="00000000">
      <w:pPr>
        <w:spacing w:after="180" w:line="276" w:lineRule="auto"/>
        <w:jc w:val="both"/>
      </w:pPr>
      <w:r>
        <w:t>Of all open items, the payment custody legal model (OI-01) carries the greatest business impact and should be treated as the platform's top governance priority. Until it is resolved, Alpha-phase payment-gateway integration cannot proceed on firm legal footing, the platform must continue operating a fully manual, app-never-holds-funds payment model, and every downstream payment capability — automated multi-merchant disbursement, OCR-based payment verification, postpaid/hybrid payment types — remains blocked. This is not a technical risk; it is a legal and regulatory one, and its resolution sits with legal/RBI input rather than the delivery team.</w:t>
      </w:r>
    </w:p>
    <w:p w14:paraId="59F7EA92" w14:textId="77777777" w:rsidR="00A4743F" w:rsidRDefault="00000000">
      <w:pPr>
        <w:pStyle w:val="Heading2"/>
        <w:spacing w:before="320" w:after="160"/>
      </w:pPr>
      <w:bookmarkStart w:id="28" w:name="_Toc239326846"/>
      <w:r>
        <w:rPr>
          <w:b/>
          <w:bCs/>
          <w:color w:val="2E5395"/>
          <w:sz w:val="24"/>
          <w:szCs w:val="24"/>
        </w:rPr>
        <w:t xml:space="preserve">10.2 </w:t>
      </w:r>
      <w:proofErr w:type="spellStart"/>
      <w:r>
        <w:rPr>
          <w:b/>
          <w:bCs/>
          <w:color w:val="2E5395"/>
          <w:sz w:val="24"/>
          <w:szCs w:val="24"/>
        </w:rPr>
        <w:t>Unscoped</w:t>
      </w:r>
      <w:proofErr w:type="spellEnd"/>
      <w:r>
        <w:rPr>
          <w:b/>
          <w:bCs/>
          <w:color w:val="2E5395"/>
          <w:sz w:val="24"/>
          <w:szCs w:val="24"/>
        </w:rPr>
        <w:t xml:space="preserve"> Priority: Billing Module</w:t>
      </w:r>
      <w:bookmarkEnd w:id="28"/>
    </w:p>
    <w:p w14:paraId="59F7EA93" w14:textId="77777777" w:rsidR="00A4743F" w:rsidRDefault="00000000">
      <w:pPr>
        <w:spacing w:after="180" w:line="276" w:lineRule="auto"/>
        <w:jc w:val="both"/>
      </w:pPr>
      <w:r>
        <w:t>The client has flagged a dedicated billing module (OI-13) as the next immediate business requirement, but as of the 30 August 2026 cutoff it has no defined scope, timeline, or dependency mapping. This BRD flags it as a named priority requiring a dedicated scoping exercise — ideally informed by the resolution of the payment-custody question above, given the two are almost certainly related — rather than treating it as already scoped or estimated.</w:t>
      </w:r>
    </w:p>
    <w:p w14:paraId="59F7EA94" w14:textId="77777777" w:rsidR="00A4743F" w:rsidRDefault="00000000">
      <w:pPr>
        <w:pStyle w:val="Heading1"/>
        <w:pBdr>
          <w:bottom w:val="single" w:sz="6" w:space="4" w:color="1F3864"/>
        </w:pBdr>
        <w:spacing w:before="480" w:after="240"/>
      </w:pPr>
      <w:bookmarkStart w:id="29" w:name="_Toc239326847"/>
      <w:r>
        <w:rPr>
          <w:b/>
          <w:bCs/>
          <w:color w:val="1F3864"/>
          <w:sz w:val="30"/>
          <w:szCs w:val="30"/>
        </w:rPr>
        <w:t>11. Governance &amp; Documentation</w:t>
      </w:r>
      <w:bookmarkEnd w:id="29"/>
    </w:p>
    <w:p w14:paraId="59F7EA95" w14:textId="77777777" w:rsidR="00A4743F" w:rsidRDefault="00000000">
      <w:pPr>
        <w:spacing w:after="180" w:line="276" w:lineRule="auto"/>
        <w:jc w:val="both"/>
      </w:pPr>
      <w:r>
        <w:t>Documentation discipline has been treated as a standing project governance requirement throughout the engagement, not an afterthought. Detailed product documentation — feature decisions, assumptions, and the rationale behind each — is required to be maintained continuously and circulated after every working session, on the client's explicit directive; without this discipline, decisions and their reasoning have historically been lost between meetings and re-litigated at cost to project pace.</w:t>
      </w:r>
    </w:p>
    <w:p w14:paraId="59F7EA96" w14:textId="77777777" w:rsidR="00A4743F" w:rsidRDefault="00000000">
      <w:pPr>
        <w:spacing w:after="180" w:line="276" w:lineRule="auto"/>
        <w:jc w:val="both"/>
      </w:pPr>
      <w:r>
        <w:t xml:space="preserve">This requirement produced two durable artifacts that this BRD draws on directly: a written, screen-by-screen tile/flow reference document (the Mobile and Web Product Walkthroughs), adopted after screenshots and prototypes alone proved insufficient for reuse and change management; and the Decision Records register itself, formally designated as the project's single master decision log, continuously updated and periodically shared with the delivery and testing team to reduce repeated escalation of already-settled decisions. A maintained change log </w:t>
      </w:r>
      <w:r>
        <w:lastRenderedPageBreak/>
        <w:t xml:space="preserve">additionally tracks the platform's fastest-moving areas — Golf, </w:t>
      </w:r>
      <w:proofErr w:type="spellStart"/>
      <w:r>
        <w:t>CostGPT</w:t>
      </w:r>
      <w:proofErr w:type="spellEnd"/>
      <w:r>
        <w:t>, OCR, and payment flows — specifically because those areas evolve faster than formal documentation cycles can otherwise keep pace with. Release-gating documentation (test reports and screenshot evidence delivered before any feature is declared released, Section 6.11) extends this same discipline into the release process itself.</w:t>
      </w:r>
    </w:p>
    <w:p w14:paraId="59F7EA97" w14:textId="77777777" w:rsidR="00A4743F" w:rsidRDefault="00000000">
      <w:pPr>
        <w:spacing w:after="180" w:line="276" w:lineRule="auto"/>
        <w:jc w:val="both"/>
      </w:pPr>
      <w:r>
        <w:t xml:space="preserve">This BRD is itself part of that documentation discipline. It is a consolidated, point-in-time snapshot as of Release v1.3.0 (30 August 2026) and should be kept current as future releases ship — in particular once the Alpha-phase scope (payment-gateway go-live, WhatsApp, full multi-anchor rollout, the billing module) is confirmed and delivered. The companion FRD and the three FSDs (Anchor, Member, Passive Content </w:t>
      </w:r>
      <w:proofErr w:type="spellStart"/>
      <w:r>
        <w:t>QuickLaunch</w:t>
      </w:r>
      <w:proofErr w:type="spellEnd"/>
      <w:r>
        <w:t xml:space="preserve">) are known to use older terminology and scope assumptions (“MVP” rather than “Delta,” the original three-dimension D3 model rather than D1–D4, </w:t>
      </w:r>
      <w:proofErr w:type="spellStart"/>
      <w:r>
        <w:t>Razorpay</w:t>
      </w:r>
      <w:proofErr w:type="spellEnd"/>
      <w:r>
        <w:t xml:space="preserve"> and WhatsApp shown as in-scope rather than deferred) and should be reconciled against this document as a priority follow-on task.</w:t>
      </w:r>
    </w:p>
    <w:sectPr w:rsidR="00A4743F">
      <w:headerReference w:type="default" r:id="rId10"/>
      <w:footerReference w:type="defaul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7ED9A" w14:textId="77777777" w:rsidR="00244C17" w:rsidRDefault="00244C17">
      <w:r>
        <w:separator/>
      </w:r>
    </w:p>
  </w:endnote>
  <w:endnote w:type="continuationSeparator" w:id="0">
    <w:p w14:paraId="2307367D" w14:textId="77777777" w:rsidR="00244C17" w:rsidRDefault="00244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EA99" w14:textId="5F17B8DD" w:rsidR="00A4743F" w:rsidRDefault="00000000">
    <w:pPr>
      <w:pBdr>
        <w:top w:val="single" w:sz="4" w:space="4" w:color="BFBFBF"/>
      </w:pBdr>
      <w:jc w:val="center"/>
    </w:pPr>
    <w:proofErr w:type="spellStart"/>
    <w:r>
      <w:rPr>
        <w:color w:val="666666"/>
        <w:sz w:val="16"/>
        <w:szCs w:val="16"/>
      </w:rPr>
      <w:t>Alumnye</w:t>
    </w:r>
    <w:proofErr w:type="spellEnd"/>
    <w:r>
      <w:rPr>
        <w:color w:val="666666"/>
        <w:sz w:val="16"/>
        <w:szCs w:val="16"/>
      </w:rPr>
      <w:t xml:space="preserve"> Platform — BRD v1.0  |  Confidential — Prodian Infotech / Indeevar (</w:t>
    </w:r>
    <w:proofErr w:type="spellStart"/>
    <w:r>
      <w:rPr>
        <w:color w:val="666666"/>
        <w:sz w:val="16"/>
        <w:szCs w:val="16"/>
      </w:rPr>
      <w:t>Alumwhale</w:t>
    </w:r>
    <w:proofErr w:type="spellEnd"/>
    <w:r>
      <w:rPr>
        <w:color w:val="666666"/>
        <w:sz w:val="16"/>
        <w:szCs w:val="16"/>
      </w:rPr>
      <w:t xml:space="preserve">)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F81D8B">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F81D8B">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E02DF" w14:textId="77777777" w:rsidR="00244C17" w:rsidRDefault="00244C17">
      <w:r>
        <w:separator/>
      </w:r>
    </w:p>
  </w:footnote>
  <w:footnote w:type="continuationSeparator" w:id="0">
    <w:p w14:paraId="22912985" w14:textId="77777777" w:rsidR="00244C17" w:rsidRDefault="00244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EA98" w14:textId="77777777" w:rsidR="00A4743F" w:rsidRDefault="00000000">
    <w:pPr>
      <w:pBdr>
        <w:bottom w:val="single" w:sz="4" w:space="4" w:color="BFBFBF"/>
      </w:pBdr>
      <w:jc w:val="right"/>
    </w:pPr>
    <w:proofErr w:type="spellStart"/>
    <w:r>
      <w:rPr>
        <w:i/>
        <w:iCs/>
        <w:color w:val="888888"/>
        <w:sz w:val="16"/>
        <w:szCs w:val="16"/>
      </w:rPr>
      <w:t>Alumnye</w:t>
    </w:r>
    <w:proofErr w:type="spellEnd"/>
    <w:r>
      <w:rPr>
        <w:i/>
        <w:iCs/>
        <w:color w:val="888888"/>
        <w:sz w:val="16"/>
        <w:szCs w:val="16"/>
      </w:rPr>
      <w:t xml:space="preserve"> Platform — 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6E11"/>
    <w:multiLevelType w:val="hybridMultilevel"/>
    <w:tmpl w:val="880CC9DE"/>
    <w:lvl w:ilvl="0" w:tplc="06789780">
      <w:start w:val="1"/>
      <w:numFmt w:val="bullet"/>
      <w:lvlText w:val="●"/>
      <w:lvlJc w:val="left"/>
      <w:pPr>
        <w:ind w:left="720" w:hanging="360"/>
      </w:pPr>
    </w:lvl>
    <w:lvl w:ilvl="1" w:tplc="861EAF18">
      <w:start w:val="1"/>
      <w:numFmt w:val="bullet"/>
      <w:lvlText w:val="○"/>
      <w:lvlJc w:val="left"/>
      <w:pPr>
        <w:ind w:left="1440" w:hanging="360"/>
      </w:pPr>
    </w:lvl>
    <w:lvl w:ilvl="2" w:tplc="D75C5F84">
      <w:start w:val="1"/>
      <w:numFmt w:val="bullet"/>
      <w:lvlText w:val="■"/>
      <w:lvlJc w:val="left"/>
      <w:pPr>
        <w:ind w:left="2160" w:hanging="360"/>
      </w:pPr>
    </w:lvl>
    <w:lvl w:ilvl="3" w:tplc="B79EAAE2">
      <w:start w:val="1"/>
      <w:numFmt w:val="bullet"/>
      <w:lvlText w:val="●"/>
      <w:lvlJc w:val="left"/>
      <w:pPr>
        <w:ind w:left="2880" w:hanging="360"/>
      </w:pPr>
    </w:lvl>
    <w:lvl w:ilvl="4" w:tplc="4C98C114">
      <w:start w:val="1"/>
      <w:numFmt w:val="bullet"/>
      <w:lvlText w:val="○"/>
      <w:lvlJc w:val="left"/>
      <w:pPr>
        <w:ind w:left="3600" w:hanging="360"/>
      </w:pPr>
    </w:lvl>
    <w:lvl w:ilvl="5" w:tplc="D77E9E80">
      <w:start w:val="1"/>
      <w:numFmt w:val="bullet"/>
      <w:lvlText w:val="■"/>
      <w:lvlJc w:val="left"/>
      <w:pPr>
        <w:ind w:left="4320" w:hanging="360"/>
      </w:pPr>
    </w:lvl>
    <w:lvl w:ilvl="6" w:tplc="02BADC46">
      <w:start w:val="1"/>
      <w:numFmt w:val="bullet"/>
      <w:lvlText w:val="●"/>
      <w:lvlJc w:val="left"/>
      <w:pPr>
        <w:ind w:left="5040" w:hanging="360"/>
      </w:pPr>
    </w:lvl>
    <w:lvl w:ilvl="7" w:tplc="2800155C">
      <w:start w:val="1"/>
      <w:numFmt w:val="bullet"/>
      <w:lvlText w:val="●"/>
      <w:lvlJc w:val="left"/>
      <w:pPr>
        <w:ind w:left="5760" w:hanging="360"/>
      </w:pPr>
    </w:lvl>
    <w:lvl w:ilvl="8" w:tplc="DAC0AD4A">
      <w:start w:val="1"/>
      <w:numFmt w:val="bullet"/>
      <w:lvlText w:val="●"/>
      <w:lvlJc w:val="left"/>
      <w:pPr>
        <w:ind w:left="6480" w:hanging="360"/>
      </w:pPr>
    </w:lvl>
  </w:abstractNum>
  <w:abstractNum w:abstractNumId="1" w15:restartNumberingAfterBreak="0">
    <w:nsid w:val="41BA2E21"/>
    <w:multiLevelType w:val="hybridMultilevel"/>
    <w:tmpl w:val="CE868DF4"/>
    <w:lvl w:ilvl="0" w:tplc="3976CA5C">
      <w:start w:val="1"/>
      <w:numFmt w:val="bullet"/>
      <w:lvlText w:val="•"/>
      <w:lvlJc w:val="left"/>
      <w:pPr>
        <w:ind w:left="460" w:hanging="260"/>
      </w:pPr>
    </w:lvl>
    <w:lvl w:ilvl="1" w:tplc="CAAE22C8">
      <w:start w:val="1"/>
      <w:numFmt w:val="bullet"/>
      <w:lvlText w:val="–"/>
      <w:lvlJc w:val="left"/>
      <w:pPr>
        <w:ind w:left="900" w:hanging="260"/>
      </w:pPr>
    </w:lvl>
    <w:lvl w:ilvl="2" w:tplc="9E1C21AC">
      <w:numFmt w:val="decimal"/>
      <w:lvlText w:val=""/>
      <w:lvlJc w:val="left"/>
    </w:lvl>
    <w:lvl w:ilvl="3" w:tplc="26F83ED6">
      <w:numFmt w:val="decimal"/>
      <w:lvlText w:val=""/>
      <w:lvlJc w:val="left"/>
    </w:lvl>
    <w:lvl w:ilvl="4" w:tplc="0224770A">
      <w:numFmt w:val="decimal"/>
      <w:lvlText w:val=""/>
      <w:lvlJc w:val="left"/>
    </w:lvl>
    <w:lvl w:ilvl="5" w:tplc="1A0C8EE8">
      <w:numFmt w:val="decimal"/>
      <w:lvlText w:val=""/>
      <w:lvlJc w:val="left"/>
    </w:lvl>
    <w:lvl w:ilvl="6" w:tplc="F03A9A8C">
      <w:numFmt w:val="decimal"/>
      <w:lvlText w:val=""/>
      <w:lvlJc w:val="left"/>
    </w:lvl>
    <w:lvl w:ilvl="7" w:tplc="97B6AF66">
      <w:numFmt w:val="decimal"/>
      <w:lvlText w:val=""/>
      <w:lvlJc w:val="left"/>
    </w:lvl>
    <w:lvl w:ilvl="8" w:tplc="7A1E3444">
      <w:numFmt w:val="decimal"/>
      <w:lvlText w:val=""/>
      <w:lvlJc w:val="left"/>
    </w:lvl>
  </w:abstractNum>
  <w:num w:numId="1" w16cid:durableId="308554165">
    <w:abstractNumId w:val="0"/>
    <w:lvlOverride w:ilvl="0">
      <w:startOverride w:val="1"/>
    </w:lvlOverride>
  </w:num>
  <w:num w:numId="2" w16cid:durableId="6653977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43F"/>
    <w:rsid w:val="00244C17"/>
    <w:rsid w:val="0056671D"/>
    <w:rsid w:val="00A4743F"/>
    <w:rsid w:val="00F81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7E8AA"/>
  <w15:docId w15:val="{DFBCE082-9584-484A-86BE-315CE59B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81D8B"/>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F81D8B"/>
    <w:pPr>
      <w:spacing w:after="100"/>
    </w:pPr>
  </w:style>
  <w:style w:type="paragraph" w:styleId="TOC2">
    <w:name w:val="toc 2"/>
    <w:basedOn w:val="Normal"/>
    <w:next w:val="Normal"/>
    <w:autoRedefine/>
    <w:uiPriority w:val="39"/>
    <w:unhideWhenUsed/>
    <w:rsid w:val="00F81D8B"/>
    <w:pPr>
      <w:spacing w:after="100"/>
      <w:ind w:left="210"/>
    </w:pPr>
  </w:style>
  <w:style w:type="paragraph" w:styleId="TOC3">
    <w:name w:val="toc 3"/>
    <w:basedOn w:val="Normal"/>
    <w:next w:val="Normal"/>
    <w:autoRedefine/>
    <w:uiPriority w:val="39"/>
    <w:unhideWhenUsed/>
    <w:rsid w:val="00F81D8B"/>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05768A49BE51438E9C6EDE10D9AE6E" ma:contentTypeVersion="9" ma:contentTypeDescription="Create a new document." ma:contentTypeScope="" ma:versionID="8563f8f1e598188302a3178b05c207a4">
  <xsd:schema xmlns:xsd="http://www.w3.org/2001/XMLSchema" xmlns:xs="http://www.w3.org/2001/XMLSchema" xmlns:p="http://schemas.microsoft.com/office/2006/metadata/properties" xmlns:ns2="fa9fdff7-c306-49b8-91ba-962b4dc952cb" xmlns:ns3="fa2f4560-f118-4f61-a305-660cb9113c0b" targetNamespace="http://schemas.microsoft.com/office/2006/metadata/properties" ma:root="true" ma:fieldsID="cac954ef73a6335fbf5633bdbe80605f" ns2:_="" ns3:_="">
    <xsd:import namespace="fa9fdff7-c306-49b8-91ba-962b4dc952cb"/>
    <xsd:import namespace="fa2f4560-f118-4f61-a305-660cb9113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fdff7-c306-49b8-91ba-962b4dc952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34a40c-0e66-4f2b-abbe-eaf14f47cbc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2f4560-f118-4f61-a305-660cb9113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2ef27b-8165-4788-841c-c71c7b4f01b6}" ma:internalName="TaxCatchAll" ma:showField="CatchAllData" ma:web="fa2f4560-f118-4f61-a305-660cb9113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a2f4560-f118-4f61-a305-660cb9113c0b" xsi:nil="true"/>
    <lcf76f155ced4ddcb4097134ff3c332f xmlns="fa9fdff7-c306-49b8-91ba-962b4dc952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2E3F44-003A-4646-B7E5-B37E577CF6F0}">
  <ds:schemaRefs>
    <ds:schemaRef ds:uri="http://schemas.microsoft.com/sharepoint/v3/contenttype/forms"/>
  </ds:schemaRefs>
</ds:datastoreItem>
</file>

<file path=customXml/itemProps2.xml><?xml version="1.0" encoding="utf-8"?>
<ds:datastoreItem xmlns:ds="http://schemas.openxmlformats.org/officeDocument/2006/customXml" ds:itemID="{CF477D25-C730-46A2-8F8B-68B506AEC3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9fdff7-c306-49b8-91ba-962b4dc952cb"/>
    <ds:schemaRef ds:uri="fa2f4560-f118-4f61-a305-660cb9113c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9A83DF-5FF5-47A5-91D0-10168BFBA2A3}">
  <ds:schemaRefs>
    <ds:schemaRef ds:uri="http://schemas.microsoft.com/office/2006/metadata/properties"/>
    <ds:schemaRef ds:uri="http://schemas.microsoft.com/office/infopath/2007/PartnerControls"/>
    <ds:schemaRef ds:uri="fa2f4560-f118-4f61-a305-660cb9113c0b"/>
    <ds:schemaRef ds:uri="fa9fdff7-c306-49b8-91ba-962b4dc952c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8349</Words>
  <Characters>47590</Characters>
  <Application>Microsoft Office Word</Application>
  <DocSecurity>0</DocSecurity>
  <Lines>396</Lines>
  <Paragraphs>111</Paragraphs>
  <ScaleCrop>false</ScaleCrop>
  <Company/>
  <LinksUpToDate>false</LinksUpToDate>
  <CharactersWithSpaces>55828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Alumnye Platform — Business Requirements Document</dc:title>
  <dc:creator>Prodian Infotech — Delivery Team</dc:creator>
  <dc:description>BRD consolidating confirmed requirements/decisions from project kickoff through Release v1.3.0</dc:description>
  <cp:lastModifiedBy>Lakshmi Chamundeeswari  R</cp:lastModifiedBy>
  <cp:revision>2</cp:revision>
  <dcterms:created xsi:type="dcterms:W3CDTF">2026-09-02T15:45:00Z</dcterms:created>
  <dcterms:modified xsi:type="dcterms:W3CDTF">2026-09-03T05:50:00Z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0x010100E805768A49BE51438E9C6EDE10D9AE6E</vt:lpwstr>
  </property>
  <property fmtid="{D5CDD505-2E9C-101B-9397-08002B2CF9AE}" pid="3" name="MediaServiceImageTags">
    <vt:lpwstr/>
  </property>
</Properties>
</file>