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ALUMNYE PLATFORM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5395"/>
          <w:sz w:val="36"/>
          <w:szCs w:val="36"/>
        </w:rPr>
        <w:t xml:space="preserve">Functional Requirements Document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Version 1.0  ·  Draft — For Review</w:t>
      </w:r>
    </w:p>
    <w:p>
      <w:pPr>
        <w:spacing w:after="0" w:before="90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Prepared for Indeevar / Alumwhale</w:t>
      </w:r>
    </w:p>
    <w:p>
      <w:pPr>
        <w:spacing w:after="90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Prepared by Prodian Infotech Private Limited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September 2026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Coverage Period: 10 March 2026 – Release v1.3.0 (30 August 2026)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Document Control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400"/>
        <w:gridCol w:w="7680"/>
      </w:tblGrid>
      <w:tr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7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Alumnye Platform — Functional Requirements Document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768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FRD (Functional Requirements Document)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Version</w:t>
            </w:r>
          </w:p>
        </w:tc>
        <w:tc>
          <w:tcPr>
            <w:tcW w:type="dxa" w:w="7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768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Draft — For Review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7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September 2026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768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Prodian Infotech Private Limited — Delivery Team (AI-assisted, consolidated from project records)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Reviewed By</w:t>
            </w:r>
          </w:p>
        </w:tc>
        <w:tc>
          <w:tcPr>
            <w:tcW w:type="dxa" w:w="7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Indeevar (Client / Product Owner)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Coverage Period</w:t>
            </w:r>
          </w:p>
        </w:tc>
        <w:tc>
          <w:tcPr>
            <w:tcW w:type="dxa" w:w="768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 March 2026 – Release v1.3.0 (30 August 2026)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Related Documents</w:t>
            </w:r>
          </w:p>
        </w:tc>
        <w:tc>
          <w:tcPr>
            <w:tcW w:type="dxa" w:w="7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BRD_Alumnye_v1.0; FSD_Alumnye_Anchor; FSD_Alumnye_Member; FSD_Alumnye_PassiveContent_QuickLaunch; Decision Records register (v1.1)</w:t>
            </w:r>
          </w:p>
        </w:tc>
      </w:tr>
    </w:tbl>
    <w:p>
      <w:pPr>
        <w:spacing w:after="260"/>
      </w:pP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i/>
          <w:iCs/>
          <w:color w:val="17284A"/>
          <w:sz w:val="21"/>
          <w:szCs w:val="21"/>
        </w:rPr>
        <w:t xml:space="preserve">Revision History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200"/>
        <w:gridCol w:w="1800"/>
        <w:gridCol w:w="4680"/>
        <w:gridCol w:w="24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v1.0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September 2026</w:t>
            </w:r>
          </w:p>
        </w:tc>
        <w:tc>
          <w:tcPr>
            <w:tcW w:type="dxa" w:w="4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Initial consolidated FRD covering project inception through Release v1.3.0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Prodian Infotech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 Purpose &amp; Scope</w:t>
      </w:r>
    </w:p>
    <w:p>
      <w:pPr>
        <w:spacing w:after="140" w:before="0" w:line="264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This Functional Requirements Document (FRD) defines, module by module, what the Alumnye platform must do — expressed as discrete, testable "the system shall…" requirements, each carrying an actor, a delivery phase, and a traceable source citation. It sits between two other governance documents and is not a replacement for either:</w:t>
      </w:r>
    </w:p>
    <w:p>
      <w:pPr>
        <w:pStyle w:val="ListParagraph"/>
        <w:numPr>
          <w:ilvl w:val="0"/>
          <w:numId w:val="2"/>
        </w:numPr>
        <w:spacing w:after="90" w:line="252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Business Requirements Document (BRD) establishes the business why — objectives, stakeholders, value proposition, and success measures. This FRD assumes that business case as given and does not restate it.</w:t>
      </w:r>
    </w:p>
    <w:p>
      <w:pPr>
        <w:pStyle w:val="ListParagraph"/>
        <w:numPr>
          <w:ilvl w:val="0"/>
          <w:numId w:val="2"/>
        </w:numPr>
        <w:spacing w:after="90" w:line="252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three role-based Functional Specification Documents — FSD_Alumnye_Anchor, FSD_Alumnye_Member, and FSD_Alumnye_PassiveContent_QuickLaunch — provide screen-by-screen, field-by-field UI specification. This FRD deliberately does not duplicate that UI-level detail; it should be read alongside those three FSDs, which cover the corresponding screens, flows, and field-level behaviour for each requirement listed here.</w:t>
      </w:r>
    </w:p>
    <w:p>
      <w:pPr>
        <w:spacing w:after="160" w:before="0" w:line="264" w:lineRule="auto"/>
      </w:pPr>
      <w:r>
        <w:rPr>
          <w:rFonts w:ascii="Calibri" w:cs="Calibri" w:eastAsia="Calibri" w:hAnsi="Calibri"/>
          <w:i/>
          <w:iCs/>
          <w:color w:val="7A3E00"/>
          <w:sz w:val="20"/>
          <w:szCs w:val="20"/>
        </w:rPr>
        <w:t xml:space="preserve">Reviewer note: the three existing FSDs are dated April 2026 and, per the project's own gap analysis, use superseded terminology ("MVP" rather than "Delta," the original 3-dimension D3 model rather than D1–D4, Razorpay presented as MVP-in-scope rather than Alpha-deferred, WhatsApp presented as MVP-in-scope). Every requirement in Section 4 below reflects the current, confirmed state as of Release v1.3.0 and should be treated as authoritative over any conflicting FSD text; the FSDs remain authoritative for UI/screen-level detail not affected by these changes.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i/>
          <w:iCs/>
          <w:color w:val="17284A"/>
          <w:sz w:val="21"/>
          <w:szCs w:val="21"/>
        </w:rPr>
        <w:t xml:space="preserve">Scope</w:t>
      </w:r>
    </w:p>
    <w:p>
      <w:pPr>
        <w:spacing w:after="100" w:before="0" w:line="264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This FRD covers all confirmed functional requirements for the Alumnye platform from project kickoff (10 March 2026) through Release v1.3.0 (30 August 2026), across the following modules: User Management &amp; Authentication; Event Planning (D1–D4); Polling System; Cost Estimation Engine (CostGPT); Payment Management; Notification System; Profile Builder; Media Management; Golf Tournament Scoring &amp; Management (standalone add-on); Infrastructure &amp; Platform; Testing, QA &amp; Release Governance; and Security &amp; Compliance. Requirements are labelled by phase — Delta (current QuickLaunch/MVP release), Alpha (near-term Phase 2), and Future/Gamma (post-Alpha roadmap) — per the phase-naming convention confirmed 05 June 2026.</w:t>
      </w:r>
    </w:p>
    <w:p>
      <w:pPr>
        <w:spacing w:after="0" w:before="0" w:line="264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Out of scope for this FRD: business rationale/ROI (BRD), UI wireframes and field-level screen specification (the three FSDs), and detailed test-case scripts (separate Test Plan/Test Case deliverables under Phase 5 governance).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 Actors &amp; Roles</w:t>
      </w:r>
    </w:p>
    <w:p>
      <w:pPr>
        <w:spacing w:after="160" w:before="0" w:line="264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requirements in Section 4 reference the following actors. Human actors (Anchor, Member) are the platform's registered users; System/Platform denotes automated platform behaviour with no human in the loop; the remaining rows are external vendor/AI systems that participate in functional workflows as system actors.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900"/>
        <w:gridCol w:w="1400"/>
        <w:gridCol w:w="67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7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 / Role in Functional Requirements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Anchor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Human (Admin)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Group administrator. Creates groups/events, drives poll and RSVP lifecycle, records payments, moderates media/notices, reviews AI outputs, and (from v1.3.0) can edit member core-profile fields. Sole approver of members in Delta; multi-anchor delegation is a confirmed Delta requirement with a full audit trail.</w:t>
            </w:r>
          </w:p>
        </w:tc>
      </w:tr>
      <w:tr>
        <w:tc>
          <w:tcPr>
            <w:tcW w:type="dxa" w:w="190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Member / Alum</w:t>
            </w:r>
          </w:p>
        </w:tc>
        <w:tc>
          <w:tcPr>
            <w:tcW w:type="dxa" w:w="140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Human (Participant)</w:t>
            </w:r>
          </w:p>
        </w:tc>
        <w:tc>
          <w:tcPr>
            <w:tcW w:type="dxa" w:w="676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Profile owner and event participant. Joins by invitation only (no open join in Delta). Answers polls, RSVPs, views own payment status (read-only), uploads media, and — since 08-Jul-26 — may self-generate an AI profile.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System / Platform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Automated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Automated platform behaviour: Member Code generation, notification triggers, poll-answer immutability enforcement, entitlement checks, deep-link routing, consent-log capture, audit-trail logging.</w:t>
            </w:r>
          </w:p>
        </w:tc>
      </w:tr>
      <w:tr>
        <w:tc>
          <w:tcPr>
            <w:tcW w:type="dxa" w:w="190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Karix (vendor)</w:t>
            </w:r>
          </w:p>
        </w:tc>
        <w:tc>
          <w:tcPr>
            <w:tcW w:type="dxa" w:w="140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External system</w:t>
            </w:r>
          </w:p>
        </w:tc>
        <w:tc>
          <w:tcPr>
            <w:tcW w:type="dxa" w:w="676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SMS/Email delivery for OTP, invitations, reminders, and transactional notifications; DLT classification and sender-identity compliance. Under formal SLA review vs. Netcore as of 30-Aug-26 (OI-05).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Razorpay (vendor, Alpha)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External system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Preferred payment aggregator for future gateway integration (checkout, webhooks, payment links) — deferred to Alpha; not active for Delta payment recording.</w:t>
            </w:r>
          </w:p>
        </w:tc>
      </w:tr>
      <w:tr>
        <w:tc>
          <w:tcPr>
            <w:tcW w:type="dxa" w:w="190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Firecrawl / DuckDuckGo (vendor)</w:t>
            </w:r>
          </w:p>
        </w:tc>
        <w:tc>
          <w:tcPr>
            <w:tcW w:type="dxa" w:w="140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External system</w:t>
            </w:r>
          </w:p>
        </w:tc>
        <w:tc>
          <w:tcPr>
            <w:tcW w:type="dxa" w:w="676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Public-web-search and scraping services powering Profile Builder enrichment in place of LinkedIn (confirmed infeasible under any tool).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Claude / Anthropic AI (Claude Sonnet 4.6)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External system (AI)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Back-end-configured default LLM for Profile Builder bio generation and CostGPT cost estimation/advisory output; all calls proxied through an audited Spring Boot gateway (ai_audit_log).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 Functional Requirements by Module</w:t>
      </w:r>
    </w:p>
    <w:p>
      <w:pPr>
        <w:spacing w:after="220" w:before="0" w:line="264" w:lineRule="auto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Each requirement below uses the ID scheme FR-&lt;MODULE&gt;-&lt;NUM&gt;. Rows shaded in a light rose colour flag a requirement gated by an open item from the Open Items register (Section 6) — these should be treated as directionally confirmed but not yet final for delivery planning.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4.1  User Management &amp; Authentication</w:t>
      </w:r>
    </w:p>
    <w:p>
      <w:pPr>
        <w:spacing w:after="160" w:before="0" w:line="264" w:lineRule="auto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Covers roles/access, authentication methods, Member Code generation, member-addition workflows, onboarding for large client groups, consent capture, and the multi-anchor entitlement model.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950"/>
        <w:gridCol w:w="4150"/>
        <w:gridCol w:w="950"/>
        <w:gridCol w:w="950"/>
        <w:gridCol w:w="1440"/>
        <w:gridCol w:w="1640"/>
      </w:tblGrid>
      <w:tr>
        <w:trPr>
          <w:tblHeader/>
        </w:trPr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 ID</w:t>
            </w:r>
          </w:p>
        </w:tc>
        <w:tc>
          <w:tcPr>
            <w:tcW w:type="dxa" w:w="4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/ Reference</w:t>
            </w:r>
          </w:p>
        </w:tc>
        <w:tc>
          <w:tcPr>
            <w:tcW w:type="dxa" w:w="1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FR-UM-01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support two core roles — Anchor (group admin) and Member/Alum (participant) — with a single user able to simultaneously hold Member, Anchor, or Member+Anchor status.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Member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10-Mar–08-Apr-26; MPN §23.4 (16-Jun)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FR-UM-02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first user to create a group shall automatically become that group's Anchor.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16-Jun-26, MPN §23.4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FR-UM-03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prevent an Anchor from viewing members of other groups when inviting to their own group; entering a matching email shall trigger a "member exists in another group" message rather than exposing a cross-group list.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10-Jun-26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FR-UM-04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support Email/Password, Google OAuth (Android redirect + auto-link), Phone OTP, and Device Binding authentication with JWT session management. WhatsApp OTP is excluded (Meta/Facebook Business verification failed).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 / Anchor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(WhatsApp OTP = Alpha)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09-Jun-26; mobile build 08-Jul-26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FR-UM-05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If a user previously logged in via mobile and later attempts login via a different email, the system shall detect the conflict and prompt the user to update their mobile number.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 / 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10-Jun-26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FR-UM-06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treat an invite first opened as a web session as expired once the native app is installed, passing the correct OTP through so invite acceptance completes reliably (web-to-native session conflict fix).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— live in v1.2/v1.3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DR-081/D13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FR-UM-07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generate a Member Code as first-letter-of-first-name + first-letter-of-last-name + numeric counter, no zero-padding (e.g. IK1, IK2, IK3), with user-overridable initials and duplicate checking.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 / Member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09-Jun-26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FR-UM-08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generate a unique Cohort/Group Code (Anchor-defined letter identifier + numeric suffix); Cohort ID + Member ID shall be globally unique and used for payment mapping and group-level reporting.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 / Anchor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09-Jun-26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FR-UM-09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Mobile number shall be the platform-wide primary identifier for a member; email shall be the secondary identifier.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09-Jun-26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FR-UM-10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support member addition via: (a) manual add by Anchor (name + email); (b) bulk CSV/Excel import with predefined schema, raw file archived to AWS S3 as a permanent audit record, and Anchor review/approval before profiles go live; (c) a Fast Create tab with Anchor-defined auto-population rules.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20-May-26 demo; 23-Jun-26 AI-2306-05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FR-UM-11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Add-Member functionality shall be consolidated to a single group-level entry point with three sub-options — Individual Entry, Bulk CSV Upload, Import from Another Anchored Group (multi-group Anchors only); Add-Member at event level shall be removed entirely — event participation occurs only via RSVP and payment.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23-Jun-26, AI-2306-05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FR-UM-12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Importing an existing member from another anchored group shall always trigger an in-app invitation to that member; silent import is not permitted.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25-Jun-26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FR-UM-13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Quick-add (mobile+email only), AI-assistant-based member addition, and Member self-join-request-pending-approval shall be excluded from Delta and moved to Alpha.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Member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Alpha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10-Jun-26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FR-UM-14</w:t>
            </w:r>
          </w:p>
        </w:tc>
        <w:tc>
          <w:tcPr>
            <w:tcW w:type="dxa" w:w="41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For large-cohort onboarding (e.g. CSGI 40, ~140 members), the system shall support backend bulk data upload of names/emails/mobiles as an onboarding path, pending confirmation of no harmful downstream impact.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System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DR-086/D19</w:t>
            </w:r>
          </w:p>
        </w:tc>
        <w:tc>
          <w:tcPr>
            <w:tcW w:type="dxa" w:w="16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OI-14 open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FR-UM-15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Overseas members shall be able to authenticate via email-ID login rather than local mobile-number login, to route around known mobile-invite friction for international numbers.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DR-086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FR-UM-16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capture Consent and Terms &amp; Conditions acceptance at first login (mobile or email), covering rights granted to the Anchor over member data usage, with consent logs retained — the standing pattern for all new groups/clients.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 / 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DR-088/D20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FR-UM-17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 Anchor shall be able to grant anchor rights to other members (multi-anchor entitlement); the system shall enforce entitlement checks before sensitive actions (e.g. deleting a member, closing a poll) and maintain a full audit trail of anchor actions.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(pulled forward); full rollout post-v1.3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20-Jul-26 DR-062; 18-Aug-26 DR-091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FR-UM-18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Anchors shall be able to directly edit a member's core profile information, including name and profile image.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— v1.3.0 shipped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Release v1.3.0 notes, 30-Aug-26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FR-UM-19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v1.4+ shall extend the multi-anchor model to a full rollout with a richer entitlement matrix.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Future (v1.4+)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DR-087/D21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4.2  Event Planning (D1–D4 Framework)</w:t>
      </w:r>
    </w:p>
    <w:p>
      <w:pPr>
        <w:spacing w:after="160" w:before="0" w:line="264" w:lineRule="auto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Covers the Date/Duration/Destination/Dollars planning framework, event creation and lifecycle, the RSVP visibility model, Reunion/Social vs. Sports event categories, Travel tracking, and the Notice Board.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950"/>
        <w:gridCol w:w="4150"/>
        <w:gridCol w:w="950"/>
        <w:gridCol w:w="950"/>
        <w:gridCol w:w="1440"/>
        <w:gridCol w:w="1640"/>
      </w:tblGrid>
      <w:tr>
        <w:trPr>
          <w:tblHeader/>
        </w:trPr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 ID</w:t>
            </w:r>
          </w:p>
        </w:tc>
        <w:tc>
          <w:tcPr>
            <w:tcW w:type="dxa" w:w="4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/ Reference</w:t>
            </w:r>
          </w:p>
        </w:tc>
        <w:tc>
          <w:tcPr>
            <w:tcW w:type="dxa" w:w="1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FR-EVT-01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implement the D1–D4 event-planning framework: D1 = Dates, D2 = Duration, D3 = Destination, D4 = Dollars (budget range in INR).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10-Jun-26, DR-036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FR-EVT-02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D1–D4 poll shall open with "Which dimension have you already decided?" with no cap on the number of questions across D1–D4 for Delta.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Member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10-Jun-26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FR-EVT-03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D1–D4 poll question progression shall be rules-based and pre-structured, branching on each prior answer; a generative AI poll-authoring agent is not required for Delta.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10-Jun-26, DR-044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FR-EVT-04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Create Event form shall exclude a 'Draft' field and 'Max Participants'/'Max Companions' fields, use a more user-friendly date-entry control, and always navigate to the Tile screen after draft creation regardless of entry point.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10-Jun-26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FR-EVT-05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support the canonical event lifecycle: create group → add members → create event (Draft) → launch D1–D4 poll → aggregate responses → Anchor reviews "Sweet Spot" and selects Poll Again or Publish → CostGPT estimate → RSVP → payment collection (manual Mark as Paid, Delta) → event execution.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Member / 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10-Jun-26 canonical flow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FR-EVT-06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D1–D4 poll question sequence shall follow: Q1 dimension-decided check → Q2 year → Q3 month-vs-specific-dates mode → Q4 conditional months/dates → Q5 duration → Q6 destination type → Q7 location type (multi-select) → Q8 specific city → Q9 budget band.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Member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10-Jun-26, AI-015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FR-EVT-07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Anchor event screen shall present a consolidated "Analytics/Data" tile (renamed from "Preferences") aggregating poll results, preferences, RSVPs, and event data, visible to the Anchor only.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23-Jun-26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FR-EVT-08</w:t>
            </w:r>
          </w:p>
        </w:tc>
        <w:tc>
          <w:tcPr>
            <w:tcW w:type="dxa" w:w="41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RSVP shall be launched against a captured event (post D1–D4 finalization → Event Capture → Itinerary); re-launch shall support a configurable RSVP cap.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System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/ Later</w:t>
            </w:r>
          </w:p>
        </w:tc>
        <w:tc>
          <w:tcPr>
            <w:tcW w:type="dxa" w:w="14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23-Jun-26</w:t>
            </w:r>
          </w:p>
        </w:tc>
        <w:tc>
          <w:tcPr>
            <w:tcW w:type="dxa" w:w="16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OI-04 open — cap value unspecified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FR-EVT-09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 poll answers shall not be editable after submission, preserving data integrity during an active poll window; edit capability is deferred.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23-Jun-26, DR-048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FR-EVT-10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Anchor-defined custom event-specific data-capture fields (flights, transfers, rooming, dietary) shall be stored to both the Member profile (long-lived) and the event-specific database (operational).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Later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23-Jun-26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FR-EVT-11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RSVP status ("who else is coming") shall be visible to all Members, not the Anchor alone, while D4 poll responses remain fully anonymous.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23-Jun-26, DR-043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FR-EVT-12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Member home screen shall show a profile-incomplete block until completion, list events sorted by start date with per-event "Action required" labels, and rename the "Transactions" tile to surface pending actions.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23-Jun-26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FR-EVT-13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RSVP screen shall import D1–D4 event attributes (Destination, Dates, Payment/Head, Duration, Deadline) read-only from the event record, without manual re-entry.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25-Jun-26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FR-EVT-14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 itinerary shall be attached to an RSVP invitation only when explicitly marked finalized; a work-in-progress itinerary shall send only the blue event-attribute tile.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25-Jun-26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FR-EVT-15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By default, a Member's RSVP "Yes" shall immediately add the member to the event attendee list; a payment-based inclusion override is deferred to a later ("Gamma") phase.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 / 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25-Jun-26, DR-051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FR-EVT-16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show Members a default top-line cost statement (5–7 line items); a request for the full itemized breakdown shall route to the Anchor rather than an automated export.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 / Anchor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25-Jun-26, DR-052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FR-EVT-17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"Travel" (renamed from "Transfers") shall capture pickup/dropoff logistics: flight number, arrival/departure date-time, airport/terminal (airline name, PNR, booking reference excluded from core capture); Train mirrors flight capture; Bus captures station + timing.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26-Jun-26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FR-EVT-18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provide Home, Payments, and My Profile as the three global top/bottom-level navigation access points.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 / Anchor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26-Jun-26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FR-EVT-19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Events shall be categorized as "Reunion/Social" or "Sports," with generic tiles (Poll, Itinerary, RSVP) always available and category-specific tiles (CostGPT/Travel for reunions; sport-specific flows for sports) shown per category.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v1.3+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11-Aug-26, DR-038/D4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FR-EVT-20</w:t>
            </w:r>
          </w:p>
        </w:tc>
        <w:tc>
          <w:tcPr>
            <w:tcW w:type="dxa" w:w="41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Only members of a specific event shall be able to see that event's results/statistics/data in the short term (Delta); other group members must join the event to view it. A long-term community-type-driven entitlement matrix is planned.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 / System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(short-term); Roadmap</w:t>
            </w:r>
          </w:p>
        </w:tc>
        <w:tc>
          <w:tcPr>
            <w:tcW w:type="dxa" w:w="14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DR-089/D15</w:t>
            </w:r>
          </w:p>
        </w:tc>
        <w:tc>
          <w:tcPr>
            <w:tcW w:type="dxa" w:w="16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OI-16 open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FR-EVT-21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Notice Board shall allow a user to post content within their own group, visible only to group members/anchor (Delta); multi-group posting (Alpha); repost/replication (Gamma).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Member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/ Alpha / Gamma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16-Jun-26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FR-EVT-22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Notice Board and contact-list file uploads shall be treated as high-risk: restrict allowed file types, block malware/auto-execute content, apply conservative size limits, relax later with documented justification; some upload types restricted to Anchors only.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DR-104/D7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FR-EVT-23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Every event-phase transition shall be explicitly driven by the Anchor; no phase shall auto-advance.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Mobile build v1.2, RULE-007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4.3  Polling System</w:t>
      </w:r>
    </w:p>
    <w:p>
      <w:pPr>
        <w:spacing w:after="160" w:before="0" w:line="264" w:lineRule="auto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Covers poll types, response anonymization, the D1–D4 poll wizard flow, repoll, the shared AI analysis engine, and poll-answer immutability after submission.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950"/>
        <w:gridCol w:w="4150"/>
        <w:gridCol w:w="950"/>
        <w:gridCol w:w="950"/>
        <w:gridCol w:w="1440"/>
        <w:gridCol w:w="1640"/>
      </w:tblGrid>
      <w:tr>
        <w:trPr>
          <w:tblHeader/>
        </w:trPr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 ID</w:t>
            </w:r>
          </w:p>
        </w:tc>
        <w:tc>
          <w:tcPr>
            <w:tcW w:type="dxa" w:w="4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/ Reference</w:t>
            </w:r>
          </w:p>
        </w:tc>
        <w:tc>
          <w:tcPr>
            <w:tcW w:type="dxa" w:w="1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FR-POLL-01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support the D1–D4 structured poll, a Venue-options poll (Poll 2), and post-RSVP preference polls (Veg/Non-Veg, Alcohol/Drinks); a third poll type is deferred to Later.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Member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/ Later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undefined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FR-POLL-02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Poll results shall display in a 2+2 layout: the Anchor's choice plus an AI/Claude-suggested "popular choice."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undefined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FR-POLL-03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Individual poll/survey responses shall be anonymized by default, even from Anchors — only aggregate results shown; RSVP Yes/No status is the sole exception Anchors can see individually.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DR-039 (platform-wide)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FR-POLL-04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Sweet Spot screen shall present two actions: "Poll Again" and "Publish" (renamed from "Send Follow-up"/"Proceed").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10-Jun-26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FR-POLL-05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 Member shall see and answer only their own poll, may reopen and re-answer before the due date, and the poll becomes read-only after the due date.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25-Jun-26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FR-POLL-06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 Anchor shall be able to create polls, view all responses, access analytics, and manage repoll.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25-Jun-26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FR-POLL-07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Poll response summaries shall show a single counter ("X of Y responded") plus a "Last Reminded" date per member row, with status colours Answered = green, Pending = orange/grey.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25-Jun-26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FR-POLL-08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 single common generative-AI analysis engine shall serve D4, RSVP, and custom polls, using prompt tuning (not separate engines) to control analytical depth per poll type — concise output for simple polls, generative multi-attribute synthesis for D4, completion-state + reminder suggestions for RSVP.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 (AI)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25-Jun-26, DR-050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FR-POLL-09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From the analysis view, an Anchor shall be able to trigger a repoll pre-populated with prior questions, without rebuilding from scratch.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25-Jun-26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FR-POLL-10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override/lock control shall be retained only in the D4 finalization context (Anchor resolves remaining undecided parameters) and removed for general custom polls.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25-Jun-26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FR-POLL-11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 poll-answer edits shall not be permitted after submission in Delta; edit capability is deferred to a later phase.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23-Jun-26, DR-048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FR-POLL-12</w:t>
            </w:r>
          </w:p>
        </w:tc>
        <w:tc>
          <w:tcPr>
            <w:tcW w:type="dxa" w:w="41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Poll-answer visibility to Members after submission (own answers vs. aggregate) shall be resolved and implemented.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TBD</w:t>
            </w:r>
          </w:p>
        </w:tc>
        <w:tc>
          <w:tcPr>
            <w:tcW w:type="dxa" w:w="14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23-Jun-26</w:t>
            </w:r>
          </w:p>
        </w:tc>
        <w:tc>
          <w:tcPr>
            <w:tcW w:type="dxa" w:w="16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OI-03 open</w:t>
            </w:r>
          </w:p>
        </w:tc>
      </w:tr>
      <w:tr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FR-POLL-13</w:t>
            </w:r>
          </w:p>
        </w:tc>
        <w:tc>
          <w:tcPr>
            <w:tcW w:type="dxa" w:w="41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RSVP cap per event shall be configurable, with the exact numeric limit to be specified by the Product Owner.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Later</w:t>
            </w:r>
          </w:p>
        </w:tc>
        <w:tc>
          <w:tcPr>
            <w:tcW w:type="dxa" w:w="14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23-Jun-26</w:t>
            </w:r>
          </w:p>
        </w:tc>
        <w:tc>
          <w:tcPr>
            <w:tcW w:type="dxa" w:w="16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OI-04 open</w:t>
            </w:r>
          </w:p>
        </w:tc>
      </w:tr>
    </w:tbl>
    <w:p>
      <w:pPr>
        <w:spacing w:after="2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4.4  Cost Estimation Engine (CostGPT)</w:t>
      </w:r>
    </w:p>
    <w:p>
      <w:pPr>
        <w:spacing w:after="160" w:before="0" w:line="264" w:lineRule="auto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Covers CostGPT's two modes (Top-5 Advisory and Full Estimate/EVE chat), platform-wide AI guardrails, input pre-population from poll data, and output formats for Anchors vs. Members.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950"/>
        <w:gridCol w:w="4150"/>
        <w:gridCol w:w="950"/>
        <w:gridCol w:w="950"/>
        <w:gridCol w:w="1440"/>
        <w:gridCol w:w="1640"/>
      </w:tblGrid>
      <w:tr>
        <w:trPr>
          <w:tblHeader/>
        </w:trPr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 ID</w:t>
            </w:r>
          </w:p>
        </w:tc>
        <w:tc>
          <w:tcPr>
            <w:tcW w:type="dxa" w:w="4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/ Reference</w:t>
            </w:r>
          </w:p>
        </w:tc>
        <w:tc>
          <w:tcPr>
            <w:tcW w:type="dxa" w:w="1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FR-COST-01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CostGPT shall be an AI-powered, Anchor-only cost estimation tool; Members shall never see it.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undefined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FR-COST-02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CostGPT shall auto-generate a ~400-word structured master prompt from D1–D4 poll data (Duration, Date, Destination) so the Anchor never needs to leave the app.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 (AI) / Anchor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undefined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FR-COST-03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Mode A (Top-5 Advisory) shall suggest the top 5 cost-optimized approaches derived from D3 poll data.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System (AI)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undefined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FR-COST-04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Mode B (Full Estimate) shall let the Anchor converse with an embedded LLM ("EVE") to build a full event cost estimate covering hotel, F&amp;B, and airport transfer estimation.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System (AI)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undefined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FR-COST-05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CostGPT output shall be presented in a conversational chat format with numbered options (1, 2, 3…), PPT-style visual, rather than an Excel-style export.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09-Jun-26, DR-032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FR-COST-06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CostGPT shall support conversation/session persistence — saving and restoring chat state across app re-opens.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11-Jun-26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FR-COST-07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finalization preview shall provide only "Edit" (Remove/Lock removed) and two-stage "Save"/"Publish" buttons, replacing "Lock all X items."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11-Jun-26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FR-COST-08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Off-topic guardrails, "Add Free Poll" bridging, and output-to-editable-form conversion shall be deferred to Alpha.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Alpha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11-Jun-26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FR-COST-09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CostGPT inputs (Destination/Duration/Group Size) shall pre-populate from D1–D4 poll data; Group Size shall auto-switch from group-member-count to RSVP-Yes-count once RSVP closes (override allowed for simulation); Start Date shall be mandatory; Budget non-mandatory; a free-text "Additional Instructions to GPT" field shall be available.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25-Jun-26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FR-COST-10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CostGPT output shall present Members a top-line 5–7 line cost statement by default; Anchors shall see the full itemized Excel-style breakdown.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 / Anchor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25-Jun-26, DR-052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FR-COST-11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Alcohol shall always be excluded from CostGPT estimates (RULE-001).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 (AI)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Mobile v1.2 build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RULE-001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FR-COST-12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CostGPT output shall be advisory only; human review of AI outputs is mandatory before finalizing any recommendation (RULE-006).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DR-033; mobile v1.2 build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RULE-006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FR-COST-13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Alumnye's name, company references, and internal/project-specific data shall never appear in AI prompts; no confidential data leakage is permitted; a master prompt library shall be maintained centrally; AI outputs must be verifiable.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DR-033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FR-COST-14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Flight/train logistics estimation, cost-variation scenarios (Low/Base/High), and sensitivity analysis shall be deferred to Alpha; MakeMyTrip API/MCP integration and AI flight-detail retrieval shall be deferred to Future.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Alpha / Future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Platform-wide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4.5  Payment Management</w:t>
      </w:r>
    </w:p>
    <w:p>
      <w:pPr>
        <w:spacing w:after="160" w:before="0" w:line="264" w:lineRule="auto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Covers the manual Mark-as-Paid model for Delta, payment business rules (RULE-PAY-001/002/003), payment statuses, the deferred Razorpay gateway integration, the open payment-custody risk, and the OCR proof-of-payment roadmap item.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950"/>
        <w:gridCol w:w="4150"/>
        <w:gridCol w:w="950"/>
        <w:gridCol w:w="950"/>
        <w:gridCol w:w="1440"/>
        <w:gridCol w:w="1640"/>
      </w:tblGrid>
      <w:tr>
        <w:trPr>
          <w:tblHeader/>
        </w:trPr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 ID</w:t>
            </w:r>
          </w:p>
        </w:tc>
        <w:tc>
          <w:tcPr>
            <w:tcW w:type="dxa" w:w="4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/ Reference</w:t>
            </w:r>
          </w:p>
        </w:tc>
        <w:tc>
          <w:tcPr>
            <w:tcW w:type="dxa" w:w="1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FR-PAY-01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Razorpay shall be the preferred payment aggregator, subject to feasibility validation (T+1 settlement, payment-method coverage, NRI traceability, cross-border aggregator license, compliance/audit readiness).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 / Anchor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Vendor confirmed Delta; gateway = Alpha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08-Apr-26, DR-021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FR-PAY-02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Razorpay gateway integration (checkout, webhooks, payment links) shall be deferred to Alpha; Delta shall provide manual payment tracking only (Mark-as-Paid + Event Expense Tracking).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= manual; Alpha = gateway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09-Jun-26, DR-022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Gated by OI-01/OI-02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FR-PAY-03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payment wallet license shall be required for Delta — the platform routes through a payment aggregator rather than holding a wallet balance.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DR-023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FR-PAY-04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shall support Prepaid payments only (full payment, no partial payments); Postpaid and Hybrid payment types are deferred to Alpha/Future.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/ Future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Mobile v1.2 build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FR-PAY-05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Only Anchors shall be able to mark payments or record expenses; Members shall have read-only access to their own payment data.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Mobile v1.2 build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RULE-PAY-001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FR-PAY-06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Expected payment amount per member shall be calculated as budgeted total ÷ RSVP-Yes headcount, and shall be Anchor-overridable per member.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Mobile v1.2 build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RULE-PAY-002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FR-PAY-07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 payment may be recorded only after the member's RSVP status equals Yes.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Mobile v1.2 build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RULE-PAY-003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FR-PAY-08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Payment status shall support UNPAID, PAID, PARTIALLY_PAID, and WAIVED.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Mobile Walkthrough §13.1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FR-PAY-09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For live events, payment shall be collected manually: members pay the merchant directly via UPI/QR, upload a payment screenshot, and the Anchor reconciles via an exported Excel sheet; the app itself shall never hold funds.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 / Anchor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(interim)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10–11 Aug-26, DR-027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FR-PAY-10</w:t>
            </w:r>
          </w:p>
        </w:tc>
        <w:tc>
          <w:tcPr>
            <w:tcW w:type="dxa" w:w="41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payment custody model (trust account vs. direct aggregator pass-through) and whether Delta proceeds "detached" from payment shall be finalized based on legal/RBI input before the Alpha payment architecture is built.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Indeevar / Legal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Open — gates Alpha</w:t>
            </w:r>
          </w:p>
        </w:tc>
        <w:tc>
          <w:tcPr>
            <w:tcW w:type="dxa" w:w="14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26-Jun-26, DR-025</w:t>
            </w:r>
          </w:p>
        </w:tc>
        <w:tc>
          <w:tcPr>
            <w:tcW w:type="dxa" w:w="16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OI-01, OI-02 open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FR-PAY-11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 Alpha, suppliers shall be paid exactly on the due day (not before, not after); funds held beyond one day must be refunded.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 / Anchor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Alpha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26-Jun-26, DR-026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FR-PAY-12</w:t>
            </w:r>
          </w:p>
        </w:tc>
        <w:tc>
          <w:tcPr>
            <w:tcW w:type="dxa" w:w="41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For multi-merchant events, the platform shall use CostGPT-derived allocation formulas with daily automated disbursement to merchants via a payment aggregator, so the platform never holds funds overnight.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Roadmap, pending legal confirmation</w:t>
            </w:r>
          </w:p>
        </w:tc>
        <w:tc>
          <w:tcPr>
            <w:tcW w:type="dxa" w:w="14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11-Aug-26, DR-028</w:t>
            </w:r>
          </w:p>
        </w:tc>
        <w:tc>
          <w:tcPr>
            <w:tcW w:type="dxa" w:w="16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OI-08 open</w:t>
            </w:r>
          </w:p>
        </w:tc>
      </w:tr>
      <w:tr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FR-PAY-13</w:t>
            </w:r>
          </w:p>
        </w:tc>
        <w:tc>
          <w:tcPr>
            <w:tcW w:type="dxa" w:w="41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OCR-based extraction of payment data from member-submitted screenshots shall serve as the contingency ("Plan B") approach if regulatory scrutiny prevents in-app payment initiation; the preferred target remains aggregator + webhook confirmation.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 (AI/OCR)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Targeted v1.5</w:t>
            </w:r>
          </w:p>
        </w:tc>
        <w:tc>
          <w:tcPr>
            <w:tcW w:type="dxa" w:w="14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18-Aug-26, DR-083/DR-085</w:t>
            </w:r>
          </w:p>
        </w:tc>
        <w:tc>
          <w:tcPr>
            <w:tcW w:type="dxa" w:w="16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OI-15 open</w:t>
            </w:r>
          </w:p>
        </w:tc>
      </w:tr>
      <w:tr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FR-PAY-14</w:t>
            </w:r>
          </w:p>
        </w:tc>
        <w:tc>
          <w:tcPr>
            <w:tcW w:type="dxa" w:w="41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 Billing module shall be scoped, designed, and delivered as the next major payment-adjacent capability.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Indeevar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Open — scope undefined</w:t>
            </w:r>
          </w:p>
        </w:tc>
        <w:tc>
          <w:tcPr>
            <w:tcW w:type="dxa" w:w="14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18-Aug-26</w:t>
            </w:r>
          </w:p>
        </w:tc>
        <w:tc>
          <w:tcPr>
            <w:tcW w:type="dxa" w:w="16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OI-13 open</w:t>
            </w:r>
          </w:p>
        </w:tc>
      </w:tr>
    </w:tbl>
    <w:p>
      <w:pPr>
        <w:spacing w:after="2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4.6  Notification System</w:t>
      </w:r>
    </w:p>
    <w:p>
      <w:pPr>
        <w:spacing w:after="160" w:before="0" w:line="264" w:lineRule="auto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Covers the confirmed Karix vendor (SMS/Email, under SLA review), the WhatsApp deferral, sender-identity and DLT compliance rules, notification triggers by event type, and the no-promotional-SMS rule.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950"/>
        <w:gridCol w:w="4150"/>
        <w:gridCol w:w="950"/>
        <w:gridCol w:w="950"/>
        <w:gridCol w:w="1440"/>
        <w:gridCol w:w="1640"/>
      </w:tblGrid>
      <w:tr>
        <w:trPr>
          <w:tblHeader/>
        </w:trPr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 ID</w:t>
            </w:r>
          </w:p>
        </w:tc>
        <w:tc>
          <w:tcPr>
            <w:tcW w:type="dxa" w:w="4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/ Reference</w:t>
            </w:r>
          </w:p>
        </w:tc>
        <w:tc>
          <w:tcPr>
            <w:tcW w:type="dxa" w:w="1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FR-NOTIF-01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Karix shall be the selected vendor for SMS, WhatsApp, and Email, on the basis of platform stability, SOC compliance, SMS/WhatsApp integration strength, volume scalability, Airtel DLT channel access, and vendor responsiveness.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30–31 Mar-26, DR-011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FR-NOTIF-02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Netcore shall be kept under evaluation for email campaigns only and shall not be selected outright pending banking-grade/compliance confirmation.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Under evaluation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DR-012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FR-NOTIF-03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WhatsApp (via Karix) shall be excluded from Delta; SMS-only communication is confirmed for Delta launch (Meta/Facebook Business ID verification failure).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= SMS only; WhatsApp = Alpha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09-Jun-26, DR-015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FR-NOTIF-04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Sender identity shall be standardized to msg@alumnye.com across SMS and email; all "noreply" branding shall be removed platform-wide.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10-Jun-26, DR-016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FR-NOTIF-05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DLT sender format shall be numeric per TRAI guidelines, with mandatory variable tagging on all SMS templates.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19-Jun-26, DR-017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FR-NOTIF-06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SMS sender name shall be standardized as "Team Alumnye" with a trailing hyphen ("- Team Alumnye").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19-Jun-26, DR-018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FR-NOTIF-07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Emails shall be classified as Care / Complaint / Campaign / Contract, enabling routing, tracking, and compliance.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19-Jun-26, DR-019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FR-NOTIF-08</w:t>
            </w:r>
          </w:p>
        </w:tc>
        <w:tc>
          <w:tcPr>
            <w:tcW w:type="dxa" w:w="41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Karix vendor relationship shall remain under formal review with a documented SLA-comparison exercise against Netcore before any migration decision, in response to recurring OTP/SMS delivery failures.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Anand / System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Ongoing</w:t>
            </w:r>
          </w:p>
        </w:tc>
        <w:tc>
          <w:tcPr>
            <w:tcW w:type="dxa" w:w="14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10–11 Aug-26, DR-020</w:t>
            </w:r>
          </w:p>
        </w:tc>
        <w:tc>
          <w:tcPr>
            <w:tcW w:type="dxa" w:w="16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OI-05 open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FR-NOTIF-09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promotional/marketing SMS shall be sent; all outbound messaging (invites, OTPs, necessary updates) shall be treated strictly as transactional and presented to Karix for DLT classification confirmation.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DR-082/D14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FR-NOTIF-10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 group invite shall use a deep link, routing to the mobile app if installed or to alumni.com otherwise.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19-Jun-26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FR-NOTIF-11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 RSVP notification shall trigger when the Anchor publishes event details and adds a member to the event list — not by the original group invite.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 / Anchor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19-Jun-26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FR-NOTIF-12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RSVP reminders shall be sent via SMS with an inline Yes/No reply option plus an in-app link, so members can respond without opening the app.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19-Jun-26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FR-NOTIF-13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Survey access shall use a personalized hash URL directing straight to the survey screen, with no intermediate steps.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19-Jun-26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FR-NOTIF-14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trigger notifications for event creation/update, poll invitation, poll reminder (manual trigger), RSVP invitation/reminder, payment reminder, itinerary update, profile-generation, and RSVP acknowledgements, via SMS/Email/In-app as applicable.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Platform-wide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FR-NOTIF-15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Campaign messaging and the AI-driven RSVP Nudge/Reminder Agent (WhatsApp/SMS) shall be delivered in Alpha, dependent on WhatsApp availability.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 (AI)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Alpha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Platform-wide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FR-NOTIF-16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 consolidated AWS + Karix cost/usage dashboard with alert thresholds shall be maintained.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10-Aug-26, DR-010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4.7  Profile Builder</w:t>
      </w:r>
    </w:p>
    <w:p>
      <w:pPr>
        <w:spacing w:after="160" w:before="0" w:line="264" w:lineRule="auto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Covers Firecrawl + DuckDuckGo enrichment, the confirmed infeasibility of LinkedIn scraping, the Claude Sonnet 4.6 LLM with a 3-attempt token cap, two-step consent, AI bio generation with its review/edit UX fix, Preferences, and Nominee Management.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950"/>
        <w:gridCol w:w="4150"/>
        <w:gridCol w:w="950"/>
        <w:gridCol w:w="950"/>
        <w:gridCol w:w="1440"/>
        <w:gridCol w:w="1640"/>
      </w:tblGrid>
      <w:tr>
        <w:trPr>
          <w:tblHeader/>
        </w:trPr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 ID</w:t>
            </w:r>
          </w:p>
        </w:tc>
        <w:tc>
          <w:tcPr>
            <w:tcW w:type="dxa" w:w="4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/ Reference</w:t>
            </w:r>
          </w:p>
        </w:tc>
        <w:tc>
          <w:tcPr>
            <w:tcW w:type="dxa" w:w="1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FR-PROF-01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Firecrawl shall be used for profile-enrichment scraping in place of the direct LinkedIn API.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01-Apr-26, DR-002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FR-PROF-02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LinkedIn scraping shall be treated as infeasible under any tool, including a member-supplied LinkedIn URL; DuckDuckGo shall be the public-web-search complement to Firecrawl. The LinkedIn URL shall be stored on the profile only — bio text is AI-generated from profile fields or pasted text, never from live LinkedIn extraction.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09-Jun-26, DR-003; reaffirmed 25-Aug-26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FR-PROF-03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Separate LinkedIn/Crunchbase/blog input fields shall be replaced with a single free-text "provide as many links as possible" box.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 / Anchor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02-Jun-26, DR-029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FR-PROF-04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Claude Sonnet 4.6 (Anthropic) shall be the default LLM for Profile Builder and CostGPT, configured at the back end and not member-selectable in Delta; the back-end team retains the ability to swap models without an app release; Anchor LLM choice is reserved as a paid/premium Alpha feature.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 (AI)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02-Jun-26, DR-004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FR-PROF-05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LLM token consumption shall be capped at 3 attempts to prevent indefinite retry loops and runaway API cost.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09-Jun-26, DR-005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FR-PROF-06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require two-step consent: (1) consent for data extraction from public sources, and (2) separate consent for publishing the generated profile in-platform.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 / Anchor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DR-030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FR-PROF-07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Profile generation workflow shall proceed: Anchor adds a member → prompted "Generate Profile Now / Later?" → if Now, LLM generates using Address (source links) + Context (description/cohort info) → member notified to review/edit the provisional profile → Anchor approves → profile published.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Member / System (AI)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Platform-wide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FR-PROF-08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 Member shall be able to generate their own profile via AI (previously Anchor-only), enabled based on the agreed pricing model.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— enabled 08-Jul-26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08-Jul-26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FR-PROF-09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AI-generated profile bios shall be treated as an acceptable starting point provided the Anchor manually reviews and refines the generated text before publishing, since accuracy varies (embellished, less input-driven claims can appear).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DR-084/D18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FR-PROF-10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provide a clear, discoverable "Edit/Review the text" control that auto-focuses the biography text area on click, giving the Anchor a visible path back to manual editing after AI generation.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— v1.3 target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25-Aug-26, AI-2508-01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FR-PROF-11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capture Preferences as a profile data category: dietary/event preferences plus free-text health/assistance fields (allergies, medical condition, disability, senior-citizen status, wheelchair assistance).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Mobile Walkthrough §7.5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FR-PROF-12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support optional Nominee Management with its own dedicated consent capture, entered during onboarding or profile completion.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Mobile Walkthrough §6.4/§15.6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FR-PROF-13</w:t>
            </w:r>
          </w:p>
        </w:tc>
        <w:tc>
          <w:tcPr>
            <w:tcW w:type="dxa" w:w="41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"Experience" and "Education" profile fields shall be evaluated for replacement with a "Preferences" field mix, pending a finalized decision.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Indeevar / Sathish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Under consideration</w:t>
            </w:r>
          </w:p>
        </w:tc>
        <w:tc>
          <w:tcPr>
            <w:tcW w:type="dxa" w:w="14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18-Aug-26</w:t>
            </w:r>
          </w:p>
        </w:tc>
        <w:tc>
          <w:tcPr>
            <w:tcW w:type="dxa" w:w="16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OI-12 open</w:t>
            </w:r>
          </w:p>
        </w:tc>
      </w:tr>
    </w:tbl>
    <w:p>
      <w:pPr>
        <w:spacing w:after="2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4.8  Media Management</w:t>
      </w:r>
    </w:p>
    <w:p>
      <w:pPr>
        <w:spacing w:after="160" w:before="0" w:line="264" w:lineRule="auto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Covers the event-level media library scoped for Delta, Anchor/Member upload rights, the current no-delete-for-anyone state, file-upload security hardening, and the open profile-level media item.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950"/>
        <w:gridCol w:w="4150"/>
        <w:gridCol w:w="950"/>
        <w:gridCol w:w="950"/>
        <w:gridCol w:w="1440"/>
        <w:gridCol w:w="1640"/>
      </w:tblGrid>
      <w:tr>
        <w:trPr>
          <w:tblHeader/>
        </w:trPr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 ID</w:t>
            </w:r>
          </w:p>
        </w:tc>
        <w:tc>
          <w:tcPr>
            <w:tcW w:type="dxa" w:w="4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/ Reference</w:t>
            </w:r>
          </w:p>
        </w:tc>
        <w:tc>
          <w:tcPr>
            <w:tcW w:type="dxa" w:w="1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FR-MEDIA-01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Both Anchors and Members shall be able to post images/videos to the Common Library; only Anchors may remove posts.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Member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undefined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FR-MEDIA-02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Media Library shall be cohort-scoped, visible to all cohort members; visibility shall not transfer when a member joins another cohort; the most recently uploaded media shall display first.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undefined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FR-MEDIA-03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scope shall include: photo/video upload (Anchor + Member), PDF upload (Anchor only — itinerary/menu/documents), chronological display, Anchor-delete, and manual YouTube link collection.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Member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undefined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FR-MEDIA-04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Alpha scope shall add: a Member Personal Library (members upload to their own profile) and Consent Filters (members control photo visibility across cohorts).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Alpha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undefined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FR-MEDIA-05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Future scope shall include media auto-deletion after 60–90 days (S3 cost reduction) and a video-creation bot for event highlight videos.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Future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undefined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FR-MEDIA-06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'Feed' tile shall be renamed 'Library'; content shall be split into Event Chat (Pics/Videos — Delta) and Profile Chat (Writings, Podcasts, URLs, Social Handles — Alpha).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/ Alpha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12-Jun-26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FR-MEDIA-07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shall implement event-level libraries only; a master group-level library shall be deferred until the event-level library is proven stable.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23-Jun-26, DR-049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FR-MEDIA-08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Media search shall be by caption/title only (not poster identity); "Incognito" shall be the proposed visibility control for personal/event/group post scope.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 / Anchor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26-Jun-26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FR-MEDIA-09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Profile-level (per-member) media uploads shall be explored, with feasibility for v1.3 vs. v1.4 assessed by the development team; the group-level media library shall continue as-is in the interim.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v1.3/v1.4 — undetermined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DR-084/D18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FR-MEDIA-10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support photo-to-short-video montage generation on member profiles (default 2-second frames per photo) as a high-value engagement feature; interim: Anchors manually create montages (e.g. via Canva) for backend attachment.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Roadmap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19-Jun-26; 11-Aug-26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FR-MEDIA-11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File uploads (notice board, media, contacts) shall be treated as high-risk: restrict allowed types, block malware/auto-execute, apply conservative size limits vs. the ~50MB API-wide limit, relax later with documented justification; some upload types restricted to Anchors only.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DR-104/D7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FR-MEDIA-12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Release v1.3.0 shall ship enhancements to management/display of images and videos within the Event Library and improved access to event-related media content.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— v1.3.0 shipped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Release v1.3.0 notes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4.9  Golf Tournament Scoring &amp; Management (Standalone Add-On)</w:t>
      </w:r>
    </w:p>
    <w:p>
      <w:pPr>
        <w:spacing w:after="160" w:before="0" w:line="264" w:lineRule="auto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Covers team/draw-sheet setup, gross/net scoring, the now-verified-correct dynamic handicap calculation, the Stableford format transition, the scorecard "H"/"AS" display fix, and the open games-played counter reconciliation defect.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950"/>
        <w:gridCol w:w="4150"/>
        <w:gridCol w:w="950"/>
        <w:gridCol w:w="950"/>
        <w:gridCol w:w="1440"/>
        <w:gridCol w:w="1640"/>
      </w:tblGrid>
      <w:tr>
        <w:trPr>
          <w:tblHeader/>
        </w:trPr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 ID</w:t>
            </w:r>
          </w:p>
        </w:tc>
        <w:tc>
          <w:tcPr>
            <w:tcW w:type="dxa" w:w="4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/ Reference</w:t>
            </w:r>
          </w:p>
        </w:tc>
        <w:tc>
          <w:tcPr>
            <w:tcW w:type="dxa" w:w="1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FR-GOLF-01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Golf Tournament Scoring &amp; Management shall be built as a standalone add-on, kept deliberately separate from the core Delta/Alpha alumni-event roadmap, flexible enough to later adapt to other sports (tennis, pickleball).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Add-on module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30-Jun-26, DR-053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FR-GOLF-02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Teams shall be organized as ~30 players in teams of 8–10, each with a captain/sub-anchor; the Anchor shall own the weekly draw sheet/lineup; captains nominate players.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Captain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(Golf)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DR-054, DR-055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FR-GOLF-03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Golf delivery shall be phased: draw sheet + gross-score capture first, then net/handicap math and standings.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Golf Phase 1 → Phase 2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DR-057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FR-GOLF-04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team-allocation UI shall use drag-and-drop, replacing the original multi-select interface.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(Golf)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01-Jul-26, DR-058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FR-GOLF-05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draw sheet shall support round-robin and knockout (with seeding) formats plus match date/time scheduling.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(Golf)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01-Jul-26, DR-059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FR-GOLF-06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Team creation shall use a flexible "Add Team" flow with individual assignment; scoring shall be cross-scoring only (players never score themselves) as an anti-cheating safeguard.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 / Player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(Golf)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09-Jul-26, DR-061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FR-GOLF-07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Both gross and net (handicap-adjusted) scores shall be supported; handicap shall be computed from a player's last 12 rounds at their home course.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(Golf)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30-Jun-26, DR-056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FR-GOLF-08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Live/real-time scoring shall use a scorer-compiled model with player-authorized score entry and a review step.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Player / Anchor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(Golf)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20-Jul-26, DR-060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FR-GOLF-09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Handicap updates shall be entered manually (not automatically) to prevent cheating; a dynamic/automatic system is planned but deferred until corresponding web functionality is built.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(manual); Future (automatic)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27-Jul-26, DR-064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FR-GOLF-10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Scoring shall be structured into 3 blocks (GP1/GP10/GP18), replacing the original 2-block (Front9/Back9) structure, to support 27-hole courses.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(Golf)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27-Jul-26, DR-065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FR-GOLF-11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"Match" shall be the consistent terminology, replacing "Fixture," across the app and draw sheet.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(Golf)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27-Jul-26, DR-066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FR-GOLF-12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Removed/former team members shall retain their historical scorecard entries; they shall appear greyed out in the Members list only, never removed from the scorecard.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(Golf)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27-Jul-26, DR-068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FR-GOLF-13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Stroke Calculator lookup table (gross handicap difference → direct lookup, 0.375/0.75 rounding) shall be the single source of truth for stroke allocation; the mathematically incorrect "HCP9" derived layer shall be discontinued.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(Golf)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10-Aug-26, DR-069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FR-GOLF-14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 missing hole score (Did Not Play) shall be treated as "no score" for that player/hole and excluded from min-of-4 comparisons — never recorded as zero strokes.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(Golf)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10-Aug-26, DR-070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FR-GOLF-15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Dynamic handicap transitions shall be computed from gross scores relative to par, not net values.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(Golf)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10-Aug-26, DR-071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FR-GOLF-16</w:t>
            </w:r>
          </w:p>
        </w:tc>
        <w:tc>
          <w:tcPr>
            <w:tcW w:type="dxa" w:w="41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recount/re-sync each player's games-played counter from actual fixture-player records whenever a match is removed or corrected.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(Golf) — fix pending</w:t>
            </w:r>
          </w:p>
        </w:tc>
        <w:tc>
          <w:tcPr>
            <w:tcW w:type="dxa" w:w="14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14-Aug-26, DR-072</w:t>
            </w:r>
          </w:p>
        </w:tc>
        <w:tc>
          <w:tcPr>
            <w:tcW w:type="dxa" w:w="16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OI-07 open. Verified 14-Aug-26: dynamic-HCP formula, playing-handicap formula, stroke-allocation logic and net-score calculation are 100% correct (0 mismatches / 156 HCP-history rows / 1,371 hole-score rows); only the games-played counter is affected.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FR-GOLF-17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tournament round following 31-Aug-26 shall move to Stableford scoring format; prior standings shall be retained as a separate, distinct group rather than merged.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 / Anchor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v1.3+ (Golf)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18-Aug-26, DR-090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FR-GOLF-18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Gross score shall be confirmed as the single source of truth driving all HCP/dynamic-HCP calculations; only the Anchor may correct a gross score (using the paper scorecard as reference), logged in the anchor activity log.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(Golf)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DR-093/D16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FR-GOLF-19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scorecard shall visibly highlight stroke holes (e.g. in yellow) on the blank/in-progress scorecard grid before and during play; the post-scoring view shall always display "H" (removing the temporary "AS" label).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v1.3 (Golf) — shipped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DR-094/D17; Release v1.3.0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FR-GOLF-20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Draw-sheet creation for upcoming matches shall include an option to save without immediately displaying the match in the matches list.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(Golf)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18-Aug-26, DR-092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FR-GOLF-21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Direct App Store release of the Golf module shall be held back until dynamic handicap data and the 27-hole course gap are resolved, even after iOS approval is received.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 (release gate)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Golf release gate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27-Jul-26, DR-067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FR-GOLF-22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Release v1.3.0 shall ship Golf Statistics: overall player rankings and rank movement, MVP points and match points by date, course performance and team-wise player statistics, Net Bogeys/Pars/Birdies/Eagles metrics, and an improved Golf Profile (handicap, recent performance, match history).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 / Anchor / Player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(Golf) — v1.3.0 shipped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Release v1.3.0 notes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4.10  Infrastructure &amp; Platform</w:t>
      </w:r>
    </w:p>
    <w:p>
      <w:pPr>
        <w:spacing w:after="160" w:before="0" w:line="264" w:lineRule="auto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Covers the confirmed technology stack, environment strategy, cost-optimization rules, app-store publishing, and the monitoring approach.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950"/>
        <w:gridCol w:w="4150"/>
        <w:gridCol w:w="950"/>
        <w:gridCol w:w="950"/>
        <w:gridCol w:w="1440"/>
        <w:gridCol w:w="1640"/>
      </w:tblGrid>
      <w:tr>
        <w:trPr>
          <w:tblHeader/>
        </w:trPr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 ID</w:t>
            </w:r>
          </w:p>
        </w:tc>
        <w:tc>
          <w:tcPr>
            <w:tcW w:type="dxa" w:w="4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/ Reference</w:t>
            </w:r>
          </w:p>
        </w:tc>
        <w:tc>
          <w:tcPr>
            <w:tcW w:type="dxa" w:w="1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FR-INFRA-01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PostgreSQL on AWS RDS shall be the platform database, selected over DynamoDB for complex queries and structured schema needs across member/event/payment relationships.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08-Apr-26, DR-001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FR-INFRA-02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AWS infrastructure shall operate under a dedicated Prodian AWS account, migrated from the prior Mobility (Mobil80) account.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DR-073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FR-INFRA-03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Dev, SIT, and Production environments shall be maintained separately; initial infra sizing shall be 2-core CPU / 8GB RAM; a dedicated technical IAM user shall be used for deployment, separate from admin/root.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Platform-wide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FR-INFRA-04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Server shutdown scheduling shall be introduced for non-business hours; the AWS cost model shall remain usage-based (pay-as-you-go) until Production rollout.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16-Jun-26, DR-007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FR-INFRA-05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RDS shall be excluded from initial infrastructure; backups shall run to S3 only until data volume warrants introducing RDS.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19-Jun-26, DR-008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FR-INFRA-06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CloudFront pricing shall be accounted for at $0.008 per 1,000 requests (region-variable), folded into the infrastructure cost plan for accurate client billing transparency.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19-Jun-26, DR-009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FR-INFRA-07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 consolidated AWS + Karix cost/usage dashboard with alert thresholds shall be maintained.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10-Aug-26, DR-010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FR-INFRA-08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Google Play Store identity shall use DUNS-based verification (completed); the Apple App Store shall use a new dedicated App ID "Alumnye," resolving the "Alumni" name conflict by detaching the prior Mobil80-linked application.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17-Jun-26, DR-075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FR-INFRA-09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public website shall be scoped to a minimal "Coming Soon" launch page (banner, early-bird capture, Privacy Policy link, footer), avoiding feature disclosure ahead of launch while satisfying app-store review requirements for a live website with a Privacy Policy link.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09-Jul-26, DR-076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FR-INFRA-10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Application performance monitoring shall continue using cloud-provider monitoring (CPU, disk, uptime, resource usage) for the current single-application footprint; dedicated APM tooling (e.g. Sentry) shall be deferred until the number of services/apps grows materially.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DR-080/D10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FR-INFRA-11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domain (alumnye.com) shall be managed via GoDaddy, with DNS/MX managed by the Alumnye/Alumwhale team.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Platform-wide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4.11  Testing, QA &amp; Release Governance</w:t>
      </w:r>
    </w:p>
    <w:p>
      <w:pPr>
        <w:spacing w:after="160" w:before="0" w:line="264" w:lineRule="auto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Covers the testing sequencing strategy, the unit test coverage target (flagging the OI-09 inconsistency), the production-like staging environment, the release gate requiring test sign-off and screenshot evidence, and the code-size guideline.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950"/>
        <w:gridCol w:w="4150"/>
        <w:gridCol w:w="950"/>
        <w:gridCol w:w="950"/>
        <w:gridCol w:w="1440"/>
        <w:gridCol w:w="1640"/>
      </w:tblGrid>
      <w:tr>
        <w:trPr>
          <w:tblHeader/>
        </w:trPr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 ID</w:t>
            </w:r>
          </w:p>
        </w:tc>
        <w:tc>
          <w:tcPr>
            <w:tcW w:type="dxa" w:w="4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/ Reference</w:t>
            </w:r>
          </w:p>
        </w:tc>
        <w:tc>
          <w:tcPr>
            <w:tcW w:type="dxa" w:w="1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FR-TEST-01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Testing shall be sequenced: first stabilise happy-path functional behaviour, then systematically build regression and sanity packs for functional coverage, then phased security testing (source-code security checks, DAST, API functional + security testing, penetration testing).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Testing Team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DR-097/D2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FR-TEST-02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Role split shall be enforced: design/development owns building expected functionality and core security controls; testing independently validates these work as intended, surfaces design/security gaps, rates inherent risk, and gives the business actionable feedback.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Dev Team / Testing Team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DR-098/D3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FR-TEST-03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Regression coverage shall include the core end-to-end journey: new user → login → OTP → profile creation → payment → join event, automated via TestSigma (video-to-regression) and MCP + Visual Studio (natural-language-to-test generation).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Testing Team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FR-TEST-04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Load/performance testing shall use JMeter for realistic concurrent-login and bulk-upload scenarios.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Testing Team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FR-TEST-05</w:t>
            </w:r>
          </w:p>
        </w:tc>
        <w:tc>
          <w:tcPr>
            <w:tcW w:type="dxa" w:w="41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 test coverage shall be raised toward an agreed target percentage, generated via AI-assisted automated test generation (running post-dev-task, plus an additional automated run before UAT/production); developers shall share test suites/results with the testing team.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Dev Team / Testing Team</w:t>
            </w:r>
          </w:p>
        </w:tc>
        <w:tc>
          <w:tcPr>
            <w:tcW w:type="dxa" w:w="95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DR-099/D4</w:t>
            </w:r>
          </w:p>
        </w:tc>
        <w:tc>
          <w:tcPr>
            <w:tcW w:type="dxa" w:w="164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OI-09 open — target cited inconsistently (60–70% in action items vs. 75–80% in decisions); requires client reconciliation before this FR can be finalized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FR-TEST-06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 production-like staging environment, populated with realistic data (e.g. the GreenBuddy tournament dataset), shall be used for testing, reconciliation, and validation ahead of production.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Testing Team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DR-100/D5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FR-TEST-07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 feature shall be released to end users only after the testing team has delivered unit testing, device/external-integration testing, and cross-browser testing reports for that feature; screenshots must be captured during testing as delivery evidence.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Testing Team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— release gate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18-Aug-26, DR-103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FR-TEST-08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Code components shall target ~500 lines of code, with ~1,500 LOC as a manageable upper bound, avoiding monolithic files of 5,000–7,000+ LOC.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Dev Team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DR-101/D9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FR-TEST-09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 daily-review Post-Go-Live checklist shall cover release/build status, user/download/AI-token analytics, the four support inboxes, App/Play Store rating targets (≥4.0), test-team reports/open defects, Golf data integrity, infra/performance, and the roadmap-priority tracker.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Delivery Team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 — effective 30-Jul-26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Alumnye_PostGoLive_Checklist_v1.0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FR-TEST-10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Anchor/client shall be enabled to dogfood the member journey end-to-end (e.g. retaining a designated test mobile number in contacts) as a validation practice.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Indeevar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DR-102/D11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FR-TEST-11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Following a quality escalation, code owners shall personally review unit tests and static content per commit, block hardcoded values from reaching production, and expand test coverage to catch flow/static-text issues, not just functional outcomes.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Sathish / Dev Team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25-Aug-26, AI-2508-03/D4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4.12  Security &amp; Compliance</w:t>
      </w:r>
    </w:p>
    <w:p>
      <w:pPr>
        <w:spacing w:after="160" w:before="0" w:line="264" w:lineRule="auto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Covers AI guardrails against data leakage, file-upload hardening, secrets management, and the DPDP Act-aligned consent/anonymization architecture.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950"/>
        <w:gridCol w:w="4150"/>
        <w:gridCol w:w="950"/>
        <w:gridCol w:w="950"/>
        <w:gridCol w:w="1440"/>
        <w:gridCol w:w="1640"/>
      </w:tblGrid>
      <w:tr>
        <w:trPr>
          <w:tblHeader/>
        </w:trPr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 ID</w:t>
            </w:r>
          </w:p>
        </w:tc>
        <w:tc>
          <w:tcPr>
            <w:tcW w:type="dxa" w:w="4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/ Reference</w:t>
            </w:r>
          </w:p>
        </w:tc>
        <w:tc>
          <w:tcPr>
            <w:tcW w:type="dxa" w:w="1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FR-SEC-01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File uploads shall be treated as a high-risk entry point: restrict allowed file types, block malware/auto-execute content, start with conservative size limits vs. the ~50MB API-wide limit, relax later with documented justification; some sensitive upload types restricted to Anchors only.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DR-104/D7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FR-SEC-02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hardcoded secrets (e.g. DB passwords, API keys, OTP test values) shall be removed from source code and repositories and loaded dynamically from a secret manager/vault; a second-line confirmation scan of the codebase/GitHub repos shall be performed.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Dev Team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DR-105/D8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FR-SEC-03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AI safety guardrails shall ensure: no Alumnye name/company references/contact details/project-specific data in AI prompts; human review mandatory before any AI-generated recommendation is finalized; no internal-prompt leakage; no sensitive system-data generation; AI outputs must be verifiable.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 (AI)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DR-033; MPN §11.6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FR-SEC-04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PII and no platform name ("Alumnye") shall be sent in prompts to external LLMs; all AI calls shall be proxied through an audited Spring Boot gateway writing to ai_audit_log.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Mobile v1.2 build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RULE-012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FR-SEC-05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Individual poll/survey responses shall be anonymized by default, even from Anchors; RSVP Yes/No is the sole exception; consent shall be split into contextual notices plus blanket consent to avoid consent fatigue.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DR-039–043, DR-088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FR-SEC-06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Privacy Policy shall be structured into explicit User-Provided Data / Automatically Collected Data / Data Not Collected sections, each carrying a periodic-review commitment.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16-Jun-26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FR-SEC-07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 Anchor shall be barred from viewing private member-to-member messages once that feature exists.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Post-Alpha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Platform-wide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FR-SEC-08</w:t>
            </w:r>
          </w:p>
        </w:tc>
        <w:tc>
          <w:tcPr>
            <w:tcW w:type="dxa" w:w="41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Consent and Terms &amp; Conditions acceptance shall be captured at first login as the standing pattern for all new groups/clients (cross-references FR-UM-16).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 / System</w:t>
            </w:r>
          </w:p>
        </w:tc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DR-088/D20</w:t>
            </w:r>
          </w:p>
        </w:tc>
        <w:tc>
          <w:tcPr>
            <w:tcW w:type="dxa" w:w="164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FR-SEC-09</w:t>
            </w:r>
          </w:p>
        </w:tc>
        <w:tc>
          <w:tcPr>
            <w:tcW w:type="dxa" w:w="4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platform's regulatory context — DPDP Act 2023, TRAI DLT registration (SMS templates/sender), IT Act 2000, and SPDI Rules 2011 — shall shape consent capture, data-subject rights, and messaging design throughout the platform.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Platform-wide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 Non-Functional Requirements</w:t>
      </w:r>
    </w:p>
    <w:p>
      <w:pPr>
        <w:spacing w:after="180" w:before="0" w:line="264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following platform-wide non-functional requirements are derived directly from confirmed decisions in the source timeline — covering platform compatibility, monitoring, cost-optimization constraints, security guardrails, code maintainability, release quality, and privacy compliance.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950"/>
        <w:gridCol w:w="5680"/>
        <w:gridCol w:w="1450"/>
        <w:gridCol w:w="2000"/>
      </w:tblGrid>
      <w:tr>
        <w:trPr>
          <w:tblHeader/>
        </w:trPr>
        <w:tc>
          <w:tcPr>
            <w:tcW w:type="dxa" w:w="9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NFR ID</w:t>
            </w:r>
          </w:p>
        </w:tc>
        <w:tc>
          <w:tcPr>
            <w:tcW w:type="dxa" w:w="568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4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/ Reference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NFR-01</w:t>
            </w:r>
          </w:p>
        </w:tc>
        <w:tc>
          <w:tcPr>
            <w:tcW w:type="dxa" w:w="5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platform's mobile clients shall support Android 7.0 (API 24) and above, target/compile SDK 35, and iOS 15.1 and above (Xcode 16.x, iOS SDK 18.x).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Release v1.3.0 notes, 30-Aug-26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NFR-02</w:t>
            </w:r>
          </w:p>
        </w:tc>
        <w:tc>
          <w:tcPr>
            <w:tcW w:type="dxa" w:w="568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Application performance shall be monitored via cloud-provider tooling (CPU, disk, uptime, resource usage) for the current single-application footprint; dedicated APM tooling (e.g. Sentry) is deferred until the number of services/apps grows materially, revisited periodically.</w:t>
            </w:r>
          </w:p>
        </w:tc>
        <w:tc>
          <w:tcPr>
            <w:tcW w:type="dxa" w:w="14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Monitoring / Observability</w:t>
            </w:r>
          </w:p>
        </w:tc>
        <w:tc>
          <w:tcPr>
            <w:tcW w:type="dxa" w:w="200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DR-080/D10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NFR-03</w:t>
            </w:r>
          </w:p>
        </w:tc>
        <w:tc>
          <w:tcPr>
            <w:tcW w:type="dxa" w:w="5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AWS infrastructure costs shall remain usage-based (pay-as-you-go) until Production rollout; RDS shall be excluded from initial infrastructure (S3-only backups) until data volume warrants it; a consolidated AWS+Karix cost/usage dashboard with alert thresholds shall be maintained.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Cost / Infrastructure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DR-007, DR-008, DR-010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NFR-04</w:t>
            </w:r>
          </w:p>
        </w:tc>
        <w:tc>
          <w:tcPr>
            <w:tcW w:type="dxa" w:w="568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PII and no platform name ("Alumnye") shall be transmitted in prompts to external LLMs; all AI calls shall be proxied through an audited Spring Boot gateway writing to ai_audit_log; AI outputs must be human-reviewed and verifiable before use.</w:t>
            </w:r>
          </w:p>
        </w:tc>
        <w:tc>
          <w:tcPr>
            <w:tcW w:type="dxa" w:w="14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Security / AI Guardrails</w:t>
            </w:r>
          </w:p>
        </w:tc>
        <w:tc>
          <w:tcPr>
            <w:tcW w:type="dxa" w:w="200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RULE-012; DR-033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NFR-05</w:t>
            </w:r>
          </w:p>
        </w:tc>
        <w:tc>
          <w:tcPr>
            <w:tcW w:type="dxa" w:w="5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File uploads shall be restricted by type, scanned/blocked for malware and auto-execute content, and subject to conservative size limits (small MBs for notice-board/contact uploads vs. the ~50MB API-wide limit), relaxed later only with documented justification.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DR-104/D7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NFR-06</w:t>
            </w:r>
          </w:p>
        </w:tc>
        <w:tc>
          <w:tcPr>
            <w:tcW w:type="dxa" w:w="568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hardcoded secrets (DB passwords, API keys, OTP test values) shall be removed from source code/repositories and loaded from a secret manager/vault.</w:t>
            </w:r>
          </w:p>
        </w:tc>
        <w:tc>
          <w:tcPr>
            <w:tcW w:type="dxa" w:w="14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200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DR-105/D8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NFR-07</w:t>
            </w:r>
          </w:p>
        </w:tc>
        <w:tc>
          <w:tcPr>
            <w:tcW w:type="dxa" w:w="5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Individual application code components shall target ~500 lines of code, with ~1,500 LOC as a manageable upper bound, to keep partner swaps and feature-flag changes easy to localise.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DR-101/D9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NFR-08</w:t>
            </w:r>
          </w:p>
        </w:tc>
        <w:tc>
          <w:tcPr>
            <w:tcW w:type="dxa" w:w="568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 feature shall be released to end users only after the testing team delivers unit, device/external-integration, and cross-browser test reports for that feature, with screenshots captured as delivery evidence.</w:t>
            </w:r>
          </w:p>
        </w:tc>
        <w:tc>
          <w:tcPr>
            <w:tcW w:type="dxa" w:w="14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Release Quality</w:t>
            </w:r>
          </w:p>
        </w:tc>
        <w:tc>
          <w:tcPr>
            <w:tcW w:type="dxa" w:w="200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18-Aug-26, DR-103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NFR-09</w:t>
            </w:r>
          </w:p>
        </w:tc>
        <w:tc>
          <w:tcPr>
            <w:tcW w:type="dxa" w:w="5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App Store / Play Store rating shall be maintained at ≥4.0 as an operational quality target, tracked via the daily Post-Go-Live checklist.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Product Quality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Alumnye_PostGoLive_Checklist_v1.0</w:t>
            </w:r>
          </w:p>
        </w:tc>
      </w:tr>
      <w:tr>
        <w:tc>
          <w:tcPr>
            <w:tcW w:type="dxa" w:w="9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NFR-10</w:t>
            </w:r>
          </w:p>
        </w:tc>
        <w:tc>
          <w:tcPr>
            <w:tcW w:type="dxa" w:w="568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Consent and Terms &amp; Conditions acceptance shall be captured at first login for every new group/client, with consent logs retained, in alignment with DPDP Act 2023, IT Act 2000, and SPDI Rules 2011.</w:t>
            </w:r>
          </w:p>
        </w:tc>
        <w:tc>
          <w:tcPr>
            <w:tcW w:type="dxa" w:w="145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Privacy / Compliance</w:t>
            </w:r>
          </w:p>
        </w:tc>
        <w:tc>
          <w:tcPr>
            <w:tcW w:type="dxa" w:w="2000"/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24-Aug-26, DR-088/D20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 Open Items Affecting Functional Scope</w:t>
      </w:r>
    </w:p>
    <w:p>
      <w:pPr>
        <w:spacing w:after="180" w:before="0" w:line="264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items below are unresolved as of the 30 August 2026 cutoff and directly gate one or more functional requirements in Section 4 (cross-referenced in each item's Status column and in the gated requirement's Notes column). Rows are shaded to match the flagged rows in Section 4.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900"/>
        <w:gridCol w:w="4200"/>
        <w:gridCol w:w="1500"/>
        <w:gridCol w:w="1200"/>
        <w:gridCol w:w="228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Since</w:t>
            </w:r>
          </w:p>
        </w:tc>
        <w:tc>
          <w:tcPr>
            <w:tcW w:type="dxa" w:w="228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OI-01</w:t>
            </w:r>
          </w:p>
        </w:tc>
        <w:tc>
          <w:tcPr>
            <w:tcW w:type="dxa" w:w="4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Payment custody legal model (trust account vs. direct pass-through)</w:t>
            </w:r>
          </w:p>
        </w:tc>
        <w:tc>
          <w:tcPr>
            <w:tcW w:type="dxa" w:w="15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Indeevar</w:t>
            </w:r>
          </w:p>
        </w:tc>
        <w:tc>
          <w:tcPr>
            <w:tcW w:type="dxa" w:w="1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26 Jun</w:t>
            </w:r>
          </w:p>
        </w:tc>
        <w:tc>
          <w:tcPr>
            <w:tcW w:type="dxa" w:w="228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Pending legal / RBI input — gates FR-PAY-02, FR-PAY-09</w:t>
            </w:r>
          </w:p>
        </w:tc>
      </w:tr>
      <w:tr>
        <w:tc>
          <w:tcPr>
            <w:tcW w:type="dxa" w:w="9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OI-02</w:t>
            </w:r>
          </w:p>
        </w:tc>
        <w:tc>
          <w:tcPr>
            <w:tcW w:type="dxa" w:w="4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Whether Delta proceeds "detached" from payment entirely</w:t>
            </w:r>
          </w:p>
        </w:tc>
        <w:tc>
          <w:tcPr>
            <w:tcW w:type="dxa" w:w="15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Indeevar</w:t>
            </w:r>
          </w:p>
        </w:tc>
        <w:tc>
          <w:tcPr>
            <w:tcW w:type="dxa" w:w="1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26 Jun</w:t>
            </w:r>
          </w:p>
        </w:tc>
        <w:tc>
          <w:tcPr>
            <w:tcW w:type="dxa" w:w="228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Pending — gates the entire payment architecture</w:t>
            </w:r>
          </w:p>
        </w:tc>
      </w:tr>
      <w:tr>
        <w:tc>
          <w:tcPr>
            <w:tcW w:type="dxa" w:w="9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OI-03</w:t>
            </w:r>
          </w:p>
        </w:tc>
        <w:tc>
          <w:tcPr>
            <w:tcW w:type="dxa" w:w="4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Poll-answer visibility to Members after submission (own answers vs. aggregate)</w:t>
            </w:r>
          </w:p>
        </w:tc>
        <w:tc>
          <w:tcPr>
            <w:tcW w:type="dxa" w:w="15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Indeevar / Sathish</w:t>
            </w:r>
          </w:p>
        </w:tc>
        <w:tc>
          <w:tcPr>
            <w:tcW w:type="dxa" w:w="1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 Jun</w:t>
            </w:r>
          </w:p>
        </w:tc>
        <w:tc>
          <w:tcPr>
            <w:tcW w:type="dxa" w:w="228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Deferred / pending decision</w:t>
            </w:r>
          </w:p>
        </w:tc>
      </w:tr>
      <w:tr>
        <w:tc>
          <w:tcPr>
            <w:tcW w:type="dxa" w:w="9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OI-04</w:t>
            </w:r>
          </w:p>
        </w:tc>
        <w:tc>
          <w:tcPr>
            <w:tcW w:type="dxa" w:w="4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Configurable RSVP cap per event — exact numeric limit</w:t>
            </w:r>
          </w:p>
        </w:tc>
        <w:tc>
          <w:tcPr>
            <w:tcW w:type="dxa" w:w="15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Indeevar</w:t>
            </w:r>
          </w:p>
        </w:tc>
        <w:tc>
          <w:tcPr>
            <w:tcW w:type="dxa" w:w="1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 Jun</w:t>
            </w:r>
          </w:p>
        </w:tc>
        <w:tc>
          <w:tcPr>
            <w:tcW w:type="dxa" w:w="228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Pending specification — gates FR-EVT-08</w:t>
            </w:r>
          </w:p>
        </w:tc>
      </w:tr>
      <w:tr>
        <w:tc>
          <w:tcPr>
            <w:tcW w:type="dxa" w:w="9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OI-05</w:t>
            </w:r>
          </w:p>
        </w:tc>
        <w:tc>
          <w:tcPr>
            <w:tcW w:type="dxa" w:w="4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Karix vs. Netcore final vendor decision</w:t>
            </w:r>
          </w:p>
        </w:tc>
        <w:tc>
          <w:tcPr>
            <w:tcW w:type="dxa" w:w="15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Anand</w:t>
            </w:r>
          </w:p>
        </w:tc>
        <w:tc>
          <w:tcPr>
            <w:tcW w:type="dxa" w:w="1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10–11 Aug</w:t>
            </w:r>
          </w:p>
        </w:tc>
        <w:tc>
          <w:tcPr>
            <w:tcW w:type="dxa" w:w="228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Pending SLA responses from both vendors</w:t>
            </w:r>
          </w:p>
        </w:tc>
      </w:tr>
      <w:tr>
        <w:tc>
          <w:tcPr>
            <w:tcW w:type="dxa" w:w="9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OI-06</w:t>
            </w:r>
          </w:p>
        </w:tc>
        <w:tc>
          <w:tcPr>
            <w:tcW w:type="dxa" w:w="4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Sandeep duplicate-account RCA (backend-added accounts bypassing forced capture step)</w:t>
            </w:r>
          </w:p>
        </w:tc>
        <w:tc>
          <w:tcPr>
            <w:tcW w:type="dxa" w:w="15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Dev Team</w:t>
            </w:r>
          </w:p>
        </w:tc>
        <w:tc>
          <w:tcPr>
            <w:tcW w:type="dxa" w:w="1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27 Jul</w:t>
            </w:r>
          </w:p>
        </w:tc>
        <w:tc>
          <w:tcPr>
            <w:tcW w:type="dxa" w:w="228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Open, no fix scoped yet</w:t>
            </w:r>
          </w:p>
        </w:tc>
      </w:tr>
      <w:tr>
        <w:tc>
          <w:tcPr>
            <w:tcW w:type="dxa" w:w="9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OI-07</w:t>
            </w:r>
          </w:p>
        </w:tc>
        <w:tc>
          <w:tcPr>
            <w:tcW w:type="dxa" w:w="4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Golf games-played counter drift — re-sync fix</w:t>
            </w:r>
          </w:p>
        </w:tc>
        <w:tc>
          <w:tcPr>
            <w:tcW w:type="dxa" w:w="15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Dev Team</w:t>
            </w:r>
          </w:p>
        </w:tc>
        <w:tc>
          <w:tcPr>
            <w:tcW w:type="dxa" w:w="1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 Aug</w:t>
            </w:r>
          </w:p>
        </w:tc>
        <w:tc>
          <w:tcPr>
            <w:tcW w:type="dxa" w:w="228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Recommended fix not yet actioned — gates FR-GOLF-16</w:t>
            </w:r>
          </w:p>
        </w:tc>
      </w:tr>
      <w:tr>
        <w:tc>
          <w:tcPr>
            <w:tcW w:type="dxa" w:w="9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OI-08</w:t>
            </w:r>
          </w:p>
        </w:tc>
        <w:tc>
          <w:tcPr>
            <w:tcW w:type="dxa" w:w="4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Regulatory confirmation on fund-holding for multi-merchant payments</w:t>
            </w:r>
          </w:p>
        </w:tc>
        <w:tc>
          <w:tcPr>
            <w:tcW w:type="dxa" w:w="15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Anand / Legal</w:t>
            </w:r>
          </w:p>
        </w:tc>
        <w:tc>
          <w:tcPr>
            <w:tcW w:type="dxa" w:w="1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 Aug</w:t>
            </w:r>
          </w:p>
        </w:tc>
        <w:tc>
          <w:tcPr>
            <w:tcW w:type="dxa" w:w="228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Required before roadmap build — gates FR-PAY-12</w:t>
            </w:r>
          </w:p>
        </w:tc>
      </w:tr>
      <w:tr>
        <w:tc>
          <w:tcPr>
            <w:tcW w:type="dxa" w:w="9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OI-09</w:t>
            </w:r>
          </w:p>
        </w:tc>
        <w:tc>
          <w:tcPr>
            <w:tcW w:type="dxa" w:w="4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 test coverage target cited inconsistently (60–70% vs. 75–80%)</w:t>
            </w:r>
          </w:p>
        </w:tc>
        <w:tc>
          <w:tcPr>
            <w:tcW w:type="dxa" w:w="15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Sathish / Gurusamy</w:t>
            </w:r>
          </w:p>
        </w:tc>
        <w:tc>
          <w:tcPr>
            <w:tcW w:type="dxa" w:w="1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 Aug</w:t>
            </w:r>
          </w:p>
        </w:tc>
        <w:tc>
          <w:tcPr>
            <w:tcW w:type="dxa" w:w="228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Pending reconciliation — gates FR-TEST-05</w:t>
            </w:r>
          </w:p>
        </w:tc>
      </w:tr>
      <w:tr>
        <w:tc>
          <w:tcPr>
            <w:tcW w:type="dxa" w:w="9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OI-10</w:t>
            </w:r>
          </w:p>
        </w:tc>
        <w:tc>
          <w:tcPr>
            <w:tcW w:type="dxa" w:w="4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New testing lead's name ("Vigneswar") + unattributed transcript speakers</w:t>
            </w:r>
          </w:p>
        </w:tc>
        <w:tc>
          <w:tcPr>
            <w:tcW w:type="dxa" w:w="15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Anand / organiser</w:t>
            </w:r>
          </w:p>
        </w:tc>
        <w:tc>
          <w:tcPr>
            <w:tcW w:type="dxa" w:w="1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 Aug</w:t>
            </w:r>
          </w:p>
        </w:tc>
        <w:tc>
          <w:tcPr>
            <w:tcW w:type="dxa" w:w="228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Pending confirmation (administrative, non-functional)</w:t>
            </w:r>
          </w:p>
        </w:tc>
      </w:tr>
      <w:tr>
        <w:tc>
          <w:tcPr>
            <w:tcW w:type="dxa" w:w="9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OI-11</w:t>
            </w:r>
          </w:p>
        </w:tc>
        <w:tc>
          <w:tcPr>
            <w:tcW w:type="dxa" w:w="4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Vendor name "Kairix" in one transcript — standardised to "Karix"</w:t>
            </w:r>
          </w:p>
        </w:tc>
        <w:tc>
          <w:tcPr>
            <w:tcW w:type="dxa" w:w="15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Dev Team</w:t>
            </w:r>
          </w:p>
        </w:tc>
        <w:tc>
          <w:tcPr>
            <w:tcW w:type="dxa" w:w="1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 Aug</w:t>
            </w:r>
          </w:p>
        </w:tc>
        <w:tc>
          <w:tcPr>
            <w:tcW w:type="dxa" w:w="228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Pending confirmation (administrative, non-functional)</w:t>
            </w:r>
          </w:p>
        </w:tc>
      </w:tr>
      <w:tr>
        <w:tc>
          <w:tcPr>
            <w:tcW w:type="dxa" w:w="9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OI-12</w:t>
            </w:r>
          </w:p>
        </w:tc>
        <w:tc>
          <w:tcPr>
            <w:tcW w:type="dxa" w:w="4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Member profile field mix — Experience/Education → Preferences</w:t>
            </w:r>
          </w:p>
        </w:tc>
        <w:tc>
          <w:tcPr>
            <w:tcW w:type="dxa" w:w="15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Indeevar / Sathish</w:t>
            </w:r>
          </w:p>
        </w:tc>
        <w:tc>
          <w:tcPr>
            <w:tcW w:type="dxa" w:w="1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 Aug</w:t>
            </w:r>
          </w:p>
        </w:tc>
        <w:tc>
          <w:tcPr>
            <w:tcW w:type="dxa" w:w="228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Under consideration — gates FR-PROF-13</w:t>
            </w:r>
          </w:p>
        </w:tc>
      </w:tr>
      <w:tr>
        <w:tc>
          <w:tcPr>
            <w:tcW w:type="dxa" w:w="9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OI-13</w:t>
            </w:r>
          </w:p>
        </w:tc>
        <w:tc>
          <w:tcPr>
            <w:tcW w:type="dxa" w:w="4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Billing module flagged as next immediate requirement</w:t>
            </w:r>
          </w:p>
        </w:tc>
        <w:tc>
          <w:tcPr>
            <w:tcW w:type="dxa" w:w="15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Indeevar</w:t>
            </w:r>
          </w:p>
        </w:tc>
        <w:tc>
          <w:tcPr>
            <w:tcW w:type="dxa" w:w="1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 Aug</w:t>
            </w:r>
          </w:p>
        </w:tc>
        <w:tc>
          <w:tcPr>
            <w:tcW w:type="dxa" w:w="228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Scope not yet defined — gates FR-PAY-14</w:t>
            </w:r>
          </w:p>
        </w:tc>
      </w:tr>
      <w:tr>
        <w:tc>
          <w:tcPr>
            <w:tcW w:type="dxa" w:w="9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OI-14</w:t>
            </w:r>
          </w:p>
        </w:tc>
        <w:tc>
          <w:tcPr>
            <w:tcW w:type="dxa" w:w="4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Downstream-impact check for CSGI 40 backend-upload onboarding</w:t>
            </w:r>
          </w:p>
        </w:tc>
        <w:tc>
          <w:tcPr>
            <w:tcW w:type="dxa" w:w="15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Dev Team</w:t>
            </w:r>
          </w:p>
        </w:tc>
        <w:tc>
          <w:tcPr>
            <w:tcW w:type="dxa" w:w="1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 Aug</w:t>
            </w:r>
          </w:p>
        </w:tc>
        <w:tc>
          <w:tcPr>
            <w:tcW w:type="dxa" w:w="228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Pending — gates FR-UM-14</w:t>
            </w:r>
          </w:p>
        </w:tc>
      </w:tr>
      <w:tr>
        <w:tc>
          <w:tcPr>
            <w:tcW w:type="dxa" w:w="9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OI-15</w:t>
            </w:r>
          </w:p>
        </w:tc>
        <w:tc>
          <w:tcPr>
            <w:tcW w:type="dxa" w:w="4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Proof-of-payment OCR workflow — design doc pending; targeted v1.4+/v1.5</w:t>
            </w:r>
          </w:p>
        </w:tc>
        <w:tc>
          <w:tcPr>
            <w:tcW w:type="dxa" w:w="15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Dev Team</w:t>
            </w:r>
          </w:p>
        </w:tc>
        <w:tc>
          <w:tcPr>
            <w:tcW w:type="dxa" w:w="1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 &amp; 24 Aug</w:t>
            </w:r>
          </w:p>
        </w:tc>
        <w:tc>
          <w:tcPr>
            <w:tcW w:type="dxa" w:w="228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Pending — gates FR-PAY-13</w:t>
            </w:r>
          </w:p>
        </w:tc>
      </w:tr>
      <w:tr>
        <w:tc>
          <w:tcPr>
            <w:tcW w:type="dxa" w:w="9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OI-16</w:t>
            </w:r>
          </w:p>
        </w:tc>
        <w:tc>
          <w:tcPr>
            <w:tcW w:type="dxa" w:w="4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Long-term group-vs-event entitlement matrix (by community type)</w:t>
            </w:r>
          </w:p>
        </w:tc>
        <w:tc>
          <w:tcPr>
            <w:tcW w:type="dxa" w:w="15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Indeevar / Dev Team</w:t>
            </w:r>
          </w:p>
        </w:tc>
        <w:tc>
          <w:tcPr>
            <w:tcW w:type="dxa" w:w="120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 Aug</w:t>
            </w:r>
          </w:p>
        </w:tc>
        <w:tc>
          <w:tcPr>
            <w:tcW w:type="dxa" w:w="2280"/>
            <w:shd w:fill="FDEE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3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Direction agreed, not yet specified — gates FR-EVT-21</w:t>
            </w:r>
          </w:p>
        </w:tc>
      </w:tr>
    </w:tbl>
    <w:p>
      <w:pPr>
        <w:spacing w:after="200"/>
      </w:pPr>
    </w:p>
    <w:p>
      <w:pPr>
        <w:spacing w:after="120" w:before="0" w:line="264" w:lineRule="auto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Two items above (OI-01/OI-02) gate the entire payment-custody model described in FR-PAY-02 and FR-PAY-09–12; one item (OI-09) gates the unit-test-coverage requirement FR-TEST-05 and is flagged for client reconciliation rather than presented as a settled target.</w:t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 Traceability Note</w:t>
      </w:r>
    </w:p>
    <w:p>
      <w:pPr>
        <w:spacing w:after="0" w:before="0" w:line="264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Every functional requirement in Section 4 traces to a dated Meeting-of-Minutes (MoM) entry or a numbered Decision Records ID (DR-###) as cited in that requirement's Source/Reference column; several rows additionally carry a business-rule identifier (e.g. RULE-PAY-001, RULE-001–RULE-012) drawn from the current mobile build. Where a requirement remains gated by an unresolved decision, the corresponding Open Items ID (OI-##, Section 6) is cited in the Notes column so that downstream planning, test-case authoring, and client sign-off can track exactly which requirements are final versus contingent. This FRD states what the system must do; the three role-based FSDs — FSD_Alumnye_Anchor, FSD_Alumnye_Member, and FSD_Alumnye_PassiveContent_QuickLaunch — provide the corresponding UI/screen-level functional detail (screen flows, field layouts, validation messaging) and should be read alongside this document rather than in place of it.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5"/>
        <w:szCs w:val="15"/>
      </w:rPr>
      <w:t xml:space="preserve">Page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5"/>
        <w:szCs w:val="15"/>
      </w:rPr>
      <w:t xml:space="preserve"> of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rFonts w:ascii="Calibri" w:cs="Calibri" w:eastAsia="Calibri" w:hAnsi="Calibri"/>
        <w:color w:val="777777"/>
        <w:sz w:val="15"/>
        <w:szCs w:val="15"/>
      </w:rPr>
      <w:t xml:space="preserve">Alumnye Platform — Functional Requirements Document</w:t>
    </w:r>
    <w:r>
      <w:rPr>
        <w:rFonts w:ascii="Calibri" w:cs="Calibri" w:eastAsia="Calibri" w:hAnsi="Calibri"/>
        <w:color w:val="777777"/>
        <w:sz w:val="15"/>
        <w:szCs w:val="15"/>
      </w:rPr>
      <w:t xml:space="preserve">	v1.0 —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05768A49BE51438E9C6EDE10D9AE6E" ma:contentTypeVersion="9" ma:contentTypeDescription="Create a new document." ma:contentTypeScope="" ma:versionID="8563f8f1e598188302a3178b05c207a4">
  <xsd:schema xmlns:xsd="http://www.w3.org/2001/XMLSchema" xmlns:xs="http://www.w3.org/2001/XMLSchema" xmlns:p="http://schemas.microsoft.com/office/2006/metadata/properties" xmlns:ns2="fa9fdff7-c306-49b8-91ba-962b4dc952cb" xmlns:ns3="fa2f4560-f118-4f61-a305-660cb9113c0b" targetNamespace="http://schemas.microsoft.com/office/2006/metadata/properties" ma:root="true" ma:fieldsID="cac954ef73a6335fbf5633bdbe80605f" ns2:_="" ns3:_="">
    <xsd:import namespace="fa9fdff7-c306-49b8-91ba-962b4dc952cb"/>
    <xsd:import namespace="fa2f4560-f118-4f61-a305-660cb9113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9fdff7-c306-49b8-91ba-962b4dc952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834a40c-0e66-4f2b-abbe-eaf14f47cb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f4560-f118-4f61-a305-660cb9113c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c2ef27b-8165-4788-841c-c71c7b4f01b6}" ma:internalName="TaxCatchAll" ma:showField="CatchAllData" ma:web="fa2f4560-f118-4f61-a305-660cb9113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2f4560-f118-4f61-a305-660cb9113c0b" xsi:nil="true"/>
    <lcf76f155ced4ddcb4097134ff3c332f xmlns="fa9fdff7-c306-49b8-91ba-962b4dc952c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F472709-472B-4570-9366-9DBCA3DC5B30}"/>
</file>

<file path=customXml/itemProps2.xml><?xml version="1.0" encoding="utf-8"?>
<ds:datastoreItem xmlns:ds="http://schemas.openxmlformats.org/officeDocument/2006/customXml" ds:itemID="{4C286B04-73B2-4FB5-940B-0F2EF030EF61}"/>
</file>

<file path=customXml/itemProps3.xml><?xml version="1.0" encoding="utf-8"?>
<ds:datastoreItem xmlns:ds="http://schemas.openxmlformats.org/officeDocument/2006/customXml" ds:itemID="{EC1F010E-832F-4572-9739-D1F976A9E13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2026-09-02T15:44:48Z</dcterms:created>
  <dcterms:modified xsi:type="dcterms:W3CDTF">2026-09-02T15:44:48Z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0x010100E805768A49BE51438E9C6EDE10D9AE6E</vt:lpwstr>
  </property>
</Properties>
</file>