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ALUMNYE PLATFORM</w:t>
      </w:r>
    </w:p>
    <w:p>
      <w:pPr>
        <w:spacing w:after="80"/>
        <w:jc w:val="center"/>
      </w:pPr>
      <w:r>
        <w:rPr>
          <w:b/>
          <w:bCs/>
          <w:sz w:val="26"/>
          <w:szCs w:val="26"/>
        </w:rPr>
        <w:t xml:space="preserve">Functional Specification Document</w:t>
      </w:r>
    </w:p>
    <w:p>
      <w:pPr>
        <w:spacing w:after="300"/>
        <w:jc w:val="center"/>
      </w:pPr>
      <w:r>
        <w:rPr>
          <w:b/>
          <w:bCs/>
          <w:color w:val="1F3864"/>
          <w:sz w:val="26"/>
          <w:szCs w:val="26"/>
        </w:rPr>
        <w:t xml:space="preserve">ANCHOR (ADMIN) MODULE</w:t>
      </w:r>
    </w:p>
    <w:p>
      <w:pPr>
        <w:spacing w:after="80"/>
        <w:jc w:val="center"/>
      </w:pPr>
      <w:r>
        <w:t xml:space="preserve">Document Version: 1.1  |  September 2026 (Original: April 2026)</w:t>
      </w:r>
    </w:p>
    <w:p>
      <w:pPr>
        <w:spacing w:after="80"/>
        <w:jc w:val="center"/>
      </w:pPr>
      <w:r>
        <w:t xml:space="preserve">Project: Alumnye — Alumni Engagement &amp; Event Management Platform</w:t>
      </w:r>
    </w:p>
    <w:p>
      <w:pPr>
        <w:spacing w:after="80"/>
        <w:jc w:val="center"/>
      </w:pPr>
      <w:r>
        <w:t xml:space="preserve">Prepared By: Lakshmi Chamundeeswari  |  Anand Sivaraman  |  Sathish Kumar</w:t>
      </w:r>
    </w:p>
    <w:p>
      <w:pPr>
        <w:spacing w:after="400"/>
        <w:jc w:val="center"/>
      </w:pPr>
      <w:r>
        <w:t xml:space="preserve">Client: Indeevar (Alumwhale)</w:t>
      </w:r>
    </w:p>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val="clear"/>
            <w:tcMar>
              <w:top w:type="dxa" w:w="80"/>
              <w:left w:type="dxa" w:w="100"/>
              <w:bottom w:type="dxa" w:w="80"/>
              <w:right w:type="dxa" w:w="100"/>
            </w:tcMar>
            <w:vAlign w:val="center"/>
          </w:tcPr>
          <w:p>
            <w:r>
              <w:rPr>
                <w:i w:val="false"/>
                <w:iCs w:val="false"/>
                <w:color w:val="FFFFFF"/>
                <w:sz w:val="19"/>
                <w:szCs w:val="19"/>
              </w:rPr>
              <w:t xml:space="preserve">Attribute</w:t>
            </w:r>
          </w:p>
        </w:tc>
        <w:tc>
          <w:tcPr>
            <w:tcW w:type="dxa" w:w="7680"/>
            <w:shd w:fill="1F3864" w:val="clear"/>
            <w:tcMar>
              <w:top w:type="dxa" w:w="80"/>
              <w:left w:type="dxa" w:w="100"/>
              <w:bottom w:type="dxa" w:w="80"/>
              <w:right w:type="dxa" w:w="100"/>
            </w:tcMar>
            <w:vAlign w:val="center"/>
          </w:tcPr>
          <w:p>
            <w:r>
              <w:rPr>
                <w:i w:val="false"/>
                <w:iCs w:val="false"/>
                <w:color w:val="FFFFFF"/>
                <w:sz w:val="19"/>
                <w:szCs w:val="19"/>
              </w:rPr>
              <w:t xml:space="preserve">Details</w:t>
            </w:r>
          </w:p>
        </w:tc>
      </w:tr>
      <w:tr>
        <w:tc>
          <w:tcPr>
            <w:tcW w:type="dxa" w:w="2400"/>
            <w:tcMar>
              <w:top w:type="dxa" w:w="80"/>
              <w:left w:type="dxa" w:w="100"/>
              <w:bottom w:type="dxa" w:w="80"/>
              <w:right w:type="dxa" w:w="100"/>
            </w:tcMar>
            <w:vAlign w:val="center"/>
          </w:tcPr>
          <w:p>
            <w:r>
              <w:rPr>
                <w:i w:val="false"/>
                <w:iCs w:val="false"/>
                <w:sz w:val="19"/>
                <w:szCs w:val="19"/>
              </w:rPr>
              <w:t xml:space="preserve">Document Title</w:t>
            </w:r>
          </w:p>
        </w:tc>
        <w:tc>
          <w:tcPr>
            <w:tcW w:type="dxa" w:w="7680"/>
            <w:tcMar>
              <w:top w:type="dxa" w:w="80"/>
              <w:left w:type="dxa" w:w="100"/>
              <w:bottom w:type="dxa" w:w="80"/>
              <w:right w:type="dxa" w:w="100"/>
            </w:tcMar>
            <w:vAlign w:val="center"/>
          </w:tcPr>
          <w:p>
            <w:r>
              <w:rPr>
                <w:i w:val="false"/>
                <w:iCs w:val="false"/>
                <w:sz w:val="19"/>
                <w:szCs w:val="19"/>
              </w:rPr>
              <w:t xml:space="preserve">Alumnye Platform — Functional Specification Document — Anchor Module</w:t>
            </w:r>
          </w:p>
        </w:tc>
      </w:tr>
      <w:tr>
        <w:tc>
          <w:tcPr>
            <w:tcW w:type="dxa" w:w="2400"/>
            <w:shd w:fill="F2F2F2" w:val="clear"/>
            <w:tcMar>
              <w:top w:type="dxa" w:w="80"/>
              <w:left w:type="dxa" w:w="100"/>
              <w:bottom w:type="dxa" w:w="80"/>
              <w:right w:type="dxa" w:w="100"/>
            </w:tcMar>
            <w:vAlign w:val="center"/>
          </w:tcPr>
          <w:p>
            <w:r>
              <w:rPr>
                <w:i w:val="false"/>
                <w:iCs w:val="false"/>
                <w:sz w:val="19"/>
                <w:szCs w:val="19"/>
              </w:rPr>
              <w:t xml:space="preserve">Document Type</w:t>
            </w:r>
          </w:p>
        </w:tc>
        <w:tc>
          <w:tcPr>
            <w:tcW w:type="dxa" w:w="7680"/>
            <w:shd w:fill="F2F2F2" w:val="clear"/>
            <w:tcMar>
              <w:top w:type="dxa" w:w="80"/>
              <w:left w:type="dxa" w:w="100"/>
              <w:bottom w:type="dxa" w:w="80"/>
              <w:right w:type="dxa" w:w="100"/>
            </w:tcMar>
            <w:vAlign w:val="center"/>
          </w:tcPr>
          <w:p>
            <w:r>
              <w:rPr>
                <w:i w:val="false"/>
                <w:iCs w:val="false"/>
                <w:sz w:val="19"/>
                <w:szCs w:val="19"/>
              </w:rPr>
              <w:t xml:space="preserve">Functional Specification Document (FSD)</w:t>
            </w:r>
          </w:p>
        </w:tc>
      </w:tr>
      <w:tr>
        <w:tc>
          <w:tcPr>
            <w:tcW w:type="dxa" w:w="2400"/>
            <w:tcMar>
              <w:top w:type="dxa" w:w="80"/>
              <w:left w:type="dxa" w:w="100"/>
              <w:bottom w:type="dxa" w:w="80"/>
              <w:right w:type="dxa" w:w="100"/>
            </w:tcMar>
            <w:vAlign w:val="center"/>
          </w:tcPr>
          <w:p>
            <w:r>
              <w:rPr>
                <w:i w:val="false"/>
                <w:iCs w:val="false"/>
                <w:sz w:val="19"/>
                <w:szCs w:val="19"/>
              </w:rPr>
              <w:t xml:space="preserve">Version</w:t>
            </w:r>
          </w:p>
        </w:tc>
        <w:tc>
          <w:tcPr>
            <w:tcW w:type="dxa" w:w="7680"/>
            <w:tcMar>
              <w:top w:type="dxa" w:w="80"/>
              <w:left w:type="dxa" w:w="100"/>
              <w:bottom w:type="dxa" w:w="80"/>
              <w:right w:type="dxa" w:w="100"/>
            </w:tcMar>
            <w:vAlign w:val="center"/>
          </w:tcPr>
          <w:p>
            <w:r>
              <w:rPr>
                <w:i w:val="false"/>
                <w:iCs w:val="false"/>
                <w:sz w:val="19"/>
                <w:szCs w:val="19"/>
              </w:rPr>
              <w:t xml:space="preserve">1.1</w:t>
            </w:r>
          </w:p>
        </w:tc>
      </w:tr>
      <w:tr>
        <w:tc>
          <w:tcPr>
            <w:tcW w:type="dxa" w:w="2400"/>
            <w:shd w:fill="F2F2F2" w:val="clear"/>
            <w:tcMar>
              <w:top w:type="dxa" w:w="80"/>
              <w:left w:type="dxa" w:w="100"/>
              <w:bottom w:type="dxa" w:w="80"/>
              <w:right w:type="dxa" w:w="100"/>
            </w:tcMar>
            <w:vAlign w:val="center"/>
          </w:tcPr>
          <w:p>
            <w:r>
              <w:rPr>
                <w:i w:val="false"/>
                <w:iCs w:val="false"/>
                <w:sz w:val="19"/>
                <w:szCs w:val="19"/>
              </w:rPr>
              <w:t xml:space="preserve">Status</w:t>
            </w:r>
          </w:p>
        </w:tc>
        <w:tc>
          <w:tcPr>
            <w:tcW w:type="dxa" w:w="7680"/>
            <w:shd w:fill="F2F2F2" w:val="clear"/>
            <w:tcMar>
              <w:top w:type="dxa" w:w="80"/>
              <w:left w:type="dxa" w:w="100"/>
              <w:bottom w:type="dxa" w:w="80"/>
              <w:right w:type="dxa" w:w="100"/>
            </w:tcMar>
            <w:vAlign w:val="center"/>
          </w:tcPr>
          <w:p>
            <w:r>
              <w:rPr>
                <w:i w:val="false"/>
                <w:iCs w:val="false"/>
                <w:sz w:val="19"/>
                <w:szCs w:val="19"/>
              </w:rPr>
              <w:t xml:space="preserve">Updated — Reflects Release v1.3.0</w:t>
            </w:r>
          </w:p>
        </w:tc>
      </w:tr>
      <w:tr>
        <w:tc>
          <w:tcPr>
            <w:tcW w:type="dxa" w:w="2400"/>
            <w:tcMar>
              <w:top w:type="dxa" w:w="80"/>
              <w:left w:type="dxa" w:w="100"/>
              <w:bottom w:type="dxa" w:w="80"/>
              <w:right w:type="dxa" w:w="100"/>
            </w:tcMar>
            <w:vAlign w:val="center"/>
          </w:tcPr>
          <w:p>
            <w:r>
              <w:rPr>
                <w:i w:val="false"/>
                <w:iCs w:val="false"/>
                <w:sz w:val="19"/>
                <w:szCs w:val="19"/>
              </w:rPr>
              <w:t xml:space="preserve">Date</w:t>
            </w:r>
          </w:p>
        </w:tc>
        <w:tc>
          <w:tcPr>
            <w:tcW w:type="dxa" w:w="7680"/>
            <w:tcMar>
              <w:top w:type="dxa" w:w="80"/>
              <w:left w:type="dxa" w:w="100"/>
              <w:bottom w:type="dxa" w:w="80"/>
              <w:right w:type="dxa" w:w="100"/>
            </w:tcMar>
            <w:vAlign w:val="center"/>
          </w:tcPr>
          <w:p>
            <w:r>
              <w:rPr>
                <w:i w:val="false"/>
                <w:iCs w:val="false"/>
                <w:sz w:val="19"/>
                <w:szCs w:val="19"/>
              </w:rPr>
              <w:t xml:space="preserve">Updated: September 2026 (original April 2026)</w:t>
            </w:r>
          </w:p>
        </w:tc>
      </w:tr>
      <w:tr>
        <w:tc>
          <w:tcPr>
            <w:tcW w:type="dxa" w:w="2400"/>
            <w:shd w:fill="F2F2F2" w:val="clear"/>
            <w:tcMar>
              <w:top w:type="dxa" w:w="80"/>
              <w:left w:type="dxa" w:w="100"/>
              <w:bottom w:type="dxa" w:w="80"/>
              <w:right w:type="dxa" w:w="100"/>
            </w:tcMar>
            <w:vAlign w:val="center"/>
          </w:tcPr>
          <w:p>
            <w:r>
              <w:rPr>
                <w:i w:val="false"/>
                <w:iCs w:val="false"/>
                <w:sz w:val="19"/>
                <w:szCs w:val="19"/>
              </w:rPr>
              <w:t xml:space="preserve">Prepared By</w:t>
            </w:r>
          </w:p>
        </w:tc>
        <w:tc>
          <w:tcPr>
            <w:tcW w:type="dxa" w:w="7680"/>
            <w:shd w:fill="F2F2F2" w:val="clear"/>
            <w:tcMar>
              <w:top w:type="dxa" w:w="80"/>
              <w:left w:type="dxa" w:w="100"/>
              <w:bottom w:type="dxa" w:w="80"/>
              <w:right w:type="dxa" w:w="100"/>
            </w:tcMar>
            <w:vAlign w:val="center"/>
          </w:tcPr>
          <w:p>
            <w:r>
              <w:rPr>
                <w:i w:val="false"/>
                <w:iCs w:val="false"/>
                <w:sz w:val="19"/>
                <w:szCs w:val="19"/>
              </w:rPr>
              <w:t xml:space="preserve">Lakshmi Chamundeeswari, Anand Sivaraman, Sathish Kumar</w:t>
            </w:r>
          </w:p>
        </w:tc>
      </w:tr>
      <w:tr>
        <w:tc>
          <w:tcPr>
            <w:tcW w:type="dxa" w:w="2400"/>
            <w:tcMar>
              <w:top w:type="dxa" w:w="80"/>
              <w:left w:type="dxa" w:w="100"/>
              <w:bottom w:type="dxa" w:w="80"/>
              <w:right w:type="dxa" w:w="100"/>
            </w:tcMar>
            <w:vAlign w:val="center"/>
          </w:tcPr>
          <w:p>
            <w:r>
              <w:rPr>
                <w:i w:val="false"/>
                <w:iCs w:val="false"/>
                <w:sz w:val="19"/>
                <w:szCs w:val="19"/>
              </w:rPr>
              <w:t xml:space="preserve">Reviewed By</w:t>
            </w:r>
          </w:p>
        </w:tc>
        <w:tc>
          <w:tcPr>
            <w:tcW w:type="dxa" w:w="7680"/>
            <w:tcMar>
              <w:top w:type="dxa" w:w="80"/>
              <w:left w:type="dxa" w:w="100"/>
              <w:bottom w:type="dxa" w:w="80"/>
              <w:right w:type="dxa" w:w="100"/>
            </w:tcMar>
            <w:vAlign w:val="center"/>
          </w:tcPr>
          <w:p>
            <w:r>
              <w:rPr>
                <w:i w:val="false"/>
                <w:iCs w:val="false"/>
                <w:sz w:val="19"/>
                <w:szCs w:val="19"/>
              </w:rPr>
              <w:t xml:space="preserve">Indeevar (Client / Product Owner)</w:t>
            </w:r>
          </w:p>
        </w:tc>
      </w:tr>
      <w:tr>
        <w:tc>
          <w:tcPr>
            <w:tcW w:type="dxa" w:w="2400"/>
            <w:shd w:fill="F2F2F2" w:val="clear"/>
            <w:tcMar>
              <w:top w:type="dxa" w:w="80"/>
              <w:left w:type="dxa" w:w="100"/>
              <w:bottom w:type="dxa" w:w="80"/>
              <w:right w:type="dxa" w:w="100"/>
            </w:tcMar>
            <w:vAlign w:val="center"/>
          </w:tcPr>
          <w:p>
            <w:r>
              <w:rPr>
                <w:i w:val="false"/>
                <w:iCs w:val="false"/>
                <w:sz w:val="19"/>
                <w:szCs w:val="19"/>
              </w:rPr>
              <w:t xml:space="preserve">Scope</w:t>
            </w:r>
          </w:p>
        </w:tc>
        <w:tc>
          <w:tcPr>
            <w:tcW w:type="dxa" w:w="7680"/>
            <w:shd w:fill="F2F2F2" w:val="clear"/>
            <w:tcMar>
              <w:top w:type="dxa" w:w="80"/>
              <w:left w:type="dxa" w:w="100"/>
              <w:bottom w:type="dxa" w:w="80"/>
              <w:right w:type="dxa" w:w="100"/>
            </w:tcMar>
            <w:vAlign w:val="center"/>
          </w:tcPr>
          <w:p>
            <w:r>
              <w:rPr>
                <w:i w:val="false"/>
                <w:iCs w:val="false"/>
                <w:sz w:val="19"/>
                <w:szCs w:val="19"/>
              </w:rPr>
              <w:t xml:space="preserve">Anchor (Admin) Role — All phases as documented in MoMs, Decision Records and Requirements. The standalone Golf Tournament Scoring &amp; Management add-on module is out of scope for this document (see §2.5).</w:t>
            </w:r>
          </w:p>
        </w:tc>
      </w:tr>
      <w:tr>
        <w:tc>
          <w:tcPr>
            <w:tcW w:type="dxa" w:w="2400"/>
            <w:tcMar>
              <w:top w:type="dxa" w:w="80"/>
              <w:left w:type="dxa" w:w="100"/>
              <w:bottom w:type="dxa" w:w="80"/>
              <w:right w:type="dxa" w:w="100"/>
            </w:tcMar>
            <w:vAlign w:val="center"/>
          </w:tcPr>
          <w:p>
            <w:r>
              <w:rPr>
                <w:i w:val="false"/>
                <w:iCs w:val="false"/>
                <w:sz w:val="19"/>
                <w:szCs w:val="19"/>
              </w:rPr>
              <w:t xml:space="preserve">Reference Documents</w:t>
            </w:r>
          </w:p>
        </w:tc>
        <w:tc>
          <w:tcPr>
            <w:tcW w:type="dxa" w:w="7680"/>
            <w:tcMar>
              <w:top w:type="dxa" w:w="80"/>
              <w:left w:type="dxa" w:w="100"/>
              <w:bottom w:type="dxa" w:w="80"/>
              <w:right w:type="dxa" w:w="100"/>
            </w:tcMar>
            <w:vAlign w:val="center"/>
          </w:tcPr>
          <w:p>
            <w:r>
              <w:rPr>
                <w:i w:val="false"/>
                <w:iCs w:val="false"/>
                <w:sz w:val="19"/>
                <w:szCs w:val="19"/>
              </w:rPr>
              <w:t xml:space="preserve">Alumnye Consolidated MoM (10 Mar – 3 Apr 2026); Requirements_QuickLaunch_MVP.xlsx; ProjectPlanv1_0.xlsx; Decision Records register (v1.1); Alumnye Release v1.3.0 Release Notes (30-Aug-2026); Alumnye Mobile Product Walkthrough v1.2 (08-Jul-2026); Alumnye Post-Go-Live Checklist v1.0 (companion operational governance document)</w:t>
            </w:r>
          </w:p>
        </w:tc>
      </w:tr>
    </w:tbl>
    <w:p>
      <w:pPr>
        <w:pBdr>
          <w:left w:val="single" w:color="BF9000" w:sz="12"/>
        </w:pBdr>
        <w:shd w:fill="FFF2CC" w:val="clear"/>
        <w:spacing w:after="160" w:before="80"/>
        <w:ind w:left="120"/>
      </w:pPr>
      <w:r>
        <w:rPr>
          <w:b/>
          <w:bCs/>
          <w:i/>
          <w:iCs/>
        </w:rPr>
        <w:t xml:space="preserve">Note: </w:t>
      </w:r>
      <w:r>
        <w:rPr>
          <w:i/>
          <w:iCs/>
        </w:rPr>
        <w:t xml:space="preserve">Phase naming used throughout this document: </w:t>
      </w:r>
      <w:r>
        <w:rPr>
          <w:b/>
          <w:bCs/>
          <w:i/>
          <w:iCs/>
        </w:rPr>
        <w:t xml:space="preserve">Delta</w:t>
      </w:r>
      <w:r>
        <w:rPr>
          <w:i/>
          <w:iCs/>
        </w:rPr>
        <w:t xml:space="preserve"> (this FSD's original "MVP") = the current customer release; </w:t>
      </w:r>
      <w:r>
        <w:rPr>
          <w:b/>
          <w:bCs/>
          <w:i/>
          <w:iCs/>
        </w:rPr>
        <w:t xml:space="preserve">Alpha</w:t>
      </w:r>
      <w:r>
        <w:rPr>
          <w:i/>
          <w:iCs/>
        </w:rPr>
        <w:t xml:space="preserve"> (this FSD's original "Future phase") = the next near-term enhancement phase; a longer-horizon </w:t>
      </w:r>
      <w:r>
        <w:rPr>
          <w:b/>
          <w:bCs/>
          <w:i/>
          <w:iCs/>
        </w:rPr>
        <w:t xml:space="preserve">Future/Gamma</w:t>
      </w:r>
      <w:r>
        <w:rPr>
          <w:i/>
          <w:iCs/>
        </w:rPr>
        <w:t xml:space="preserve"> phase also exists for later-roadmap items. Confirmed 05-Jun-2026. Wherever this document previously said "MVP" or "Future phase," it now reads "Delta" or "Alpha" respectively, unless the item specifically belongs to the longer-horizon Future/Gamma roadmap, in which case it is labelled "Future."</w:t>
      </w:r>
    </w:p>
    <w:p>
      <w:pPr>
        <w:pStyle w:val="Heading2"/>
        <w:spacing w:after="160" w:before="300"/>
      </w:pPr>
      <w:r>
        <w:t xml:space="preserve">1.1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480"/>
        <w:gridCol w:w="2000"/>
      </w:tblGrid>
      <w:tr>
        <w:trPr>
          <w:tblHeader/>
        </w:trPr>
        <w:tc>
          <w:tcPr>
            <w:tcW w:type="dxa" w:w="1100"/>
            <w:shd w:fill="1F3864" w:val="clear"/>
            <w:tcMar>
              <w:top w:type="dxa" w:w="80"/>
              <w:left w:type="dxa" w:w="100"/>
              <w:bottom w:type="dxa" w:w="80"/>
              <w:right w:type="dxa" w:w="100"/>
            </w:tcMar>
            <w:vAlign w:val="center"/>
          </w:tcPr>
          <w:p>
            <w:r>
              <w:rPr>
                <w:i w:val="false"/>
                <w:iCs w:val="false"/>
                <w:color w:val="FFFFFF"/>
                <w:sz w:val="19"/>
                <w:szCs w:val="19"/>
              </w:rPr>
              <w:t xml:space="preserve">Version</w:t>
            </w:r>
          </w:p>
        </w:tc>
        <w:tc>
          <w:tcPr>
            <w:tcW w:type="dxa" w:w="1500"/>
            <w:shd w:fill="1F3864" w:val="clear"/>
            <w:tcMar>
              <w:top w:type="dxa" w:w="80"/>
              <w:left w:type="dxa" w:w="100"/>
              <w:bottom w:type="dxa" w:w="80"/>
              <w:right w:type="dxa" w:w="100"/>
            </w:tcMar>
            <w:vAlign w:val="center"/>
          </w:tcPr>
          <w:p>
            <w:r>
              <w:rPr>
                <w:i w:val="false"/>
                <w:iCs w:val="false"/>
                <w:color w:val="FFFFFF"/>
                <w:sz w:val="19"/>
                <w:szCs w:val="19"/>
              </w:rPr>
              <w:t xml:space="preserve">Date</w:t>
            </w:r>
          </w:p>
        </w:tc>
        <w:tc>
          <w:tcPr>
            <w:tcW w:type="dxa" w:w="548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2000"/>
            <w:shd w:fill="1F3864" w:val="clear"/>
            <w:tcMar>
              <w:top w:type="dxa" w:w="80"/>
              <w:left w:type="dxa" w:w="100"/>
              <w:bottom w:type="dxa" w:w="80"/>
              <w:right w:type="dxa" w:w="100"/>
            </w:tcMar>
            <w:vAlign w:val="center"/>
          </w:tcPr>
          <w:p>
            <w:r>
              <w:rPr>
                <w:i w:val="false"/>
                <w:iCs w:val="false"/>
                <w:color w:val="FFFFFF"/>
                <w:sz w:val="19"/>
                <w:szCs w:val="19"/>
              </w:rPr>
              <w:t xml:space="preserve">Author</w:t>
            </w:r>
          </w:p>
        </w:tc>
      </w:tr>
      <w:tr>
        <w:tc>
          <w:tcPr>
            <w:tcW w:type="dxa" w:w="1100"/>
            <w:tcMar>
              <w:top w:type="dxa" w:w="80"/>
              <w:left w:type="dxa" w:w="100"/>
              <w:bottom w:type="dxa" w:w="80"/>
              <w:right w:type="dxa" w:w="100"/>
            </w:tcMar>
            <w:vAlign w:val="center"/>
          </w:tcPr>
          <w:p>
            <w:r>
              <w:rPr>
                <w:i w:val="false"/>
                <w:iCs w:val="false"/>
                <w:sz w:val="19"/>
                <w:szCs w:val="19"/>
              </w:rPr>
              <w:t xml:space="preserve">1.0</w:t>
            </w:r>
          </w:p>
        </w:tc>
        <w:tc>
          <w:tcPr>
            <w:tcW w:type="dxa" w:w="1500"/>
            <w:tcMar>
              <w:top w:type="dxa" w:w="80"/>
              <w:left w:type="dxa" w:w="100"/>
              <w:bottom w:type="dxa" w:w="80"/>
              <w:right w:type="dxa" w:w="100"/>
            </w:tcMar>
            <w:vAlign w:val="center"/>
          </w:tcPr>
          <w:p>
            <w:r>
              <w:rPr>
                <w:i w:val="false"/>
                <w:iCs w:val="false"/>
                <w:sz w:val="19"/>
                <w:szCs w:val="19"/>
              </w:rPr>
              <w:t xml:space="preserve">April 2026</w:t>
            </w:r>
          </w:p>
        </w:tc>
        <w:tc>
          <w:tcPr>
            <w:tcW w:type="dxa" w:w="5480"/>
            <w:tcMar>
              <w:top w:type="dxa" w:w="80"/>
              <w:left w:type="dxa" w:w="100"/>
              <w:bottom w:type="dxa" w:w="80"/>
              <w:right w:type="dxa" w:w="100"/>
            </w:tcMar>
            <w:vAlign w:val="center"/>
          </w:tcPr>
          <w:p>
            <w:r>
              <w:rPr>
                <w:i w:val="false"/>
                <w:iCs w:val="false"/>
                <w:sz w:val="19"/>
                <w:szCs w:val="19"/>
              </w:rPr>
              <w:t xml:space="preserve">Initial Draft — Based on all MoMs and requirements documents</w:t>
            </w:r>
          </w:p>
        </w:tc>
        <w:tc>
          <w:tcPr>
            <w:tcW w:type="dxa" w:w="2000"/>
            <w:tcMar>
              <w:top w:type="dxa" w:w="80"/>
              <w:left w:type="dxa" w:w="100"/>
              <w:bottom w:type="dxa" w:w="80"/>
              <w:right w:type="dxa" w:w="100"/>
            </w:tcMar>
            <w:vAlign w:val="center"/>
          </w:tcPr>
          <w:p>
            <w:r>
              <w:rPr>
                <w:i w:val="false"/>
                <w:iCs w:val="false"/>
                <w:sz w:val="19"/>
                <w:szCs w:val="19"/>
              </w:rPr>
              <w:t xml:space="preserve">Lakshmi / Anand / Sathish</w:t>
            </w:r>
          </w:p>
        </w:tc>
      </w:tr>
      <w:tr>
        <w:tc>
          <w:tcPr>
            <w:tcW w:type="dxa" w:w="1100"/>
            <w:shd w:fill="F2F2F2" w:val="clear"/>
            <w:tcMar>
              <w:top w:type="dxa" w:w="80"/>
              <w:left w:type="dxa" w:w="100"/>
              <w:bottom w:type="dxa" w:w="80"/>
              <w:right w:type="dxa" w:w="100"/>
            </w:tcMar>
            <w:vAlign w:val="center"/>
          </w:tcPr>
          <w:p>
            <w:r>
              <w:rPr>
                <w:i w:val="false"/>
                <w:iCs w:val="false"/>
                <w:sz w:val="19"/>
                <w:szCs w:val="19"/>
              </w:rPr>
              <w:t xml:space="preserve">1.1</w:t>
            </w:r>
          </w:p>
        </w:tc>
        <w:tc>
          <w:tcPr>
            <w:tcW w:type="dxa" w:w="1500"/>
            <w:shd w:fill="F2F2F2" w:val="clear"/>
            <w:tcMar>
              <w:top w:type="dxa" w:w="80"/>
              <w:left w:type="dxa" w:w="100"/>
              <w:bottom w:type="dxa" w:w="80"/>
              <w:right w:type="dxa" w:w="100"/>
            </w:tcMar>
            <w:vAlign w:val="center"/>
          </w:tcPr>
          <w:p>
            <w:r>
              <w:rPr>
                <w:i w:val="false"/>
                <w:iCs w:val="false"/>
                <w:sz w:val="19"/>
                <w:szCs w:val="19"/>
              </w:rPr>
              <w:t xml:space="preserve">September 2026</w:t>
            </w:r>
          </w:p>
        </w:tc>
        <w:tc>
          <w:tcPr>
            <w:tcW w:type="dxa" w:w="5480"/>
            <w:shd w:fill="F2F2F2" w:val="clear"/>
            <w:tcMar>
              <w:top w:type="dxa" w:w="80"/>
              <w:left w:type="dxa" w:w="100"/>
              <w:bottom w:type="dxa" w:w="80"/>
              <w:right w:type="dxa" w:w="100"/>
            </w:tcMar>
            <w:vAlign w:val="center"/>
          </w:tcPr>
          <w:p>
            <w:r>
              <w:rPr>
                <w:i w:val="false"/>
                <w:iCs w:val="false"/>
                <w:sz w:val="19"/>
                <w:szCs w:val="19"/>
              </w:rPr>
              <w:t xml:space="preserve">Updated to reflect all product decisions and features confirmed through Release v1.3.0 (30-Aug-2026) — see Decision Records register for full rationale</w:t>
            </w:r>
          </w:p>
        </w:tc>
        <w:tc>
          <w:tcPr>
            <w:tcW w:type="dxa" w:w="2000"/>
            <w:shd w:fill="F2F2F2" w:val="clear"/>
            <w:tcMar>
              <w:top w:type="dxa" w:w="80"/>
              <w:left w:type="dxa" w:w="100"/>
              <w:bottom w:type="dxa" w:w="80"/>
              <w:right w:type="dxa" w:w="100"/>
            </w:tcMar>
            <w:vAlign w:val="center"/>
          </w:tcPr>
          <w:p>
            <w:r>
              <w:rPr>
                <w:i w:val="false"/>
                <w:iCs w:val="false"/>
                <w:sz w:val="19"/>
                <w:szCs w:val="19"/>
              </w:rPr>
              <w:t xml:space="preserve">Prodian Infotech (AI-assisted consolidation)</w:t>
            </w:r>
          </w:p>
        </w:tc>
      </w:tr>
    </w:tbl>
    <w:p>
      <w:pPr>
        <w:pStyle w:val="Heading1"/>
        <w:spacing w:after="200" w:before="400"/>
      </w:pPr>
      <w:r>
        <w:t xml:space="preserve">2. Overview</w:t>
      </w:r>
    </w:p>
    <w:p>
      <w:pPr>
        <w:pStyle w:val="Heading2"/>
        <w:spacing w:after="160" w:before="300"/>
      </w:pPr>
      <w:r>
        <w:t xml:space="preserve">2.1 Purpose</w:t>
      </w:r>
    </w:p>
    <w:p>
      <w:pPr>
        <w:spacing w:after="160"/>
      </w:pPr>
      <w:r>
        <w:rPr>
          <w:i w:val="false"/>
          <w:iCs w:val="false"/>
        </w:rPr>
        <w:t xml:space="preserve">This Functional Specification Document (FSD) defines the complete functional requirements, workflows, user interactions, business rules and acceptance criteria for the Anchor (Admin) role within the Alumnye Platform. The Anchor is the primary administrator of an alumni group or cohort and has elevated permissions compared to regular Members (Alums). This revision (v1.1) updates the original April-2026 draft to reflect every confirmed product decision through Release v1.3.0 (30-Aug-2026), sourced from the project's Decision Records register (v1.1), Master Product Notes, meeting minutes through 25-Aug-2026, the Mobile Product Walkthrough v1.2, and the v1.3.0 release notes. Sections that were accurate as originally written have been left materially unchanged; sections superseded by later decisions have been rewritten to describe the current confirmed state, with the originating decision cited.</w:t>
      </w:r>
    </w:p>
    <w:p>
      <w:pPr>
        <w:pStyle w:val="Heading2"/>
        <w:spacing w:after="160" w:before="300"/>
      </w:pPr>
      <w:r>
        <w:t xml:space="preserve">2.2 Platform Summary</w:t>
      </w:r>
    </w:p>
    <w:p>
      <w:pPr>
        <w:spacing w:after="160"/>
      </w:pPr>
      <w:r>
        <w:rPr>
          <w:i w:val="false"/>
          <w:iCs w:val="false"/>
        </w:rPr>
        <w:t xml:space="preserve">Alumnye is an alumni engagement and event management platform delivered as a Web Application, Mobile Application and Cloud-hosted solution (AWS). It enables alumni communities to plan events, manage members, conduct polls, estimate costs, collect payments and share content.</w:t>
      </w:r>
    </w:p>
    <w:p>
      <w:pPr>
        <w:pStyle w:val="Heading2"/>
        <w:spacing w:after="160" w:before="300"/>
      </w:pPr>
      <w:r>
        <w:t xml:space="preserve">2.3 Anchor Role Summary</w:t>
      </w:r>
    </w:p>
    <w:p>
      <w:pPr>
        <w:spacing w:after="160"/>
      </w:pPr>
      <w:r>
        <w:rPr>
          <w:i w:val="false"/>
          <w:iCs w:val="false"/>
        </w:rPr>
        <w:t xml:space="preserve">The Anchor is the administrator of an alumni group. The original single-Anchor model has evolved: a </w:t>
      </w:r>
      <w:r>
        <w:rPr>
          <w:b/>
          <w:bCs/>
          <w:i w:val="false"/>
          <w:iCs w:val="false"/>
        </w:rPr>
        <w:t xml:space="preserve">multi-anchor entitlement model</w:t>
      </w:r>
      <w:r>
        <w:rPr>
          <w:i w:val="false"/>
          <w:iCs w:val="false"/>
        </w:rPr>
        <w:t xml:space="preserve"> was pulled into Delta scope at client request on 20-Jul-2026 (DR-062), under which an Anchor may grant anchor rights to other members of the same group. Every sensitive action (e.g. removing a member, closing a poll) is subject to an entitlement check, and a full audit trail records which anchor performed which action. This mechanism has effectively superseded the originally-planned functional specialization of Anchor types (Payment Anchor, Event Anchor, Member Anchor) as the near-term direction — the platform is moving toward multiple co-equal Anchors per group with an entitlement matrix, rather than a single Anchor split into specialized sub-roles.</w:t>
      </w:r>
    </w:p>
    <w:p>
      <w:pPr>
        <w:pBdr>
          <w:left w:val="single" w:color="BF9000" w:sz="12"/>
        </w:pBdr>
        <w:shd w:fill="FFF2CC" w:val="clear"/>
        <w:spacing w:after="160" w:before="80"/>
        <w:ind w:left="120"/>
      </w:pPr>
      <w:r>
        <w:rPr>
          <w:b/>
          <w:bCs/>
          <w:i/>
          <w:iCs/>
        </w:rPr>
        <w:t xml:space="preserve">Note: </w:t>
      </w:r>
      <w:r>
        <w:rPr>
          <w:i/>
          <w:iCs/>
        </w:rPr>
        <w:t xml:space="preserve">Full rollout of the multi-anchor model is </w:t>
      </w:r>
      <w:r>
        <w:rPr>
          <w:b/>
          <w:bCs/>
          <w:i/>
          <w:iCs/>
        </w:rPr>
        <w:t xml:space="preserve">not</w:t>
      </w:r>
      <w:r>
        <w:rPr>
          <w:i/>
          <w:iCs/>
        </w:rPr>
        <w:t xml:space="preserve"> expected within v1.3 — it is targeted post-v1.3 pending further internal testing (DR-091, 18-Aug-2026). An interim backend-provisioned temporary-anchor grant is under evaluation as a stop-gap. v1.4+ scope explicitly confirms multiple anchors as a committed near-term deliverable (DR-087, 24-Aug-2026). This area should be treated as </w:t>
      </w:r>
      <w:r>
        <w:rPr>
          <w:b/>
          <w:bCs/>
          <w:i/>
          <w:iCs/>
        </w:rPr>
        <w:t xml:space="preserve">evolving</w:t>
      </w:r>
      <w:r>
        <w:rPr>
          <w:i/>
          <w:iCs/>
        </w:rPr>
        <w:t xml:space="preserve"> — the specialized Anchor-type roadmap in §2.4 below is retained as a longer-horizon possibility but is not the currently confirmed build direction, and final scope should be reconfirmed with the client before further design commitment.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val="clear"/>
            <w:tcMar>
              <w:top w:type="dxa" w:w="80"/>
              <w:left w:type="dxa" w:w="100"/>
              <w:bottom w:type="dxa" w:w="80"/>
              <w:right w:type="dxa" w:w="100"/>
            </w:tcMar>
            <w:vAlign w:val="center"/>
          </w:tcPr>
          <w:p>
            <w:r>
              <w:rPr>
                <w:i w:val="false"/>
                <w:iCs w:val="false"/>
                <w:color w:val="FFFFFF"/>
                <w:sz w:val="19"/>
                <w:szCs w:val="19"/>
              </w:rPr>
              <w:t xml:space="preserve">Anchor Attribute</w:t>
            </w:r>
          </w:p>
        </w:tc>
        <w:tc>
          <w:tcPr>
            <w:tcW w:type="dxa" w:w="7680"/>
            <w:shd w:fill="1F3864" w:val="clear"/>
            <w:tcMar>
              <w:top w:type="dxa" w:w="80"/>
              <w:left w:type="dxa" w:w="100"/>
              <w:bottom w:type="dxa" w:w="80"/>
              <w:right w:type="dxa" w:w="100"/>
            </w:tcMar>
            <w:vAlign w:val="center"/>
          </w:tcPr>
          <w:p>
            <w:r>
              <w:rPr>
                <w:i w:val="false"/>
                <w:iCs w:val="false"/>
                <w:color w:val="FFFFFF"/>
                <w:sz w:val="19"/>
                <w:szCs w:val="19"/>
              </w:rPr>
              <w:t xml:space="preserve">Details</w:t>
            </w:r>
          </w:p>
        </w:tc>
      </w:tr>
      <w:tr>
        <w:tc>
          <w:tcPr>
            <w:tcW w:type="dxa" w:w="2400"/>
            <w:tcMar>
              <w:top w:type="dxa" w:w="80"/>
              <w:left w:type="dxa" w:w="100"/>
              <w:bottom w:type="dxa" w:w="80"/>
              <w:right w:type="dxa" w:w="100"/>
            </w:tcMar>
            <w:vAlign w:val="center"/>
          </w:tcPr>
          <w:p>
            <w:r>
              <w:rPr>
                <w:i w:val="false"/>
                <w:iCs w:val="false"/>
                <w:sz w:val="19"/>
                <w:szCs w:val="19"/>
              </w:rPr>
              <w:t xml:space="preserve">Role Name</w:t>
            </w:r>
          </w:p>
        </w:tc>
        <w:tc>
          <w:tcPr>
            <w:tcW w:type="dxa" w:w="7680"/>
            <w:tcMar>
              <w:top w:type="dxa" w:w="80"/>
              <w:left w:type="dxa" w:w="100"/>
              <w:bottom w:type="dxa" w:w="80"/>
              <w:right w:type="dxa" w:w="100"/>
            </w:tcMar>
            <w:vAlign w:val="center"/>
          </w:tcPr>
          <w:p>
            <w:r>
              <w:rPr>
                <w:i w:val="false"/>
                <w:iCs w:val="false"/>
                <w:sz w:val="19"/>
                <w:szCs w:val="19"/>
              </w:rPr>
              <w:t xml:space="preserve">Anchor (Admin)</w:t>
            </w:r>
          </w:p>
        </w:tc>
      </w:tr>
      <w:tr>
        <w:tc>
          <w:tcPr>
            <w:tcW w:type="dxa" w:w="2400"/>
            <w:shd w:fill="F2F2F2" w:val="clear"/>
            <w:tcMar>
              <w:top w:type="dxa" w:w="80"/>
              <w:left w:type="dxa" w:w="100"/>
              <w:bottom w:type="dxa" w:w="80"/>
              <w:right w:type="dxa" w:w="100"/>
            </w:tcMar>
            <w:vAlign w:val="center"/>
          </w:tcPr>
          <w:p>
            <w:r>
              <w:rPr>
                <w:i w:val="false"/>
                <w:iCs w:val="false"/>
                <w:sz w:val="19"/>
                <w:szCs w:val="19"/>
              </w:rPr>
              <w:t xml:space="preserve">Access Level</w:t>
            </w:r>
          </w:p>
        </w:tc>
        <w:tc>
          <w:tcPr>
            <w:tcW w:type="dxa" w:w="7680"/>
            <w:shd w:fill="F2F2F2" w:val="clear"/>
            <w:tcMar>
              <w:top w:type="dxa" w:w="80"/>
              <w:left w:type="dxa" w:w="100"/>
              <w:bottom w:type="dxa" w:w="80"/>
              <w:right w:type="dxa" w:w="100"/>
            </w:tcMar>
            <w:vAlign w:val="center"/>
          </w:tcPr>
          <w:p>
            <w:r>
              <w:rPr>
                <w:i w:val="false"/>
                <w:iCs w:val="false"/>
                <w:sz w:val="19"/>
                <w:szCs w:val="19"/>
              </w:rPr>
              <w:t xml:space="preserve">Elevated — Full administrative control over their group/cohort; delegable to additional co-anchors under the multi-anchor entitlement model (DR-062)</w:t>
            </w:r>
          </w:p>
        </w:tc>
      </w:tr>
      <w:tr>
        <w:tc>
          <w:tcPr>
            <w:tcW w:type="dxa" w:w="2400"/>
            <w:tcMar>
              <w:top w:type="dxa" w:w="80"/>
              <w:left w:type="dxa" w:w="100"/>
              <w:bottom w:type="dxa" w:w="80"/>
              <w:right w:type="dxa" w:w="100"/>
            </w:tcMar>
            <w:vAlign w:val="center"/>
          </w:tcPr>
          <w:p>
            <w:r>
              <w:rPr>
                <w:i w:val="false"/>
                <w:iCs w:val="false"/>
                <w:sz w:val="19"/>
                <w:szCs w:val="19"/>
              </w:rPr>
              <w:t xml:space="preserve">Platform Access</w:t>
            </w:r>
          </w:p>
        </w:tc>
        <w:tc>
          <w:tcPr>
            <w:tcW w:type="dxa" w:w="7680"/>
            <w:tcMar>
              <w:top w:type="dxa" w:w="80"/>
              <w:left w:type="dxa" w:w="100"/>
              <w:bottom w:type="dxa" w:w="80"/>
              <w:right w:type="dxa" w:w="100"/>
            </w:tcMar>
            <w:vAlign w:val="center"/>
          </w:tcPr>
          <w:p>
            <w:r>
              <w:rPr>
                <w:i w:val="false"/>
                <w:iCs w:val="false"/>
                <w:sz w:val="19"/>
                <w:szCs w:val="19"/>
              </w:rPr>
              <w:t xml:space="preserve">Web Application (Primary for large cohorts) + Mobile App (small group activities)</w:t>
            </w:r>
          </w:p>
        </w:tc>
      </w:tr>
      <w:tr>
        <w:tc>
          <w:tcPr>
            <w:tcW w:type="dxa" w:w="2400"/>
            <w:shd w:fill="F2F2F2" w:val="clear"/>
            <w:tcMar>
              <w:top w:type="dxa" w:w="80"/>
              <w:left w:type="dxa" w:w="100"/>
              <w:bottom w:type="dxa" w:w="80"/>
              <w:right w:type="dxa" w:w="100"/>
            </w:tcMar>
            <w:vAlign w:val="center"/>
          </w:tcPr>
          <w:p>
            <w:r>
              <w:rPr>
                <w:i w:val="false"/>
                <w:iCs w:val="false"/>
                <w:sz w:val="19"/>
                <w:szCs w:val="19"/>
              </w:rPr>
              <w:t xml:space="preserve">Authentication</w:t>
            </w:r>
          </w:p>
        </w:tc>
        <w:tc>
          <w:tcPr>
            <w:tcW w:type="dxa" w:w="7680"/>
            <w:shd w:fill="F2F2F2" w:val="clear"/>
            <w:tcMar>
              <w:top w:type="dxa" w:w="80"/>
              <w:left w:type="dxa" w:w="100"/>
              <w:bottom w:type="dxa" w:w="80"/>
              <w:right w:type="dxa" w:w="100"/>
            </w:tcMar>
            <w:vAlign w:val="center"/>
          </w:tcPr>
          <w:p>
            <w:r>
              <w:rPr>
                <w:i w:val="false"/>
                <w:iCs w:val="false"/>
                <w:sz w:val="19"/>
                <w:szCs w:val="19"/>
              </w:rPr>
              <w:t xml:space="preserve">Google OAuth / Email login / Phone OTP + Device Binding (WhatsApp OTP deferred to Alpha — see §3.1)</w:t>
            </w:r>
          </w:p>
        </w:tc>
      </w:tr>
      <w:tr>
        <w:tc>
          <w:tcPr>
            <w:tcW w:type="dxa" w:w="2400"/>
            <w:tcMar>
              <w:top w:type="dxa" w:w="80"/>
              <w:left w:type="dxa" w:w="100"/>
              <w:bottom w:type="dxa" w:w="80"/>
              <w:right w:type="dxa" w:w="100"/>
            </w:tcMar>
            <w:vAlign w:val="center"/>
          </w:tcPr>
          <w:p>
            <w:r>
              <w:rPr>
                <w:i w:val="false"/>
                <w:iCs w:val="false"/>
                <w:sz w:val="19"/>
                <w:szCs w:val="19"/>
              </w:rPr>
              <w:t xml:space="preserve">Current Model (Delta)</w:t>
            </w:r>
          </w:p>
        </w:tc>
        <w:tc>
          <w:tcPr>
            <w:tcW w:type="dxa" w:w="7680"/>
            <w:tcMar>
              <w:top w:type="dxa" w:w="80"/>
              <w:left w:type="dxa" w:w="100"/>
              <w:bottom w:type="dxa" w:w="80"/>
              <w:right w:type="dxa" w:w="100"/>
            </w:tcMar>
            <w:vAlign w:val="center"/>
          </w:tcPr>
          <w:p>
            <w:r>
              <w:rPr>
                <w:i w:val="false"/>
                <w:iCs w:val="false"/>
                <w:sz w:val="19"/>
                <w:szCs w:val="19"/>
              </w:rPr>
              <w:t xml:space="preserve">Multi-anchor entitlement model: any Anchor may grant anchor rights to other group members, with per-action entitlement checks and audit logging (DR-062); full rollout targeted post-v1.3 (DR-091)</w:t>
            </w:r>
          </w:p>
        </w:tc>
      </w:tr>
      <w:tr>
        <w:tc>
          <w:tcPr>
            <w:tcW w:type="dxa" w:w="2400"/>
            <w:shd w:fill="F2F2F2" w:val="clear"/>
            <w:tcMar>
              <w:top w:type="dxa" w:w="80"/>
              <w:left w:type="dxa" w:w="100"/>
              <w:bottom w:type="dxa" w:w="80"/>
              <w:right w:type="dxa" w:w="100"/>
            </w:tcMar>
            <w:vAlign w:val="center"/>
          </w:tcPr>
          <w:p>
            <w:r>
              <w:rPr>
                <w:i w:val="false"/>
                <w:iCs w:val="false"/>
                <w:sz w:val="19"/>
                <w:szCs w:val="19"/>
              </w:rPr>
              <w:t xml:space="preserve">Longer-Horizon Roadmap</w:t>
            </w:r>
          </w:p>
        </w:tc>
        <w:tc>
          <w:tcPr>
            <w:tcW w:type="dxa" w:w="7680"/>
            <w:shd w:fill="F2F2F2" w:val="clear"/>
            <w:tcMar>
              <w:top w:type="dxa" w:w="80"/>
              <w:left w:type="dxa" w:w="100"/>
              <w:bottom w:type="dxa" w:w="80"/>
              <w:right w:type="dxa" w:w="100"/>
            </w:tcMar>
            <w:vAlign w:val="center"/>
          </w:tcPr>
          <w:p>
            <w:r>
              <w:rPr>
                <w:i w:val="false"/>
                <w:iCs w:val="false"/>
                <w:sz w:val="19"/>
                <w:szCs w:val="19"/>
              </w:rPr>
              <w:t xml:space="preserve">Specialized Anchor types (Payment Anchor, Event Anchor, Member Anchor) remain a possible Future/Gamma direction — status evolving, pending client confirmation</w:t>
            </w:r>
          </w:p>
        </w:tc>
      </w:tr>
      <w:tr>
        <w:tc>
          <w:tcPr>
            <w:tcW w:type="dxa" w:w="2400"/>
            <w:tcMar>
              <w:top w:type="dxa" w:w="80"/>
              <w:left w:type="dxa" w:w="100"/>
              <w:bottom w:type="dxa" w:w="80"/>
              <w:right w:type="dxa" w:w="100"/>
            </w:tcMar>
            <w:vAlign w:val="center"/>
          </w:tcPr>
          <w:p>
            <w:r>
              <w:rPr>
                <w:i w:val="false"/>
                <w:iCs w:val="false"/>
                <w:sz w:val="19"/>
                <w:szCs w:val="19"/>
              </w:rPr>
              <w:t xml:space="preserve">Key Responsibilities</w:t>
            </w:r>
          </w:p>
        </w:tc>
        <w:tc>
          <w:tcPr>
            <w:tcW w:type="dxa" w:w="7680"/>
            <w:tcMar>
              <w:top w:type="dxa" w:w="80"/>
              <w:left w:type="dxa" w:w="100"/>
              <w:bottom w:type="dxa" w:w="80"/>
              <w:right w:type="dxa" w:w="100"/>
            </w:tcMar>
            <w:vAlign w:val="center"/>
          </w:tcPr>
          <w:p>
            <w:r>
              <w:rPr>
                <w:i w:val="false"/>
                <w:iCs w:val="false"/>
                <w:sz w:val="19"/>
                <w:szCs w:val="19"/>
              </w:rPr>
              <w:t xml:space="preserve">Member management, Event creation, Poll management, Cost estimation, RSVP management, Payment tracking, Content management, Notifications</w:t>
            </w:r>
          </w:p>
        </w:tc>
      </w:tr>
    </w:tbl>
    <w:p>
      <w:pPr>
        <w:pStyle w:val="Heading2"/>
        <w:spacing w:after="160" w:before="300"/>
      </w:pPr>
      <w:r>
        <w:t xml:space="preserve">2.4 Anchor Types — Phase Roadmap</w:t>
      </w:r>
    </w:p>
    <w:p>
      <w:pPr>
        <w:spacing w:after="160"/>
      </w:pPr>
      <w:r>
        <w:rPr>
          <w:i w:val="false"/>
          <w:iCs w:val="false"/>
        </w:rPr>
        <w:t xml:space="preserve">The table below reflects the current confirmed direction (multi-anchor entitlement model) alongside the longer-horizon specialized-Anchor-type concept, which remains under consideration but is not the active build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Anchor Model</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Available Phase</w:t>
            </w:r>
          </w:p>
        </w:tc>
      </w:tr>
      <w:tr>
        <w:tc>
          <w:tcPr>
            <w:tcW w:type="dxa" w:w="3360"/>
            <w:tcMar>
              <w:top w:type="dxa" w:w="80"/>
              <w:left w:type="dxa" w:w="100"/>
              <w:bottom w:type="dxa" w:w="80"/>
              <w:right w:type="dxa" w:w="100"/>
            </w:tcMar>
            <w:vAlign w:val="center"/>
          </w:tcPr>
          <w:p>
            <w:r>
              <w:rPr>
                <w:i w:val="false"/>
                <w:iCs w:val="false"/>
                <w:sz w:val="19"/>
                <w:szCs w:val="19"/>
              </w:rPr>
              <w:t xml:space="preserve">Anchor (Multi-Anchor Entitlement Model)</w:t>
            </w:r>
          </w:p>
        </w:tc>
        <w:tc>
          <w:tcPr>
            <w:tcW w:type="dxa" w:w="3360"/>
            <w:tcMar>
              <w:top w:type="dxa" w:w="80"/>
              <w:left w:type="dxa" w:w="100"/>
              <w:bottom w:type="dxa" w:w="80"/>
              <w:right w:type="dxa" w:w="100"/>
            </w:tcMar>
            <w:vAlign w:val="center"/>
          </w:tcPr>
          <w:p>
            <w:r>
              <w:rPr>
                <w:i w:val="false"/>
                <w:iCs w:val="false"/>
                <w:sz w:val="19"/>
                <w:szCs w:val="19"/>
              </w:rPr>
              <w:t xml:space="preserve">Any group Anchor can grant anchor rights to other members; entitlement checks before sensitive actions; full audit trail of anchor actions</w:t>
            </w:r>
          </w:p>
        </w:tc>
        <w:tc>
          <w:tcPr>
            <w:tcW w:type="dxa" w:w="3360"/>
            <w:tcMar>
              <w:top w:type="dxa" w:w="80"/>
              <w:left w:type="dxa" w:w="100"/>
              <w:bottom w:type="dxa" w:w="80"/>
              <w:right w:type="dxa" w:w="100"/>
            </w:tcMar>
            <w:vAlign w:val="center"/>
          </w:tcPr>
          <w:p>
            <w:r>
              <w:rPr>
                <w:i w:val="false"/>
                <w:iCs w:val="false"/>
                <w:sz w:val="19"/>
                <w:szCs w:val="19"/>
              </w:rPr>
              <w:t xml:space="preserve">Delta (pulled in 20-Jul-2026, DR-062); full rollout targeted post-v1.3 (DR-091)</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Temporary Anchor Grant (interim)</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Backend-provisioned temporary anchor rights as a stop-gap ahead of full multi-anchor rollout</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Under evaluation, Delta/Alpha transition</w:t>
            </w:r>
          </w:p>
        </w:tc>
      </w:tr>
      <w:tr>
        <w:tc>
          <w:tcPr>
            <w:tcW w:type="dxa" w:w="3360"/>
            <w:tcMar>
              <w:top w:type="dxa" w:w="80"/>
              <w:left w:type="dxa" w:w="100"/>
              <w:bottom w:type="dxa" w:w="80"/>
              <w:right w:type="dxa" w:w="100"/>
            </w:tcMar>
            <w:vAlign w:val="center"/>
          </w:tcPr>
          <w:p>
            <w:r>
              <w:rPr>
                <w:i w:val="false"/>
                <w:iCs w:val="false"/>
                <w:sz w:val="19"/>
                <w:szCs w:val="19"/>
              </w:rPr>
              <w:t xml:space="preserve">Member Anchor</w:t>
            </w:r>
          </w:p>
        </w:tc>
        <w:tc>
          <w:tcPr>
            <w:tcW w:type="dxa" w:w="3360"/>
            <w:tcMar>
              <w:top w:type="dxa" w:w="80"/>
              <w:left w:type="dxa" w:w="100"/>
              <w:bottom w:type="dxa" w:w="80"/>
              <w:right w:type="dxa" w:w="100"/>
            </w:tcMar>
            <w:vAlign w:val="center"/>
          </w:tcPr>
          <w:p>
            <w:r>
              <w:rPr>
                <w:i w:val="false"/>
                <w:iCs w:val="false"/>
                <w:sz w:val="19"/>
                <w:szCs w:val="19"/>
              </w:rPr>
              <w:t xml:space="preserve">Member management tasks only — longer-horizon specialization concept, direction evolving</w:t>
            </w:r>
          </w:p>
        </w:tc>
        <w:tc>
          <w:tcPr>
            <w:tcW w:type="dxa" w:w="3360"/>
            <w:tcMar>
              <w:top w:type="dxa" w:w="80"/>
              <w:left w:type="dxa" w:w="100"/>
              <w:bottom w:type="dxa" w:w="80"/>
              <w:right w:type="dxa" w:w="100"/>
            </w:tcMar>
            <w:vAlign w:val="center"/>
          </w:tcPr>
          <w:p>
            <w:r>
              <w:rPr>
                <w:i w:val="false"/>
                <w:iCs w:val="false"/>
                <w:sz w:val="19"/>
                <w:szCs w:val="19"/>
              </w:rPr>
              <w:t xml:space="preserve">Future / Gamma (status pending client confirmation)</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Event Anchor</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Event planning and execution management — longer-horizon specialization concept</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Future / Gamma (status pending client confirmation)</w:t>
            </w:r>
          </w:p>
        </w:tc>
      </w:tr>
      <w:tr>
        <w:tc>
          <w:tcPr>
            <w:tcW w:type="dxa" w:w="3360"/>
            <w:tcMar>
              <w:top w:type="dxa" w:w="80"/>
              <w:left w:type="dxa" w:w="100"/>
              <w:bottom w:type="dxa" w:w="80"/>
              <w:right w:type="dxa" w:w="100"/>
            </w:tcMar>
            <w:vAlign w:val="center"/>
          </w:tcPr>
          <w:p>
            <w:r>
              <w:rPr>
                <w:i w:val="false"/>
                <w:iCs w:val="false"/>
                <w:sz w:val="19"/>
                <w:szCs w:val="19"/>
              </w:rPr>
              <w:t xml:space="preserve">Payment Anchor</w:t>
            </w:r>
          </w:p>
        </w:tc>
        <w:tc>
          <w:tcPr>
            <w:tcW w:type="dxa" w:w="3360"/>
            <w:tcMar>
              <w:top w:type="dxa" w:w="80"/>
              <w:left w:type="dxa" w:w="100"/>
              <w:bottom w:type="dxa" w:w="80"/>
              <w:right w:type="dxa" w:w="100"/>
            </w:tcMar>
            <w:vAlign w:val="center"/>
          </w:tcPr>
          <w:p>
            <w:r>
              <w:rPr>
                <w:i w:val="false"/>
                <w:iCs w:val="false"/>
                <w:sz w:val="19"/>
                <w:szCs w:val="19"/>
              </w:rPr>
              <w:t xml:space="preserve">Payment collection and disbursement management — longer-horizon specialization concept</w:t>
            </w:r>
          </w:p>
        </w:tc>
        <w:tc>
          <w:tcPr>
            <w:tcW w:type="dxa" w:w="3360"/>
            <w:tcMar>
              <w:top w:type="dxa" w:w="80"/>
              <w:left w:type="dxa" w:w="100"/>
              <w:bottom w:type="dxa" w:w="80"/>
              <w:right w:type="dxa" w:w="100"/>
            </w:tcMar>
            <w:vAlign w:val="center"/>
          </w:tcPr>
          <w:p>
            <w:r>
              <w:rPr>
                <w:i w:val="false"/>
                <w:iCs w:val="false"/>
                <w:sz w:val="19"/>
                <w:szCs w:val="19"/>
              </w:rPr>
              <w:t xml:space="preserve">Future / Gamma (status pending client confirmation)</w:t>
            </w:r>
          </w:p>
        </w:tc>
      </w:tr>
    </w:tbl>
    <w:p>
      <w:pPr>
        <w:pStyle w:val="Heading2"/>
        <w:spacing w:after="160" w:before="300"/>
      </w:pPr>
      <w:r>
        <w:t xml:space="preserve">2.5 Scope Note — Golf Tournament Module</w:t>
      </w:r>
    </w:p>
    <w:p>
      <w:pPr>
        <w:spacing w:after="160"/>
      </w:pPr>
      <w:r>
        <w:rPr>
          <w:i w:val="false"/>
          <w:iCs w:val="false"/>
        </w:rPr>
        <w:t xml:space="preserve">Golf Tournament Scoring &amp; Management is a major, fast-moving, standalone add-on module (DR-053, 30-Jun-2026), deliberately kept separate from the core Alumnye Delta/Alpha alumni-event roadmap so that a bespoke tournament product could be built and tested in parallel without disturbing the primary roadmap. It shipped Golf Statistics, scorecard, and ranking features in Release v1.3.0. </w:t>
      </w:r>
      <w:r>
        <w:rPr>
          <w:b/>
          <w:bCs/>
          <w:i w:val="false"/>
          <w:iCs w:val="false"/>
        </w:rPr>
        <w:t xml:space="preserve">Golf Tournament Scoring &amp; Management is out of scope for this Anchor FSD.</w:t>
      </w:r>
      <w:r>
        <w:rPr>
          <w:i w:val="false"/>
          <w:iCs w:val="false"/>
        </w:rPr>
        <w:t xml:space="preserve"> Given its size and decision volume, a dedicated fourth FSD for the Golf module is recommended if one does not already exist.</w:t>
      </w:r>
    </w:p>
    <w:p>
      <w:pPr>
        <w:pStyle w:val="Heading1"/>
        <w:spacing w:after="200" w:before="400"/>
      </w:pPr>
      <w:r>
        <w:t xml:space="preserve">3. Authentication &amp; Access</w:t>
      </w:r>
    </w:p>
    <w:p>
      <w:pPr>
        <w:pStyle w:val="Heading2"/>
        <w:spacing w:after="160" w:before="300"/>
      </w:pPr>
      <w:r>
        <w:t xml:space="preserve">3.1 Login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Method</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Status</w:t>
            </w:r>
          </w:p>
        </w:tc>
      </w:tr>
      <w:tr>
        <w:tc>
          <w:tcPr>
            <w:tcW w:type="dxa" w:w="3360"/>
            <w:tcMar>
              <w:top w:type="dxa" w:w="80"/>
              <w:left w:type="dxa" w:w="100"/>
              <w:bottom w:type="dxa" w:w="80"/>
              <w:right w:type="dxa" w:w="100"/>
            </w:tcMar>
            <w:vAlign w:val="center"/>
          </w:tcPr>
          <w:p>
            <w:r>
              <w:rPr>
                <w:i w:val="false"/>
                <w:iCs w:val="false"/>
                <w:sz w:val="19"/>
                <w:szCs w:val="19"/>
              </w:rPr>
              <w:t xml:space="preserve">Google OAuth</w:t>
            </w:r>
          </w:p>
        </w:tc>
        <w:tc>
          <w:tcPr>
            <w:tcW w:type="dxa" w:w="3360"/>
            <w:tcMar>
              <w:top w:type="dxa" w:w="80"/>
              <w:left w:type="dxa" w:w="100"/>
              <w:bottom w:type="dxa" w:w="80"/>
              <w:right w:type="dxa" w:w="100"/>
            </w:tcMar>
            <w:vAlign w:val="center"/>
          </w:tcPr>
          <w:p>
            <w:r>
              <w:rPr>
                <w:i w:val="false"/>
                <w:iCs w:val="false"/>
                <w:sz w:val="19"/>
                <w:szCs w:val="19"/>
              </w:rPr>
              <w:t xml:space="preserve">Login using Google Workspace / personal Google account (Android redirect + auto-link fix applied)</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Email + Password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Standard email-based registration and login with JWT session</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Phone OTP</w:t>
            </w:r>
          </w:p>
        </w:tc>
        <w:tc>
          <w:tcPr>
            <w:tcW w:type="dxa" w:w="3360"/>
            <w:tcMar>
              <w:top w:type="dxa" w:w="80"/>
              <w:left w:type="dxa" w:w="100"/>
              <w:bottom w:type="dxa" w:w="80"/>
              <w:right w:type="dxa" w:w="100"/>
            </w:tcMar>
            <w:vAlign w:val="center"/>
          </w:tcPr>
          <w:p>
            <w:r>
              <w:rPr>
                <w:i w:val="false"/>
                <w:iCs w:val="false"/>
                <w:sz w:val="19"/>
                <w:szCs w:val="19"/>
              </w:rPr>
              <w:t xml:space="preserve">OTP-based authentication via SMS (label standardized to "Phone OTP" on mobile, confirmed 10-Jun-2026)</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Email-ID Login (overseas members)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Overseas members log in via email ID rather than local mobile-number OTP, to route around known friction with overseas mobile invites (DR-086, 24-Aug-2026)</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Device Binding</w:t>
            </w:r>
          </w:p>
        </w:tc>
        <w:tc>
          <w:tcPr>
            <w:tcW w:type="dxa" w:w="3360"/>
            <w:tcMar>
              <w:top w:type="dxa" w:w="80"/>
              <w:left w:type="dxa" w:w="100"/>
              <w:bottom w:type="dxa" w:w="80"/>
              <w:right w:type="dxa" w:w="100"/>
            </w:tcMar>
            <w:vAlign w:val="center"/>
          </w:tcPr>
          <w:p>
            <w:r>
              <w:rPr>
                <w:i w:val="false"/>
                <w:iCs w:val="false"/>
                <w:sz w:val="19"/>
                <w:szCs w:val="19"/>
              </w:rPr>
              <w:t xml:space="preserve">Bind authenticated device for enhanced login security</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WhatsApp OTP</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OTP-based authentication via WhatsApp Business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Deferred to Alpha — Karix's WhatsApp Business Meta/Facebook account verification failed and could not be resolved in time for Delta (DR-015, 09-Jun-2026)</w:t>
            </w:r>
          </w:p>
        </w:tc>
      </w:tr>
    </w:tbl>
    <w:p>
      <w:pPr>
        <w:pBdr>
          <w:left w:val="single" w:color="BF9000" w:sz="12"/>
        </w:pBdr>
        <w:shd w:fill="FFF2CC" w:val="clear"/>
        <w:spacing w:after="160" w:before="80"/>
        <w:ind w:left="120"/>
      </w:pPr>
      <w:r>
        <w:rPr>
          <w:b/>
          <w:bCs/>
          <w:i/>
          <w:iCs/>
        </w:rPr>
        <w:t xml:space="preserve">Note: </w:t>
      </w:r>
      <w:r>
        <w:rPr>
          <w:i/>
          <w:iCs/>
        </w:rPr>
        <w:t xml:space="preserve">Login identity-continuity rule (confirmed 10-Jun-2026): if a user previously logged in via mobile number and later attempts login via a different email, the system must detect the conflict and prompt the user to update their mobile number, rather than silently creating a second identity.</w:t>
      </w:r>
    </w:p>
    <w:p>
      <w:pPr>
        <w:pStyle w:val="Heading2"/>
        <w:spacing w:after="160" w:before="300"/>
      </w:pPr>
      <w:r>
        <w:t xml:space="preserve">3.2 Session Management</w:t>
      </w:r>
    </w:p>
    <w:p>
      <w:pPr>
        <w:pStyle w:val="ListParagraph"/>
        <w:numPr>
          <w:ilvl w:val="0"/>
          <w:numId w:val="2"/>
        </w:numPr>
        <w:spacing w:after="100"/>
      </w:pPr>
      <w:r>
        <w:rPr>
          <w:i w:val="false"/>
          <w:iCs w:val="false"/>
        </w:rPr>
        <w:t xml:space="preserve">JWT-based session tokens with secure expiry</w:t>
      </w:r>
    </w:p>
    <w:p>
      <w:pPr>
        <w:pStyle w:val="ListParagraph"/>
        <w:numPr>
          <w:ilvl w:val="0"/>
          <w:numId w:val="2"/>
        </w:numPr>
        <w:spacing w:after="100"/>
      </w:pPr>
      <w:r>
        <w:rPr>
          <w:i w:val="false"/>
          <w:iCs w:val="false"/>
        </w:rPr>
        <w:t xml:space="preserve">Logout functionality available on all screens</w:t>
      </w:r>
    </w:p>
    <w:p>
      <w:pPr>
        <w:pStyle w:val="ListParagraph"/>
        <w:numPr>
          <w:ilvl w:val="0"/>
          <w:numId w:val="2"/>
        </w:numPr>
        <w:spacing w:after="100"/>
      </w:pPr>
      <w:r>
        <w:rPr>
          <w:i w:val="false"/>
          <w:iCs w:val="false"/>
        </w:rPr>
        <w:t xml:space="preserve">Session maintained across web and mobile</w:t>
      </w:r>
    </w:p>
    <w:p>
      <w:pPr>
        <w:pStyle w:val="ListParagraph"/>
        <w:numPr>
          <w:ilvl w:val="0"/>
          <w:numId w:val="2"/>
        </w:numPr>
        <w:spacing w:after="100"/>
      </w:pPr>
      <w:r>
        <w:rPr>
          <w:i w:val="false"/>
          <w:iCs w:val="false"/>
        </w:rPr>
        <w:t xml:space="preserve">A web-to-native-app session conflict (an invite first opened as a web session being treated as expired once the native app is installed) was identified and standardized-fixed, with the correct OTP passed through so invite acceptance completes reliably (DR-081, 24-Aug-2026; live in v1.2/v1.3)</w:t>
      </w:r>
    </w:p>
    <w:p>
      <w:pPr>
        <w:pStyle w:val="Heading2"/>
        <w:spacing w:after="160" w:before="300"/>
      </w:pPr>
      <w:r>
        <w:t xml:space="preserve">3.3 Anchor-Specific Access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Rule</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Details</w:t>
            </w:r>
          </w:p>
        </w:tc>
      </w:tr>
      <w:tr>
        <w:tc>
          <w:tcPr>
            <w:tcW w:type="dxa" w:w="5040"/>
            <w:tcMar>
              <w:top w:type="dxa" w:w="80"/>
              <w:left w:type="dxa" w:w="100"/>
              <w:bottom w:type="dxa" w:w="80"/>
              <w:right w:type="dxa" w:w="100"/>
            </w:tcMar>
            <w:vAlign w:val="center"/>
          </w:tcPr>
          <w:p>
            <w:r>
              <w:rPr>
                <w:i w:val="false"/>
                <w:iCs w:val="false"/>
                <w:sz w:val="19"/>
                <w:szCs w:val="19"/>
              </w:rPr>
              <w:t xml:space="preserve">Platform preference</w:t>
            </w:r>
          </w:p>
        </w:tc>
        <w:tc>
          <w:tcPr>
            <w:tcW w:type="dxa" w:w="5040"/>
            <w:tcMar>
              <w:top w:type="dxa" w:w="80"/>
              <w:left w:type="dxa" w:w="100"/>
              <w:bottom w:type="dxa" w:w="80"/>
              <w:right w:type="dxa" w:w="100"/>
            </w:tcMar>
            <w:vAlign w:val="center"/>
          </w:tcPr>
          <w:p>
            <w:r>
              <w:rPr>
                <w:i w:val="false"/>
                <w:iCs w:val="false"/>
                <w:sz w:val="19"/>
                <w:szCs w:val="19"/>
              </w:rPr>
              <w:t xml:space="preserve">Laptop/Web interface is mandatory for large institutional clients (5,000+ alumni)</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Mobile access</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Suitable for small group activities only</w:t>
            </w:r>
          </w:p>
        </w:tc>
      </w:tr>
      <w:tr>
        <w:tc>
          <w:tcPr>
            <w:tcW w:type="dxa" w:w="5040"/>
            <w:tcMar>
              <w:top w:type="dxa" w:w="80"/>
              <w:left w:type="dxa" w:w="100"/>
              <w:bottom w:type="dxa" w:w="80"/>
              <w:right w:type="dxa" w:w="100"/>
            </w:tcMar>
            <w:vAlign w:val="center"/>
          </w:tcPr>
          <w:p>
            <w:r>
              <w:rPr>
                <w:i w:val="false"/>
                <w:iCs w:val="false"/>
                <w:sz w:val="19"/>
                <w:szCs w:val="19"/>
              </w:rPr>
              <w:t xml:space="preserve">Role provisioning</w:t>
            </w:r>
          </w:p>
        </w:tc>
        <w:tc>
          <w:tcPr>
            <w:tcW w:type="dxa" w:w="5040"/>
            <w:tcMar>
              <w:top w:type="dxa" w:w="80"/>
              <w:left w:type="dxa" w:w="100"/>
              <w:bottom w:type="dxa" w:w="80"/>
              <w:right w:type="dxa" w:w="100"/>
            </w:tcMar>
            <w:vAlign w:val="center"/>
          </w:tcPr>
          <w:p>
            <w:r>
              <w:rPr>
                <w:i w:val="false"/>
                <w:iCs w:val="false"/>
                <w:sz w:val="19"/>
                <w:szCs w:val="19"/>
              </w:rPr>
              <w:t xml:space="preserve">Anchor role is assigned during group creation (the first user to create a group automatically becomes its Anchor); cannot be self-assigned outside that flow. Additional co-anchors may be granted rights by an existing Anchor under the multi-anchor entitlement model (§2.3)</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Multi-group</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 Anchor may manage multiple groups/cohorts; a single user may simultaneously hold Member, Anchor, or Member+Anchor status across different groups</w:t>
            </w:r>
          </w:p>
        </w:tc>
      </w:tr>
      <w:tr>
        <w:tc>
          <w:tcPr>
            <w:tcW w:type="dxa" w:w="5040"/>
            <w:tcMar>
              <w:top w:type="dxa" w:w="80"/>
              <w:left w:type="dxa" w:w="100"/>
              <w:bottom w:type="dxa" w:w="80"/>
              <w:right w:type="dxa" w:w="100"/>
            </w:tcMar>
            <w:vAlign w:val="center"/>
          </w:tcPr>
          <w:p>
            <w:r>
              <w:rPr>
                <w:i w:val="false"/>
                <w:iCs w:val="false"/>
                <w:sz w:val="19"/>
                <w:szCs w:val="19"/>
              </w:rPr>
              <w:t xml:space="preserve">AI tool access</w:t>
            </w:r>
          </w:p>
        </w:tc>
        <w:tc>
          <w:tcPr>
            <w:tcW w:type="dxa" w:w="5040"/>
            <w:tcMar>
              <w:top w:type="dxa" w:w="80"/>
              <w:left w:type="dxa" w:w="100"/>
              <w:bottom w:type="dxa" w:w="80"/>
              <w:right w:type="dxa" w:w="100"/>
            </w:tcMar>
            <w:vAlign w:val="center"/>
          </w:tcPr>
          <w:p>
            <w:r>
              <w:rPr>
                <w:i w:val="false"/>
                <w:iCs w:val="false"/>
                <w:sz w:val="19"/>
                <w:szCs w:val="19"/>
              </w:rPr>
              <w:t xml:space="preserve">Anchors have exclusive access to CostGPT, Logo Generation Bot, Coffee Table Book Bot</w:t>
            </w:r>
          </w:p>
        </w:tc>
      </w:tr>
    </w:tbl>
    <w:p>
      <w:pPr>
        <w:pStyle w:val="Heading1"/>
        <w:spacing w:after="200" w:before="400"/>
      </w:pPr>
      <w:r>
        <w:t xml:space="preserve">4. Member Management</w:t>
      </w:r>
    </w:p>
    <w:p>
      <w:pPr>
        <w:pStyle w:val="Heading2"/>
        <w:spacing w:after="160" w:before="300"/>
      </w:pPr>
      <w:r>
        <w:t xml:space="preserve">4.1 Create and Manage Alumni Groups / Cohorts</w:t>
      </w:r>
    </w:p>
    <w:p>
      <w:pPr>
        <w:spacing w:after="160"/>
      </w:pPr>
      <w:r>
        <w:rPr>
          <w:i w:val="false"/>
          <w:iCs w:val="false"/>
        </w:rPr>
        <w:t xml:space="preserve">The Anchor is responsible for creating and managing alumni groups (cohorts). Each cohort is an independent unit for event planning and 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Priority</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2520"/>
            <w:tcMar>
              <w:top w:type="dxa" w:w="80"/>
              <w:left w:type="dxa" w:w="100"/>
              <w:bottom w:type="dxa" w:w="80"/>
              <w:right w:type="dxa" w:w="100"/>
            </w:tcMar>
            <w:vAlign w:val="center"/>
          </w:tcPr>
          <w:p>
            <w:r>
              <w:rPr>
                <w:i w:val="false"/>
                <w:iCs w:val="false"/>
                <w:sz w:val="19"/>
                <w:szCs w:val="19"/>
              </w:rPr>
              <w:t xml:space="preserve">Create Alumni Group</w:t>
            </w:r>
          </w:p>
        </w:tc>
        <w:tc>
          <w:tcPr>
            <w:tcW w:type="dxa" w:w="2520"/>
            <w:tcMar>
              <w:top w:type="dxa" w:w="80"/>
              <w:left w:type="dxa" w:w="100"/>
              <w:bottom w:type="dxa" w:w="80"/>
              <w:right w:type="dxa" w:w="100"/>
            </w:tcMar>
            <w:vAlign w:val="center"/>
          </w:tcPr>
          <w:p>
            <w:r>
              <w:rPr>
                <w:i w:val="false"/>
                <w:iCs w:val="false"/>
                <w:sz w:val="19"/>
                <w:szCs w:val="19"/>
              </w:rPr>
              <w:t xml:space="preserve">Anchor creates a named group/cohort for a batch or community</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Invite Members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Send invitations to alumni to join the group via email/SMS; multiple invite modes confirmed in v1.3.0 — Individual Invite, Contacts, Existing Members, Bulk Upload — each with unique invitation links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Approve Join Requests</w:t>
            </w:r>
          </w:p>
        </w:tc>
        <w:tc>
          <w:tcPr>
            <w:tcW w:type="dxa" w:w="2520"/>
            <w:tcMar>
              <w:top w:type="dxa" w:w="80"/>
              <w:left w:type="dxa" w:w="100"/>
              <w:bottom w:type="dxa" w:w="80"/>
              <w:right w:type="dxa" w:w="100"/>
            </w:tcMar>
            <w:vAlign w:val="center"/>
          </w:tcPr>
          <w:p>
            <w:r>
              <w:rPr>
                <w:i w:val="false"/>
                <w:iCs w:val="false"/>
                <w:sz w:val="19"/>
                <w:szCs w:val="19"/>
              </w:rPr>
              <w:t xml:space="preserve">Approve or reject member join requests</w:t>
            </w:r>
          </w:p>
        </w:tc>
        <w:tc>
          <w:tcPr>
            <w:tcW w:type="dxa" w:w="2520"/>
            <w:tcMar>
              <w:top w:type="dxa" w:w="80"/>
              <w:left w:type="dxa" w:w="100"/>
              <w:bottom w:type="dxa" w:w="80"/>
              <w:right w:type="dxa" w:w="100"/>
            </w:tcMar>
            <w:vAlign w:val="center"/>
          </w:tcPr>
          <w:p>
            <w:r>
              <w:rPr>
                <w:i w:val="false"/>
                <w:iCs w:val="false"/>
                <w:sz w:val="19"/>
                <w:szCs w:val="19"/>
              </w:rPr>
              <w:t xml:space="preserve">Medium</w:t>
            </w:r>
          </w:p>
        </w:tc>
        <w:tc>
          <w:tcPr>
            <w:tcW w:type="dxa" w:w="2520"/>
            <w:tcMar>
              <w:top w:type="dxa" w:w="80"/>
              <w:left w:type="dxa" w:w="100"/>
              <w:bottom w:type="dxa" w:w="80"/>
              <w:right w:type="dxa" w:w="100"/>
            </w:tcMar>
            <w:vAlign w:val="center"/>
          </w:tcPr>
          <w:p>
            <w:r>
              <w:rPr>
                <w:i w:val="false"/>
                <w:iCs w:val="false"/>
                <w:sz w:val="19"/>
                <w:szCs w:val="19"/>
              </w:rPr>
              <w:t xml:space="preserve">Alpha (Delta is invitation-only — no open join path exists)</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Manage Members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View, edit or remove members from the group; Add Member consolidated to a single group-level entry point with three sub-options — Individual Entry, Bulk CSV Upload, Import from Another Anchored Group (visible only when the same Anchor manages multiple groups) (23-Jun-2026). Add Member was removed at event level entirely — event participation happens only via RSVP and payment</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Edit Member Core Profile</w:t>
            </w:r>
          </w:p>
        </w:tc>
        <w:tc>
          <w:tcPr>
            <w:tcW w:type="dxa" w:w="2520"/>
            <w:tcMar>
              <w:top w:type="dxa" w:w="80"/>
              <w:left w:type="dxa" w:w="100"/>
              <w:bottom w:type="dxa" w:w="80"/>
              <w:right w:type="dxa" w:w="100"/>
            </w:tcMar>
            <w:vAlign w:val="center"/>
          </w:tcPr>
          <w:p>
            <w:r>
              <w:rPr>
                <w:i w:val="false"/>
                <w:iCs w:val="false"/>
                <w:sz w:val="19"/>
                <w:szCs w:val="19"/>
              </w:rPr>
              <w:t xml:space="preserve">Anchor can update a member's core profile information directly, including name and profile image (new v1.3.0 release-note capability)</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 (v1.3.0)</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Group Landing Page</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View group page displaying members and activities; group information and group-name display improved in v1.3.0</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CSV / Excel Bulk Import</w:t>
            </w:r>
          </w:p>
        </w:tc>
        <w:tc>
          <w:tcPr>
            <w:tcW w:type="dxa" w:w="2520"/>
            <w:tcMar>
              <w:top w:type="dxa" w:w="80"/>
              <w:left w:type="dxa" w:w="100"/>
              <w:bottom w:type="dxa" w:w="80"/>
              <w:right w:type="dxa" w:w="100"/>
            </w:tcMar>
            <w:vAlign w:val="center"/>
          </w:tcPr>
          <w:p>
            <w:r>
              <w:rPr>
                <w:i w:val="false"/>
                <w:iCs w:val="false"/>
                <w:sz w:val="19"/>
                <w:szCs w:val="19"/>
              </w:rPr>
              <w:t xml:space="preserve">Bulk import alumni data via CSV/Excel file (predefined field schema); raw file stored to AWS S3 as a permanent audit record; template-download endpoint provided; Anchor reviews imported profiles via a Bulk Preview screen before they go live</w:t>
            </w:r>
          </w:p>
        </w:tc>
        <w:tc>
          <w:tcPr>
            <w:tcW w:type="dxa" w:w="2520"/>
            <w:tcMar>
              <w:top w:type="dxa" w:w="80"/>
              <w:left w:type="dxa" w:w="100"/>
              <w:bottom w:type="dxa" w:w="80"/>
              <w:right w:type="dxa" w:w="100"/>
            </w:tcMar>
            <w:vAlign w:val="center"/>
          </w:tcPr>
          <w:p>
            <w:r>
              <w:rPr>
                <w:i w:val="false"/>
                <w:iCs w:val="false"/>
                <w:sz w:val="19"/>
                <w:szCs w:val="19"/>
              </w:rPr>
              <w:t xml:space="preserve">Medium</w:t>
            </w:r>
          </w:p>
        </w:tc>
        <w:tc>
          <w:tcPr>
            <w:tcW w:type="dxa" w:w="2520"/>
            <w:tcMar>
              <w:top w:type="dxa" w:w="80"/>
              <w:left w:type="dxa" w:w="100"/>
              <w:bottom w:type="dxa" w:w="80"/>
              <w:right w:type="dxa" w:w="100"/>
            </w:tcMar>
            <w:vAlign w:val="center"/>
          </w:tcPr>
          <w:p>
            <w:r>
              <w:rPr>
                <w:i w:val="false"/>
                <w:iCs w:val="false"/>
                <w:sz w:val="19"/>
                <w:szCs w:val="19"/>
              </w:rPr>
              <w:t xml:space="preserve">Delta (already shipped — see Mobile Product Walkthrough §8.4–8.5)</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Backend Data Upload (large-cohort onboarding)</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For very large cohorts (e.g. CSGI 40, ~140 members), names/emails/mobiles are bulk-loaded directly on the backend, with the Anchor pre-building profiles/photos so members see ready content on first login (DR-086, 24-Aug-2026)</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Medium</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 — pending confirmation of no harmful downstream impact (OI-14, open)</w:t>
            </w:r>
          </w:p>
        </w:tc>
      </w:tr>
      <w:tr>
        <w:tc>
          <w:tcPr>
            <w:tcW w:type="dxa" w:w="2520"/>
            <w:tcMar>
              <w:top w:type="dxa" w:w="80"/>
              <w:left w:type="dxa" w:w="100"/>
              <w:bottom w:type="dxa" w:w="80"/>
              <w:right w:type="dxa" w:w="100"/>
            </w:tcMar>
            <w:vAlign w:val="center"/>
          </w:tcPr>
          <w:p>
            <w:r>
              <w:rPr>
                <w:i w:val="false"/>
                <w:iCs w:val="false"/>
                <w:sz w:val="19"/>
                <w:szCs w:val="19"/>
              </w:rPr>
              <w:t xml:space="preserve">Assign Admin Privileges</w:t>
            </w:r>
          </w:p>
        </w:tc>
        <w:tc>
          <w:tcPr>
            <w:tcW w:type="dxa" w:w="2520"/>
            <w:tcMar>
              <w:top w:type="dxa" w:w="80"/>
              <w:left w:type="dxa" w:w="100"/>
              <w:bottom w:type="dxa" w:w="80"/>
              <w:right w:type="dxa" w:w="100"/>
            </w:tcMar>
            <w:vAlign w:val="center"/>
          </w:tcPr>
          <w:p>
            <w:r>
              <w:rPr>
                <w:i w:val="false"/>
                <w:iCs w:val="false"/>
                <w:sz w:val="19"/>
                <w:szCs w:val="19"/>
              </w:rPr>
              <w:t xml:space="preserve">Anchor grants anchor rights to other group members under the multi-anchor entitlement model, with entitlement checks and audit trail (DR-062)</w:t>
            </w:r>
          </w:p>
        </w:tc>
        <w:tc>
          <w:tcPr>
            <w:tcW w:type="dxa" w:w="2520"/>
            <w:tcMar>
              <w:top w:type="dxa" w:w="80"/>
              <w:left w:type="dxa" w:w="100"/>
              <w:bottom w:type="dxa" w:w="80"/>
              <w:right w:type="dxa" w:w="100"/>
            </w:tcMar>
            <w:vAlign w:val="center"/>
          </w:tcPr>
          <w:p>
            <w:r>
              <w:rPr>
                <w:i w:val="false"/>
                <w:iCs w:val="false"/>
                <w:sz w:val="19"/>
                <w:szCs w:val="19"/>
              </w:rPr>
              <w:t xml:space="preserve">Medium</w:t>
            </w:r>
          </w:p>
        </w:tc>
        <w:tc>
          <w:tcPr>
            <w:tcW w:type="dxa" w:w="2520"/>
            <w:tcMar>
              <w:top w:type="dxa" w:w="80"/>
              <w:left w:type="dxa" w:w="100"/>
              <w:bottom w:type="dxa" w:w="80"/>
              <w:right w:type="dxa" w:w="100"/>
            </w:tcMar>
            <w:vAlign w:val="center"/>
          </w:tcPr>
          <w:p>
            <w:r>
              <w:rPr>
                <w:i w:val="false"/>
                <w:iCs w:val="false"/>
                <w:sz w:val="19"/>
                <w:szCs w:val="19"/>
              </w:rPr>
              <w:t xml:space="preserve">Delta (pulled in from Alpha, 20-Jul-2026); full rollout targeted post-v1.3 (DR-091)</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Cohort Creation (from Profile Builder)</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Anchor uploads alumni list; system generates AI-based summary profiles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bl>
    <w:p>
      <w:pPr>
        <w:pBdr>
          <w:left w:val="single" w:color="BF9000" w:sz="12"/>
        </w:pBdr>
        <w:shd w:fill="FFF2CC" w:val="clear"/>
        <w:spacing w:after="160" w:before="80"/>
        <w:ind w:left="120"/>
      </w:pPr>
      <w:r>
        <w:rPr>
          <w:b/>
          <w:bCs/>
          <w:i/>
          <w:iCs/>
        </w:rPr>
        <w:t xml:space="preserve">Note: </w:t>
      </w:r>
      <w:r>
        <w:rPr>
          <w:i/>
          <w:iCs/>
        </w:rPr>
        <w:t xml:space="preserve">Consent and Terms &amp; Conditions acceptance at first login (mobile or email) — covering the rights granted to the Anchor over member data usage, with consent logs captured in the system — is confirmed as the standing pattern for all new groups/clients going forward, not a one-off exception (DR-088, 24-Aug-2026).</w:t>
      </w:r>
    </w:p>
    <w:p>
      <w:pPr>
        <w:pStyle w:val="Heading2"/>
        <w:spacing w:after="160" w:before="300"/>
      </w:pPr>
      <w:r>
        <w:t xml:space="preserve">4.2 Bulk Profile Creation Workflow</w:t>
      </w:r>
    </w:p>
    <w:p>
      <w:pPr>
        <w:spacing w:after="160"/>
      </w:pPr>
      <w:r>
        <w:rPr>
          <w:b/>
          <w:bCs/>
          <w:i w:val="false"/>
          <w:iCs w:val="false"/>
        </w:rPr>
        <w:t xml:space="preserve">Process Flow</w:t>
      </w:r>
    </w:p>
    <w:p>
      <w:pPr>
        <w:pStyle w:val="ListParagraph"/>
        <w:numPr>
          <w:ilvl w:val="0"/>
          <w:numId w:val="3"/>
        </w:numPr>
        <w:spacing w:after="100"/>
      </w:pPr>
      <w:r>
        <w:rPr>
          <w:i w:val="false"/>
          <w:iCs w:val="false"/>
        </w:rPr>
        <w:t xml:space="preserve">Anchor uploads alumni list (CSV file or multi-row grid input), or triggers profile generation for one or more existing members</w:t>
      </w:r>
    </w:p>
    <w:p>
      <w:pPr>
        <w:pStyle w:val="ListParagraph"/>
        <w:numPr>
          <w:ilvl w:val="0"/>
          <w:numId w:val="3"/>
        </w:numPr>
        <w:spacing w:after="100"/>
      </w:pPr>
      <w:r>
        <w:rPr>
          <w:i w:val="false"/>
          <w:iCs w:val="false"/>
        </w:rPr>
        <w:t xml:space="preserve">System prompts "Generate Profile Now / Later?"; if Now, the LLM generates a structured profile summary using the Anchor-supplied source links and cohort context</w:t>
      </w:r>
    </w:p>
    <w:p>
      <w:pPr>
        <w:pStyle w:val="ListParagraph"/>
        <w:numPr>
          <w:ilvl w:val="0"/>
          <w:numId w:val="3"/>
        </w:numPr>
        <w:spacing w:after="100"/>
      </w:pPr>
      <w:r>
        <w:rPr>
          <w:i w:val="false"/>
          <w:iCs w:val="false"/>
        </w:rPr>
        <w:t xml:space="preserve">Anchor reviews generated content and edits individual profiles as needed — a discoverable "Edit / Review the text" control with auto-focus on the biography text area was added in v1.3 (AI-2508-01, MoM 25-Aug-2026) after client feedback identified that the AI-generated bio was technically editable but the UI gave no visible signal or return path from the Publish screen</w:t>
      </w:r>
    </w:p>
    <w:p>
      <w:pPr>
        <w:pStyle w:val="ListParagraph"/>
        <w:numPr>
          <w:ilvl w:val="0"/>
          <w:numId w:val="3"/>
        </w:numPr>
        <w:spacing w:after="100"/>
      </w:pPr>
      <w:r>
        <w:rPr>
          <w:i w:val="false"/>
          <w:iCs w:val="false"/>
        </w:rPr>
        <w:t xml:space="preserve">Anchor exports profile outputs (Text / Word / CSV format)</w:t>
      </w:r>
    </w:p>
    <w:p>
      <w:pPr>
        <w:pStyle w:val="ListParagraph"/>
        <w:numPr>
          <w:ilvl w:val="0"/>
          <w:numId w:val="3"/>
        </w:numPr>
        <w:spacing w:after="100"/>
      </w:pPr>
      <w:r>
        <w:rPr>
          <w:i w:val="false"/>
          <w:iCs w:val="false"/>
        </w:rPr>
        <w:t xml:space="preserve">Anchor shares profiles for member approval</w:t>
      </w:r>
    </w:p>
    <w:p>
      <w:pPr>
        <w:pStyle w:val="ListParagraph"/>
        <w:numPr>
          <w:ilvl w:val="0"/>
          <w:numId w:val="3"/>
        </w:numPr>
        <w:spacing w:after="100"/>
      </w:pPr>
      <w:r>
        <w:rPr>
          <w:i w:val="false"/>
          <w:iCs w:val="false"/>
        </w:rPr>
        <w:t xml:space="preserve">Member reviews profile → Anchor approves → Profile published</w:t>
      </w:r>
    </w:p>
    <w:p>
      <w:pPr>
        <w:pStyle w:val="Heading3"/>
        <w:spacing w:after="120" w:before="220"/>
      </w:pPr>
      <w:r>
        <w:t xml:space="preserve">Profile Enrichment Sources</w:t>
      </w:r>
    </w:p>
    <w:p>
      <w:pPr>
        <w:spacing w:after="160"/>
      </w:pPr>
      <w:r>
        <w:rPr>
          <w:i w:val="false"/>
          <w:iCs w:val="false"/>
        </w:rPr>
        <w:t xml:space="preserve">LinkedIn scraping is confirmed </w:t>
      </w:r>
      <w:r>
        <w:rPr>
          <w:b/>
          <w:bCs/>
          <w:i w:val="false"/>
          <w:iCs w:val="false"/>
        </w:rPr>
        <w:t xml:space="preserve">infeasible under any tool</w:t>
      </w:r>
      <w:r>
        <w:rPr>
          <w:i w:val="false"/>
          <w:iCs w:val="false"/>
        </w:rPr>
        <w:t xml:space="preserve"> — LinkedIn blocks unauthenticated access outright, even for a member-supplied LinkedIn URL. This was reaffirmed as still current on 25-Aug-2026 (MoM item 2). Where a member supplies a LinkedIn URL, the platform stores the URL on the profile only; it is never scraped or used as a live extraction source.</w:t>
      </w:r>
    </w:p>
    <w:p>
      <w:pPr>
        <w:pStyle w:val="ListParagraph"/>
        <w:numPr>
          <w:ilvl w:val="0"/>
          <w:numId w:val="2"/>
        </w:numPr>
        <w:spacing w:after="100"/>
      </w:pPr>
      <w:r>
        <w:rPr>
          <w:b/>
          <w:bCs/>
          <w:i w:val="false"/>
          <w:iCs w:val="false"/>
        </w:rPr>
        <w:t xml:space="preserve">Firecrawl</w:t>
      </w:r>
      <w:r>
        <w:rPr>
          <w:i w:val="false"/>
          <w:iCs w:val="false"/>
        </w:rPr>
        <w:t xml:space="preserve"> — primary enrichment engine, adopted over the direct LinkedIn API for better data richness and to avoid LinkedIn's API/scraping restrictions (DR-002)</w:t>
      </w:r>
    </w:p>
    <w:p>
      <w:pPr>
        <w:pStyle w:val="ListParagraph"/>
        <w:numPr>
          <w:ilvl w:val="0"/>
          <w:numId w:val="2"/>
        </w:numPr>
        <w:spacing w:after="100"/>
      </w:pPr>
      <w:r>
        <w:rPr>
          <w:b/>
          <w:bCs/>
          <w:i w:val="false"/>
          <w:iCs w:val="false"/>
        </w:rPr>
        <w:t xml:space="preserve">DuckDuckGo</w:t>
      </w:r>
      <w:r>
        <w:rPr>
          <w:i w:val="false"/>
          <w:iCs w:val="false"/>
        </w:rPr>
        <w:t xml:space="preserve"> — confirmed complement for public web search (DR-003)</w:t>
      </w:r>
    </w:p>
    <w:p>
      <w:pPr>
        <w:pStyle w:val="ListParagraph"/>
        <w:numPr>
          <w:ilvl w:val="0"/>
          <w:numId w:val="2"/>
        </w:numPr>
        <w:spacing w:after="100"/>
      </w:pPr>
      <w:r>
        <w:rPr>
          <w:i w:val="false"/>
          <w:iCs w:val="false"/>
        </w:rPr>
        <w:t xml:space="preserve">Personal websites, blogs, Crunchbase, news articles and other public web sources, reached via Firecrawl/DuckDuckGo rather than dedicated per-source fields</w:t>
      </w:r>
    </w:p>
    <w:p>
      <w:pPr>
        <w:pStyle w:val="ListParagraph"/>
        <w:numPr>
          <w:ilvl w:val="0"/>
          <w:numId w:val="2"/>
        </w:numPr>
        <w:spacing w:after="100"/>
      </w:pPr>
      <w:r>
        <w:rPr>
          <w:i w:val="false"/>
          <w:iCs w:val="false"/>
        </w:rPr>
        <w:t xml:space="preserve">A single free-text </w:t>
      </w:r>
      <w:r>
        <w:rPr>
          <w:b/>
          <w:bCs/>
          <w:i w:val="false"/>
          <w:iCs w:val="false"/>
        </w:rPr>
        <w:t xml:space="preserve">"provide as many links as possible"</w:t>
      </w:r>
      <w:r>
        <w:rPr>
          <w:i w:val="false"/>
          <w:iCs w:val="false"/>
        </w:rPr>
        <w:t xml:space="preserve"> box has replaced the earlier itemized LinkedIn / Crunchbase / blog input fields (DR-029, 02-Jun-2026)</w:t>
      </w:r>
    </w:p>
    <w:p>
      <w:pPr>
        <w:pStyle w:val="Heading3"/>
        <w:spacing w:after="120" w:before="220"/>
      </w:pPr>
      <w:r>
        <w:t xml:space="preserve">LLM &amp; Guardrails</w:t>
      </w:r>
    </w:p>
    <w:p>
      <w:pPr>
        <w:pStyle w:val="ListParagraph"/>
        <w:numPr>
          <w:ilvl w:val="0"/>
          <w:numId w:val="2"/>
        </w:numPr>
        <w:spacing w:after="100"/>
      </w:pPr>
      <w:r>
        <w:rPr>
          <w:b/>
          <w:bCs/>
          <w:i w:val="false"/>
          <w:iCs w:val="false"/>
        </w:rPr>
        <w:t xml:space="preserve">Claude Sonnet 4.6 (Anthropic)</w:t>
      </w:r>
      <w:r>
        <w:rPr>
          <w:i w:val="false"/>
          <w:iCs w:val="false"/>
        </w:rPr>
        <w:t xml:space="preserve"> is the confirmed default LLM for Profile Builder, configured at the back end and not member-selectable in Delta (DR-004, 02-Jun-2026); Anchor-level LLM choice is reserved as a paid/premium-tier feature for Alpha</w:t>
      </w:r>
    </w:p>
    <w:p>
      <w:pPr>
        <w:pStyle w:val="ListParagraph"/>
        <w:numPr>
          <w:ilvl w:val="0"/>
          <w:numId w:val="2"/>
        </w:numPr>
        <w:spacing w:after="100"/>
      </w:pPr>
      <w:r>
        <w:rPr>
          <w:i w:val="false"/>
          <w:iCs w:val="false"/>
        </w:rPr>
        <w:t xml:space="preserve">LLM token consumption is capped at </w:t>
      </w:r>
      <w:r>
        <w:rPr>
          <w:b/>
          <w:bCs/>
          <w:i w:val="false"/>
          <w:iCs w:val="false"/>
        </w:rPr>
        <w:t xml:space="preserve">3 attempts</w:t>
      </w:r>
      <w:r>
        <w:rPr>
          <w:i w:val="false"/>
          <w:iCs w:val="false"/>
        </w:rPr>
        <w:t xml:space="preserve"> per generation to prevent indefinite retry loops and runaway API cost (DR-005, 09-Jun-2026)</w:t>
      </w:r>
    </w:p>
    <w:p>
      <w:pPr>
        <w:pStyle w:val="ListParagraph"/>
        <w:numPr>
          <w:ilvl w:val="0"/>
          <w:numId w:val="2"/>
        </w:numPr>
        <w:spacing w:after="100"/>
      </w:pPr>
      <w:r>
        <w:rPr>
          <w:b/>
          <w:bCs/>
          <w:i w:val="false"/>
          <w:iCs w:val="false"/>
        </w:rPr>
        <w:t xml:space="preserve">Two-step consent</w:t>
      </w:r>
      <w:r>
        <w:rPr>
          <w:i w:val="false"/>
          <w:iCs w:val="false"/>
        </w:rPr>
        <w:t xml:space="preserve"> is mandatory: separate consent for (1) data extraction from public sources and (2) publishing the generated profile in-platform (DR-030)</w:t>
      </w:r>
    </w:p>
    <w:p>
      <w:pPr>
        <w:pStyle w:val="ListParagraph"/>
        <w:numPr>
          <w:ilvl w:val="0"/>
          <w:numId w:val="2"/>
        </w:numPr>
        <w:spacing w:after="100"/>
      </w:pPr>
      <w:r>
        <w:rPr>
          <w:i w:val="false"/>
          <w:iCs w:val="false"/>
        </w:rPr>
        <w:t xml:space="preserve">AI-generated bios are an acceptable starting point provided the Anchor manually reviews and refines the generated text before publishing — output accuracy varies and some bios pick up embellished, less input-driven claims (DR-084, 24-Aug-2026)</w:t>
      </w:r>
    </w:p>
    <w:p>
      <w:pPr>
        <w:pStyle w:val="Heading3"/>
        <w:spacing w:after="120" w:before="220"/>
      </w:pPr>
      <w:r>
        <w:t xml:space="preserve">Anchor Actions on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Action</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r>
      <w:tr>
        <w:tc>
          <w:tcPr>
            <w:tcW w:type="dxa" w:w="5040"/>
            <w:tcMar>
              <w:top w:type="dxa" w:w="80"/>
              <w:left w:type="dxa" w:w="100"/>
              <w:bottom w:type="dxa" w:w="80"/>
              <w:right w:type="dxa" w:w="100"/>
            </w:tcMar>
            <w:vAlign w:val="center"/>
          </w:tcPr>
          <w:p>
            <w:r>
              <w:rPr>
                <w:i w:val="false"/>
                <w:iCs w:val="false"/>
                <w:sz w:val="19"/>
                <w:szCs w:val="19"/>
              </w:rPr>
              <w:t xml:space="preserve">Update profile content</w:t>
            </w:r>
          </w:p>
        </w:tc>
        <w:tc>
          <w:tcPr>
            <w:tcW w:type="dxa" w:w="5040"/>
            <w:tcMar>
              <w:top w:type="dxa" w:w="80"/>
              <w:left w:type="dxa" w:w="100"/>
              <w:bottom w:type="dxa" w:w="80"/>
              <w:right w:type="dxa" w:w="100"/>
            </w:tcMar>
            <w:vAlign w:val="center"/>
          </w:tcPr>
          <w:p>
            <w:r>
              <w:rPr>
                <w:i w:val="false"/>
                <w:iCs w:val="false"/>
                <w:sz w:val="19"/>
                <w:szCs w:val="19"/>
              </w:rPr>
              <w:t xml:space="preserve">Edit AI-generated or member-provided profile information via the discoverable Edit/Review control</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Approve profile changes</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Review and approve member-submitted profile edits</w:t>
            </w:r>
          </w:p>
        </w:tc>
      </w:tr>
      <w:tr>
        <w:tc>
          <w:tcPr>
            <w:tcW w:type="dxa" w:w="5040"/>
            <w:tcMar>
              <w:top w:type="dxa" w:w="80"/>
              <w:left w:type="dxa" w:w="100"/>
              <w:bottom w:type="dxa" w:w="80"/>
              <w:right w:type="dxa" w:w="100"/>
            </w:tcMar>
            <w:vAlign w:val="center"/>
          </w:tcPr>
          <w:p>
            <w:r>
              <w:rPr>
                <w:i w:val="false"/>
                <w:iCs w:val="false"/>
                <w:sz w:val="19"/>
                <w:szCs w:val="19"/>
              </w:rPr>
              <w:t xml:space="preserve">Add photo</w:t>
            </w:r>
          </w:p>
        </w:tc>
        <w:tc>
          <w:tcPr>
            <w:tcW w:type="dxa" w:w="5040"/>
            <w:tcMar>
              <w:top w:type="dxa" w:w="80"/>
              <w:left w:type="dxa" w:w="100"/>
              <w:bottom w:type="dxa" w:w="80"/>
              <w:right w:type="dxa" w:w="100"/>
            </w:tcMar>
            <w:vAlign w:val="center"/>
          </w:tcPr>
          <w:p>
            <w:r>
              <w:rPr>
                <w:i w:val="false"/>
                <w:iCs w:val="false"/>
                <w:sz w:val="19"/>
                <w:szCs w:val="19"/>
              </w:rPr>
              <w:t xml:space="preserve">Upload or assign a profile photo/avatar</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Append content</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Add additional profile data fields</w:t>
            </w:r>
          </w:p>
        </w:tc>
      </w:tr>
      <w:tr>
        <w:tc>
          <w:tcPr>
            <w:tcW w:type="dxa" w:w="5040"/>
            <w:tcMar>
              <w:top w:type="dxa" w:w="80"/>
              <w:left w:type="dxa" w:w="100"/>
              <w:bottom w:type="dxa" w:w="80"/>
              <w:right w:type="dxa" w:w="100"/>
            </w:tcMar>
            <w:vAlign w:val="center"/>
          </w:tcPr>
          <w:p>
            <w:r>
              <w:rPr>
                <w:i w:val="false"/>
                <w:iCs w:val="false"/>
                <w:sz w:val="19"/>
                <w:szCs w:val="19"/>
              </w:rPr>
              <w:t xml:space="preserve">Export profile</w:t>
            </w:r>
          </w:p>
        </w:tc>
        <w:tc>
          <w:tcPr>
            <w:tcW w:type="dxa" w:w="5040"/>
            <w:tcMar>
              <w:top w:type="dxa" w:w="80"/>
              <w:left w:type="dxa" w:w="100"/>
              <w:bottom w:type="dxa" w:w="80"/>
              <w:right w:type="dxa" w:w="100"/>
            </w:tcMar>
            <w:vAlign w:val="center"/>
          </w:tcPr>
          <w:p>
            <w:r>
              <w:rPr>
                <w:i w:val="false"/>
                <w:iCs w:val="false"/>
                <w:sz w:val="19"/>
                <w:szCs w:val="19"/>
              </w:rPr>
              <w:t xml:space="preserve">Export individual or bulk profiles in Text / Word / CSV format</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View timestamp</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Profile shows 'Last Updated On' timestamp under each summary</w:t>
            </w:r>
          </w:p>
        </w:tc>
      </w:tr>
    </w:tbl>
    <w:p>
      <w:pPr>
        <w:pStyle w:val="Heading1"/>
        <w:spacing w:after="200" w:before="400"/>
      </w:pPr>
      <w:r>
        <w:t xml:space="preserve">5. Event Planning Module (D1–D4 Framework)</w:t>
      </w:r>
    </w:p>
    <w:p>
      <w:pPr>
        <w:pStyle w:val="Heading2"/>
        <w:spacing w:after="160" w:before="300"/>
      </w:pPr>
      <w:r>
        <w:t xml:space="preserve">5.1 Overview</w:t>
      </w:r>
    </w:p>
    <w:p>
      <w:pPr>
        <w:spacing w:after="160"/>
      </w:pPr>
      <w:r>
        <w:rPr>
          <w:i w:val="false"/>
          <w:iCs w:val="false"/>
        </w:rPr>
        <w:t xml:space="preserve">The Event Planning Module originally used the D3 Framework (Duration, Date, Destination). This was formally extended on 10-Jun-2026 to the </w:t>
      </w:r>
      <w:r>
        <w:rPr>
          <w:b/>
          <w:bCs/>
          <w:i w:val="false"/>
          <w:iCs w:val="false"/>
        </w:rPr>
        <w:t xml:space="preserve">D1–D4 Framework</w:t>
      </w:r>
      <w:r>
        <w:rPr>
          <w:i w:val="false"/>
          <w:iCs w:val="false"/>
        </w:rPr>
        <w:t xml:space="preserve"> — D1 = Dates, D2 = Duration, D3 = Destination (International/Domestic, location type, specific city), D4 = Dollars (budget range in INR) — structured through a poll-driven workflow (DR-036). Anchors initiate and manage the complete event lifecycle from creation through execution; per RULE-007, the Anchor drives every event phase transition explicitly — no phase auto-advances.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D1–D4 Component</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Nature</w:t>
            </w:r>
          </w:p>
        </w:tc>
      </w:tr>
      <w:tr>
        <w:tc>
          <w:tcPr>
            <w:tcW w:type="dxa" w:w="3360"/>
            <w:tcMar>
              <w:top w:type="dxa" w:w="80"/>
              <w:left w:type="dxa" w:w="100"/>
              <w:bottom w:type="dxa" w:w="80"/>
              <w:right w:type="dxa" w:w="100"/>
            </w:tcMar>
            <w:vAlign w:val="center"/>
          </w:tcPr>
          <w:p>
            <w:r>
              <w:rPr>
                <w:i w:val="false"/>
                <w:iCs w:val="false"/>
                <w:sz w:val="19"/>
                <w:szCs w:val="19"/>
              </w:rPr>
              <w:t xml:space="preserve">D1 — Dates</w:t>
            </w:r>
          </w:p>
        </w:tc>
        <w:tc>
          <w:tcPr>
            <w:tcW w:type="dxa" w:w="3360"/>
            <w:tcMar>
              <w:top w:type="dxa" w:w="80"/>
              <w:left w:type="dxa" w:w="100"/>
              <w:bottom w:type="dxa" w:w="80"/>
              <w:right w:type="dxa" w:w="100"/>
            </w:tcMar>
            <w:vAlign w:val="center"/>
          </w:tcPr>
          <w:p>
            <w:r>
              <w:rPr>
                <w:i w:val="false"/>
                <w:iCs w:val="false"/>
                <w:sz w:val="19"/>
                <w:szCs w:val="19"/>
              </w:rPr>
              <w:t xml:space="preserve">Year and specific date range/window selected through polls</w:t>
            </w:r>
          </w:p>
        </w:tc>
        <w:tc>
          <w:tcPr>
            <w:tcW w:type="dxa" w:w="3360"/>
            <w:tcMar>
              <w:top w:type="dxa" w:w="80"/>
              <w:left w:type="dxa" w:w="100"/>
              <w:bottom w:type="dxa" w:w="80"/>
              <w:right w:type="dxa" w:w="100"/>
            </w:tcMar>
            <w:vAlign w:val="center"/>
          </w:tcPr>
          <w:p>
            <w:r>
              <w:rPr>
                <w:i w:val="false"/>
                <w:iCs w:val="false"/>
                <w:sz w:val="19"/>
                <w:szCs w:val="19"/>
              </w:rPr>
              <w:t xml:space="preserve">Dynamic — poll-driven</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D2 — Duration</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Length of the event (e.g. Day Trip through Week)</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Dynamic — poll-driven</w:t>
            </w:r>
          </w:p>
        </w:tc>
      </w:tr>
      <w:tr>
        <w:tc>
          <w:tcPr>
            <w:tcW w:type="dxa" w:w="3360"/>
            <w:tcMar>
              <w:top w:type="dxa" w:w="80"/>
              <w:left w:type="dxa" w:w="100"/>
              <w:bottom w:type="dxa" w:w="80"/>
              <w:right w:type="dxa" w:w="100"/>
            </w:tcMar>
            <w:vAlign w:val="center"/>
          </w:tcPr>
          <w:p>
            <w:r>
              <w:rPr>
                <w:i w:val="false"/>
                <w:iCs w:val="false"/>
                <w:sz w:val="19"/>
                <w:szCs w:val="19"/>
              </w:rPr>
              <w:t xml:space="preserve">D3 — Destination</w:t>
            </w:r>
          </w:p>
        </w:tc>
        <w:tc>
          <w:tcPr>
            <w:tcW w:type="dxa" w:w="3360"/>
            <w:tcMar>
              <w:top w:type="dxa" w:w="80"/>
              <w:left w:type="dxa" w:w="100"/>
              <w:bottom w:type="dxa" w:w="80"/>
              <w:right w:type="dxa" w:w="100"/>
            </w:tcMar>
            <w:vAlign w:val="center"/>
          </w:tcPr>
          <w:p>
            <w:r>
              <w:rPr>
                <w:i w:val="false"/>
                <w:iCs w:val="false"/>
                <w:sz w:val="19"/>
                <w:szCs w:val="19"/>
              </w:rPr>
              <w:t xml:space="preserve">International/Domestic, location type (Urban/Sea/Hill/Jungle/Backwaters/Golf/Health Retreat), and specific city</w:t>
            </w:r>
          </w:p>
        </w:tc>
        <w:tc>
          <w:tcPr>
            <w:tcW w:type="dxa" w:w="3360"/>
            <w:tcMar>
              <w:top w:type="dxa" w:w="80"/>
              <w:left w:type="dxa" w:w="100"/>
              <w:bottom w:type="dxa" w:w="80"/>
              <w:right w:type="dxa" w:w="100"/>
            </w:tcMar>
            <w:vAlign w:val="center"/>
          </w:tcPr>
          <w:p>
            <w:r>
              <w:rPr>
                <w:i w:val="false"/>
                <w:iCs w:val="false"/>
                <w:sz w:val="19"/>
                <w:szCs w:val="19"/>
              </w:rPr>
              <w:t xml:space="preserve">Dynamic — poll-driven</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D4 — Dollars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Budget band (INR range) the group is comfortable with</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Dynamic — poll-driven</w:t>
            </w:r>
          </w:p>
        </w:tc>
      </w:tr>
    </w:tbl>
    <w:p>
      <w:pPr>
        <w:pBdr>
          <w:left w:val="single" w:color="BF9000" w:sz="12"/>
        </w:pBdr>
        <w:shd w:fill="FFF2CC" w:val="clear"/>
        <w:spacing w:after="160" w:before="80"/>
        <w:ind w:left="120"/>
      </w:pPr>
      <w:r>
        <w:rPr>
          <w:b/>
          <w:bCs/>
          <w:i/>
          <w:iCs/>
        </w:rPr>
        <w:t xml:space="preserve">Note: </w:t>
      </w:r>
      <w:r>
        <w:rPr>
          <w:i/>
          <w:iCs/>
        </w:rPr>
        <w:t xml:space="preserve">Event categorization was refactored on 11-Aug-2026 (DR-038): </w:t>
      </w:r>
      <w:r>
        <w:rPr>
          <w:b/>
          <w:bCs/>
          <w:i/>
          <w:iCs/>
        </w:rPr>
        <w:t xml:space="preserve">Reunion/Social</w:t>
      </w:r>
      <w:r>
        <w:rPr>
          <w:i/>
          <w:iCs/>
        </w:rPr>
        <w:t xml:space="preserve"> and </w:t>
      </w:r>
      <w:r>
        <w:rPr>
          <w:b/>
          <w:bCs/>
          <w:i/>
          <w:iCs/>
        </w:rPr>
        <w:t xml:space="preserve">Sports</w:t>
      </w:r>
      <w:r>
        <w:rPr>
          <w:i/>
          <w:iCs/>
        </w:rPr>
        <w:t xml:space="preserve"> are now separate high-level event categories. A small set of generic tiles (Poll, Itinerary, RSVP) is always available for any event; category-specific tiles (CostGPT and Travel for Reunion/Social events; sport-specific flows for Sports events) are placed under their respective categories. Target: v1.3+.</w:t>
      </w:r>
    </w:p>
    <w:p>
      <w:pPr>
        <w:pStyle w:val="Heading2"/>
        <w:spacing w:after="160" w:before="300"/>
      </w:pPr>
      <w:r>
        <w:t xml:space="preserve">5.2 Event Creation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Priority</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2520"/>
            <w:tcMar>
              <w:top w:type="dxa" w:w="80"/>
              <w:left w:type="dxa" w:w="100"/>
              <w:bottom w:type="dxa" w:w="80"/>
              <w:right w:type="dxa" w:w="100"/>
            </w:tcMar>
            <w:vAlign w:val="center"/>
          </w:tcPr>
          <w:p>
            <w:r>
              <w:rPr>
                <w:i w:val="false"/>
                <w:iCs w:val="false"/>
                <w:sz w:val="19"/>
                <w:szCs w:val="19"/>
              </w:rPr>
              <w:t xml:space="preserve">Create Event</w:t>
            </w:r>
          </w:p>
        </w:tc>
        <w:tc>
          <w:tcPr>
            <w:tcW w:type="dxa" w:w="2520"/>
            <w:tcMar>
              <w:top w:type="dxa" w:w="80"/>
              <w:left w:type="dxa" w:w="100"/>
              <w:bottom w:type="dxa" w:w="80"/>
              <w:right w:type="dxa" w:w="100"/>
            </w:tcMar>
            <w:vAlign w:val="center"/>
          </w:tcPr>
          <w:p>
            <w:r>
              <w:rPr>
                <w:i w:val="false"/>
                <w:iCs w:val="false"/>
                <w:sz w:val="19"/>
                <w:szCs w:val="19"/>
              </w:rPr>
              <w:t xml:space="preserve">Anchor creates a reunion/event with a name, description, and event slot(s); the 'Draft' field was removed and the date picker replaced with a more user-friendly alternative (10-Jun-2026)</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Event Slots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Anchor can create event slots for a defined period (e.g., one year)</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Reunion/Social vs. Sports Categories</w:t>
            </w:r>
          </w:p>
        </w:tc>
        <w:tc>
          <w:tcPr>
            <w:tcW w:type="dxa" w:w="2520"/>
            <w:tcMar>
              <w:top w:type="dxa" w:w="80"/>
              <w:left w:type="dxa" w:w="100"/>
              <w:bottom w:type="dxa" w:w="80"/>
              <w:right w:type="dxa" w:w="100"/>
            </w:tcMar>
            <w:vAlign w:val="center"/>
          </w:tcPr>
          <w:p>
            <w:r>
              <w:rPr>
                <w:i w:val="false"/>
                <w:iCs w:val="false"/>
                <w:sz w:val="19"/>
                <w:szCs w:val="19"/>
              </w:rPr>
              <w:t xml:space="preserve">Event category selection at creation drives which tiles/content the event exposes (generic tiles always shown; CostGPT/Travel for Reunion/Social, sport-specific flows for Sports)</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 (target v1.3+, DR-038)</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Propose Multiple Dates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Anchor may propose multiple date options for member voting via the D1–D4 Poll Wizard</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Venue GPT Suggestions</w:t>
            </w:r>
          </w:p>
        </w:tc>
        <w:tc>
          <w:tcPr>
            <w:tcW w:type="dxa" w:w="2520"/>
            <w:tcMar>
              <w:top w:type="dxa" w:w="80"/>
              <w:left w:type="dxa" w:w="100"/>
              <w:bottom w:type="dxa" w:w="80"/>
              <w:right w:type="dxa" w:w="100"/>
            </w:tcMar>
            <w:vAlign w:val="center"/>
          </w:tcPr>
          <w:p>
            <w:r>
              <w:rPr>
                <w:i w:val="false"/>
                <w:iCs w:val="false"/>
                <w:sz w:val="19"/>
                <w:szCs w:val="19"/>
              </w:rPr>
              <w:t xml:space="preserve">Venue options may be generated using GPT-based suggestions once destination is confirmed</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Alpha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Sample Event Content</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Attach PDF documents, public images, sample videos to event</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Event State Machine</w:t>
            </w:r>
          </w:p>
        </w:tc>
        <w:tc>
          <w:tcPr>
            <w:tcW w:type="dxa" w:w="2520"/>
            <w:tcMar>
              <w:top w:type="dxa" w:w="80"/>
              <w:left w:type="dxa" w:w="100"/>
              <w:bottom w:type="dxa" w:w="80"/>
              <w:right w:type="dxa" w:w="100"/>
            </w:tcMar>
            <w:vAlign w:val="center"/>
          </w:tcPr>
          <w:p>
            <w:r>
              <w:rPr>
                <w:i w:val="false"/>
                <w:iCs w:val="false"/>
                <w:sz w:val="19"/>
                <w:szCs w:val="19"/>
              </w:rPr>
              <w:t xml:space="preserve">Draft → Planning → Poll Active → Decision Finalized → Cost Estimation → RSVP Open → Payment Tracking Open → Executed</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Event Dashboard</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View event planning progress and status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bl>
    <w:p>
      <w:pPr>
        <w:spacing w:after="160"/>
      </w:pPr>
      <w:r>
        <w:rPr>
          <w:i w:val="false"/>
          <w:iCs w:val="false"/>
        </w:rPr>
        <w:t xml:space="preserve">Group invitations use a </w:t>
      </w:r>
      <w:r>
        <w:rPr>
          <w:b/>
          <w:bCs/>
          <w:i w:val="false"/>
          <w:iCs w:val="false"/>
        </w:rPr>
        <w:t xml:space="preserve">deep link</w:t>
      </w:r>
      <w:r>
        <w:rPr>
          <w:i w:val="false"/>
          <w:iCs w:val="false"/>
        </w:rPr>
        <w:t xml:space="preserve"> that routes to the mobile app if installed, otherwise to alumni.com (19-Jun-2026). RSVP notifications trigger when the Anchor publishes event details and adds a member to the event's participant list — </w:t>
      </w:r>
      <w:r>
        <w:rPr>
          <w:b/>
          <w:bCs/>
          <w:i w:val="false"/>
          <w:iCs w:val="false"/>
        </w:rPr>
        <w:t xml:space="preserve">not</w:t>
      </w:r>
      <w:r>
        <w:rPr>
          <w:i w:val="false"/>
          <w:iCs w:val="false"/>
        </w:rPr>
        <w:t xml:space="preserve"> on the original group invitation — which keeps group-membership and event-RSVP workflows distinct (DR-046).</w:t>
      </w:r>
    </w:p>
    <w:p>
      <w:pPr>
        <w:pStyle w:val="Heading2"/>
        <w:spacing w:after="160" w:before="300"/>
      </w:pPr>
      <w:r>
        <w:t xml:space="preserve">5.3 D1–D4 Poll Workflow — Step by Step</w:t>
      </w:r>
    </w:p>
    <w:p>
      <w:pPr>
        <w:spacing w:after="160"/>
      </w:pPr>
      <w:r>
        <w:rPr>
          <w:i w:val="false"/>
          <w:iCs w:val="false"/>
        </w:rPr>
        <w:t xml:space="preserve">The originally-documented nine-step manual sequence has been superseded by the shipped guided workflow. As built (Mobile Product Walkthrough §10.1–10.9), the Anchor experience is:</w:t>
      </w:r>
    </w:p>
    <w:p>
      <w:pPr>
        <w:pStyle w:val="ListParagraph"/>
        <w:numPr>
          <w:ilvl w:val="0"/>
          <w:numId w:val="3"/>
        </w:numPr>
        <w:spacing w:after="100"/>
      </w:pPr>
      <w:r>
        <w:rPr>
          <w:b/>
          <w:bCs/>
          <w:i w:val="false"/>
          <w:iCs w:val="false"/>
        </w:rPr>
        <w:t xml:space="preserve">Poll Type Chooser</w:t>
      </w:r>
      <w:r>
        <w:rPr>
          <w:i w:val="false"/>
          <w:iCs w:val="false"/>
        </w:rPr>
        <w:t xml:space="preserve"> — Anchor selects between a Manual poll (5 default questions, with an AI-suggest modal) and the guided </w:t>
      </w:r>
      <w:r>
        <w:rPr>
          <w:b/>
          <w:bCs/>
          <w:i w:val="false"/>
          <w:iCs w:val="false"/>
        </w:rPr>
        <w:t xml:space="preserve">D1–D4 Poll Wizard</w:t>
      </w:r>
    </w:p>
    <w:p>
      <w:pPr>
        <w:pStyle w:val="ListParagraph"/>
        <w:numPr>
          <w:ilvl w:val="0"/>
          <w:numId w:val="3"/>
        </w:numPr>
        <w:spacing w:after="100"/>
      </w:pPr>
      <w:r>
        <w:rPr>
          <w:b/>
          <w:bCs/>
          <w:i w:val="false"/>
          <w:iCs w:val="false"/>
        </w:rPr>
        <w:t xml:space="preserve">D1–D4 Poll Wizard (5 steps)</w:t>
      </w:r>
      <w:r>
        <w:rPr>
          <w:i w:val="false"/>
          <w:iCs w:val="false"/>
        </w:rPr>
        <w:t xml:space="preserve"> — Year → Dates → Duration → Destination → Budget, following the fixed question sequence: Q1 dimension-already-decided check → Q2 year (2026/2027/2028) → Q3 month-vs-specific-dates mode → Q4 conditional months/dates → Q5 duration → Q6 destination type (Int'l/Domestic) → Q7 location type (multi-select) → Q8 specific city → Q9 budget band</w:t>
      </w:r>
    </w:p>
    <w:p>
      <w:pPr>
        <w:pStyle w:val="ListParagraph"/>
        <w:numPr>
          <w:ilvl w:val="0"/>
          <w:numId w:val="3"/>
        </w:numPr>
        <w:spacing w:after="100"/>
      </w:pPr>
      <w:r>
        <w:rPr>
          <w:b/>
          <w:bCs/>
          <w:i w:val="false"/>
          <w:iCs w:val="false"/>
        </w:rPr>
        <w:t xml:space="preserve">Review &amp; Launch</w:t>
      </w:r>
      <w:r>
        <w:rPr>
          <w:i w:val="false"/>
          <w:iCs w:val="false"/>
        </w:rPr>
        <w:t xml:space="preserve"> — poll creation is decoupled from launch; a `poll_set_id` keeps distinct poll sets from merging</w:t>
      </w:r>
    </w:p>
    <w:p>
      <w:pPr>
        <w:pStyle w:val="ListParagraph"/>
        <w:numPr>
          <w:ilvl w:val="0"/>
          <w:numId w:val="3"/>
        </w:numPr>
        <w:spacing w:after="100"/>
      </w:pPr>
      <w:r>
        <w:rPr>
          <w:b/>
          <w:bCs/>
          <w:i w:val="false"/>
          <w:iCs w:val="false"/>
        </w:rPr>
        <w:t xml:space="preserve">Live Tracking</w:t>
      </w:r>
      <w:r>
        <w:rPr>
          <w:i w:val="false"/>
          <w:iCs w:val="false"/>
        </w:rPr>
        <w:t xml:space="preserve"> — Anchor views aggregate response counts only (individual responses are anonymized — see §6.2); Anchor can close the poll</w:t>
      </w:r>
    </w:p>
    <w:p>
      <w:pPr>
        <w:pStyle w:val="ListParagraph"/>
        <w:numPr>
          <w:ilvl w:val="0"/>
          <w:numId w:val="3"/>
        </w:numPr>
        <w:spacing w:after="100"/>
      </w:pPr>
      <w:r>
        <w:rPr>
          <w:b/>
          <w:bCs/>
          <w:i w:val="false"/>
          <w:iCs w:val="false"/>
        </w:rPr>
        <w:t xml:space="preserve">Poll Output</w:t>
      </w:r>
      <w:r>
        <w:rPr>
          <w:i w:val="false"/>
          <w:iCs w:val="false"/>
        </w:rPr>
        <w:t xml:space="preserve"> — results shown in a 2×2 layout (Anchor's choice + AI/Claude-suggested "popular choice"); a Confirmed Poll routes directly into CostGPT; an Update Event button is available</w:t>
      </w:r>
    </w:p>
    <w:p>
      <w:pPr>
        <w:pStyle w:val="ListParagraph"/>
        <w:numPr>
          <w:ilvl w:val="0"/>
          <w:numId w:val="3"/>
        </w:numPr>
        <w:spacing w:after="100"/>
      </w:pPr>
      <w:r>
        <w:rPr>
          <w:b/>
          <w:bCs/>
          <w:i w:val="false"/>
          <w:iCs w:val="false"/>
        </w:rPr>
        <w:t xml:space="preserve">CostGPT Estimation</w:t>
      </w:r>
      <w:r>
        <w:rPr>
          <w:i w:val="false"/>
          <w:iCs w:val="false"/>
        </w:rPr>
        <w:t xml:space="preserve"> — Anchor uses CostGPT to estimate event costs based on the confirmed D1–D4 selections</w:t>
      </w:r>
    </w:p>
    <w:p>
      <w:pPr>
        <w:pStyle w:val="ListParagraph"/>
        <w:numPr>
          <w:ilvl w:val="0"/>
          <w:numId w:val="3"/>
        </w:numPr>
        <w:spacing w:after="100"/>
      </w:pPr>
      <w:r>
        <w:rPr>
          <w:b/>
          <w:bCs/>
          <w:i w:val="false"/>
          <w:iCs w:val="false"/>
        </w:rPr>
        <w:t xml:space="preserve">RSVP Launch</w:t>
      </w:r>
      <w:r>
        <w:rPr>
          <w:i w:val="false"/>
          <w:iCs w:val="false"/>
        </w:rPr>
        <w:t xml:space="preserve"> — Anchor creates invitations and triggers RSVP</w:t>
      </w:r>
    </w:p>
    <w:p>
      <w:pPr>
        <w:pStyle w:val="ListParagraph"/>
        <w:numPr>
          <w:ilvl w:val="0"/>
          <w:numId w:val="3"/>
        </w:numPr>
        <w:spacing w:after="100"/>
      </w:pPr>
      <w:r>
        <w:rPr>
          <w:b/>
          <w:bCs/>
          <w:i w:val="false"/>
          <w:iCs w:val="false"/>
        </w:rPr>
        <w:t xml:space="preserve">Payment Tracking</w:t>
      </w:r>
      <w:r>
        <w:rPr>
          <w:i w:val="false"/>
          <w:iCs w:val="false"/>
        </w:rPr>
        <w:t xml:space="preserve"> — Anchor records payments manually against RSVP-confirmed members (see §9)</w:t>
      </w:r>
    </w:p>
    <w:p>
      <w:pPr>
        <w:pStyle w:val="ListParagraph"/>
        <w:numPr>
          <w:ilvl w:val="0"/>
          <w:numId w:val="3"/>
        </w:numPr>
        <w:spacing w:after="100"/>
      </w:pPr>
      <w:r>
        <w:rPr>
          <w:b/>
          <w:bCs/>
          <w:i w:val="false"/>
          <w:iCs w:val="false"/>
        </w:rPr>
        <w:t xml:space="preserve">Post-RSVP Preference Polls</w:t>
      </w:r>
      <w:r>
        <w:rPr>
          <w:i w:val="false"/>
          <w:iCs w:val="false"/>
        </w:rPr>
        <w:t xml:space="preserve"> — Veg/Non-Veg and Alcohol/Non-Alcohol preference collection</w:t>
      </w:r>
    </w:p>
    <w:p>
      <w:pPr>
        <w:pBdr>
          <w:left w:val="single" w:color="BF9000" w:sz="12"/>
        </w:pBdr>
        <w:shd w:fill="FFF2CC" w:val="clear"/>
        <w:spacing w:after="160" w:before="80"/>
        <w:ind w:left="120"/>
      </w:pPr>
      <w:r>
        <w:rPr>
          <w:b/>
          <w:bCs/>
          <w:i/>
          <w:iCs/>
        </w:rPr>
        <w:t xml:space="preserve">Note: </w:t>
      </w:r>
      <w:r>
        <w:rPr>
          <w:i/>
          <w:iCs/>
        </w:rPr>
        <w:t xml:space="preserve">The D1–D4 poll's question sequence is </w:t>
      </w:r>
      <w:r>
        <w:rPr>
          <w:b/>
          <w:bCs/>
          <w:i/>
          <w:iCs/>
        </w:rPr>
        <w:t xml:space="preserve">rules-based branching</w:t>
      </w:r>
      <w:r>
        <w:rPr>
          <w:i/>
          <w:iCs/>
        </w:rPr>
        <w:t xml:space="preserve">, not an AI-authored poll — a generative AI poll-authoring agent was explicitly judged not required for Delta (DR-044, 10-Jun-2026). Poll </w:t>
      </w:r>
      <w:r>
        <w:rPr>
          <w:b/>
          <w:bCs/>
          <w:i/>
          <w:iCs/>
        </w:rPr>
        <w:t xml:space="preserve">analysis</w:t>
      </w:r>
      <w:r>
        <w:rPr>
          <w:i/>
          <w:iCs/>
        </w:rPr>
        <w:t xml:space="preserve"> output, however, does use a common generative-AI engine shared across D1–D4, RSVP, and custom polls, with prompt-tuning (rather than separate engines) controlling analytical depth per poll type (DR-050).</w:t>
      </w:r>
    </w:p>
    <w:p>
      <w:pPr>
        <w:pStyle w:val="Heading2"/>
        <w:spacing w:after="160" w:before="300"/>
      </w:pPr>
      <w:r>
        <w:t xml:space="preserve">5.4 Event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Component</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Nature</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r>
      <w:tr>
        <w:tc>
          <w:tcPr>
            <w:tcW w:type="dxa" w:w="3360"/>
            <w:tcMar>
              <w:top w:type="dxa" w:w="80"/>
              <w:left w:type="dxa" w:w="100"/>
              <w:bottom w:type="dxa" w:w="80"/>
              <w:right w:type="dxa" w:w="100"/>
            </w:tcMar>
            <w:vAlign w:val="center"/>
          </w:tcPr>
          <w:p>
            <w:r>
              <w:rPr>
                <w:i w:val="false"/>
                <w:iCs w:val="false"/>
                <w:sz w:val="19"/>
                <w:szCs w:val="19"/>
              </w:rPr>
              <w:t xml:space="preserve">Venue</w:t>
            </w:r>
          </w:p>
        </w:tc>
        <w:tc>
          <w:tcPr>
            <w:tcW w:type="dxa" w:w="3360"/>
            <w:tcMar>
              <w:top w:type="dxa" w:w="80"/>
              <w:left w:type="dxa" w:w="100"/>
              <w:bottom w:type="dxa" w:w="80"/>
              <w:right w:type="dxa" w:w="100"/>
            </w:tcMar>
            <w:vAlign w:val="center"/>
          </w:tcPr>
          <w:p>
            <w:r>
              <w:rPr>
                <w:i w:val="false"/>
                <w:iCs w:val="false"/>
                <w:sz w:val="19"/>
                <w:szCs w:val="19"/>
              </w:rPr>
              <w:t xml:space="preserve">Static</w:t>
            </w:r>
          </w:p>
        </w:tc>
        <w:tc>
          <w:tcPr>
            <w:tcW w:type="dxa" w:w="3360"/>
            <w:tcMar>
              <w:top w:type="dxa" w:w="80"/>
              <w:left w:type="dxa" w:w="100"/>
              <w:bottom w:type="dxa" w:w="80"/>
              <w:right w:type="dxa" w:w="100"/>
            </w:tcMar>
            <w:vAlign w:val="center"/>
          </w:tcPr>
          <w:p>
            <w:r>
              <w:rPr>
                <w:i w:val="false"/>
                <w:iCs w:val="false"/>
                <w:sz w:val="19"/>
                <w:szCs w:val="19"/>
              </w:rPr>
              <w:t xml:space="preserve">Selected hotel/location for the event</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Itinerary</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Static / Manual Upload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Uploaded directly or imported via Excel; displayed in app; attaches to an RSVP invitation only if explicitly marked finalized</w:t>
            </w:r>
          </w:p>
        </w:tc>
      </w:tr>
      <w:tr>
        <w:tc>
          <w:tcPr>
            <w:tcW w:type="dxa" w:w="3360"/>
            <w:tcMar>
              <w:top w:type="dxa" w:w="80"/>
              <w:left w:type="dxa" w:w="100"/>
              <w:bottom w:type="dxa" w:w="80"/>
              <w:right w:type="dxa" w:w="100"/>
            </w:tcMar>
            <w:vAlign w:val="center"/>
          </w:tcPr>
          <w:p>
            <w:r>
              <w:rPr>
                <w:i w:val="false"/>
                <w:iCs w:val="false"/>
                <w:sz w:val="19"/>
                <w:szCs w:val="19"/>
              </w:rPr>
              <w:t xml:space="preserve">Food options</w:t>
            </w:r>
          </w:p>
        </w:tc>
        <w:tc>
          <w:tcPr>
            <w:tcW w:type="dxa" w:w="3360"/>
            <w:tcMar>
              <w:top w:type="dxa" w:w="80"/>
              <w:left w:type="dxa" w:w="100"/>
              <w:bottom w:type="dxa" w:w="80"/>
              <w:right w:type="dxa" w:w="100"/>
            </w:tcMar>
            <w:vAlign w:val="center"/>
          </w:tcPr>
          <w:p>
            <w:r>
              <w:rPr>
                <w:i w:val="false"/>
                <w:iCs w:val="false"/>
                <w:sz w:val="19"/>
                <w:szCs w:val="19"/>
              </w:rPr>
              <w:t xml:space="preserve">Dynamic pricing</w:t>
            </w:r>
          </w:p>
        </w:tc>
        <w:tc>
          <w:tcPr>
            <w:tcW w:type="dxa" w:w="3360"/>
            <w:tcMar>
              <w:top w:type="dxa" w:w="80"/>
              <w:left w:type="dxa" w:w="100"/>
              <w:bottom w:type="dxa" w:w="80"/>
              <w:right w:type="dxa" w:w="100"/>
            </w:tcMar>
            <w:vAlign w:val="center"/>
          </w:tcPr>
          <w:p>
            <w:r>
              <w:rPr>
                <w:i w:val="false"/>
                <w:iCs w:val="false"/>
                <w:sz w:val="19"/>
                <w:szCs w:val="19"/>
              </w:rPr>
              <w:t xml:space="preserve">Veg/Non-Veg preferences collected via post-RSVP poll (Preferences module, §12.7)</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Travel details (flight, train, bus)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Dynamic</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Per-member travel details collected via the Travel module (renamed from "Transfers" — see §10.2); narrowed to flight number, arrival/departure date-time, and airport/terminal for flights; equivalent fields for train and bus</w:t>
            </w:r>
          </w:p>
        </w:tc>
      </w:tr>
      <w:tr>
        <w:tc>
          <w:tcPr>
            <w:tcW w:type="dxa" w:w="3360"/>
            <w:tcMar>
              <w:top w:type="dxa" w:w="80"/>
              <w:left w:type="dxa" w:w="100"/>
              <w:bottom w:type="dxa" w:w="80"/>
              <w:right w:type="dxa" w:w="100"/>
            </w:tcMar>
            <w:vAlign w:val="center"/>
          </w:tcPr>
          <w:p>
            <w:r>
              <w:rPr>
                <w:i w:val="false"/>
                <w:iCs w:val="false"/>
                <w:sz w:val="19"/>
                <w:szCs w:val="19"/>
              </w:rPr>
              <w:t xml:space="preserve">Optional activities</w:t>
            </w:r>
          </w:p>
        </w:tc>
        <w:tc>
          <w:tcPr>
            <w:tcW w:type="dxa" w:w="3360"/>
            <w:tcMar>
              <w:top w:type="dxa" w:w="80"/>
              <w:left w:type="dxa" w:w="100"/>
              <w:bottom w:type="dxa" w:w="80"/>
              <w:right w:type="dxa" w:w="100"/>
            </w:tcMar>
            <w:vAlign w:val="center"/>
          </w:tcPr>
          <w:p>
            <w:r>
              <w:rPr>
                <w:i w:val="false"/>
                <w:iCs w:val="false"/>
                <w:sz w:val="19"/>
                <w:szCs w:val="19"/>
              </w:rPr>
              <w:t xml:space="preserve">Dynamic</w:t>
            </w:r>
          </w:p>
        </w:tc>
        <w:tc>
          <w:tcPr>
            <w:tcW w:type="dxa" w:w="3360"/>
            <w:tcMar>
              <w:top w:type="dxa" w:w="80"/>
              <w:left w:type="dxa" w:w="100"/>
              <w:bottom w:type="dxa" w:w="80"/>
              <w:right w:type="dxa" w:w="100"/>
            </w:tcMar>
            <w:vAlign w:val="center"/>
          </w:tcPr>
          <w:p>
            <w:r>
              <w:rPr>
                <w:i w:val="false"/>
                <w:iCs w:val="false"/>
                <w:sz w:val="19"/>
                <w:szCs w:val="19"/>
              </w:rPr>
              <w:t xml:space="preserve">Additional activity costs estimated in CostGPT</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Companion flag</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Future / Gamma</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Rules to manage companion-related data</w:t>
            </w:r>
          </w:p>
        </w:tc>
      </w:tr>
    </w:tbl>
    <w:p>
      <w:pPr>
        <w:pStyle w:val="Heading1"/>
        <w:spacing w:after="200" w:before="400"/>
      </w:pPr>
      <w:r>
        <w:t xml:space="preserve">6. Poll Management</w:t>
      </w:r>
    </w:p>
    <w:p>
      <w:pPr>
        <w:pStyle w:val="Heading2"/>
        <w:spacing w:after="160" w:before="300"/>
      </w:pPr>
      <w:r>
        <w:t xml:space="preserve">6.1 Poll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Poll Type</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Stage</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2520"/>
            <w:tcMar>
              <w:top w:type="dxa" w:w="80"/>
              <w:left w:type="dxa" w:w="100"/>
              <w:bottom w:type="dxa" w:w="80"/>
              <w:right w:type="dxa" w:w="100"/>
            </w:tcMar>
            <w:vAlign w:val="center"/>
          </w:tcPr>
          <w:p>
            <w:r>
              <w:rPr>
                <w:i w:val="false"/>
                <w:iCs w:val="false"/>
                <w:sz w:val="19"/>
                <w:szCs w:val="19"/>
              </w:rPr>
              <w:t xml:space="preserve">Dates Poll</w:t>
            </w:r>
          </w:p>
        </w:tc>
        <w:tc>
          <w:tcPr>
            <w:tcW w:type="dxa" w:w="2520"/>
            <w:tcMar>
              <w:top w:type="dxa" w:w="80"/>
              <w:left w:type="dxa" w:w="100"/>
              <w:bottom w:type="dxa" w:w="80"/>
              <w:right w:type="dxa" w:w="100"/>
            </w:tcMar>
            <w:vAlign w:val="center"/>
          </w:tcPr>
          <w:p>
            <w:r>
              <w:rPr>
                <w:i w:val="false"/>
                <w:iCs w:val="false"/>
                <w:sz w:val="19"/>
                <w:szCs w:val="19"/>
              </w:rPr>
              <w:t xml:space="preserve">Collect year and date preference</w:t>
            </w:r>
          </w:p>
        </w:tc>
        <w:tc>
          <w:tcPr>
            <w:tcW w:type="dxa" w:w="2520"/>
            <w:tcMar>
              <w:top w:type="dxa" w:w="80"/>
              <w:left w:type="dxa" w:w="100"/>
              <w:bottom w:type="dxa" w:w="80"/>
              <w:right w:type="dxa" w:w="100"/>
            </w:tcMar>
            <w:vAlign w:val="center"/>
          </w:tcPr>
          <w:p>
            <w:r>
              <w:rPr>
                <w:i w:val="false"/>
                <w:iCs w:val="false"/>
                <w:sz w:val="19"/>
                <w:szCs w:val="19"/>
              </w:rPr>
              <w:t xml:space="preserve">D1 (Dates)</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Duration Poll</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Collect duration preference</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D2 (Duration)</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Destination Poll</w:t>
            </w:r>
          </w:p>
        </w:tc>
        <w:tc>
          <w:tcPr>
            <w:tcW w:type="dxa" w:w="2520"/>
            <w:tcMar>
              <w:top w:type="dxa" w:w="80"/>
              <w:left w:type="dxa" w:w="100"/>
              <w:bottom w:type="dxa" w:w="80"/>
              <w:right w:type="dxa" w:w="100"/>
            </w:tcMar>
            <w:vAlign w:val="center"/>
          </w:tcPr>
          <w:p>
            <w:r>
              <w:rPr>
                <w:i w:val="false"/>
                <w:iCs w:val="false"/>
                <w:sz w:val="19"/>
                <w:szCs w:val="19"/>
              </w:rPr>
              <w:t xml:space="preserve">Select destination type and city</w:t>
            </w:r>
          </w:p>
        </w:tc>
        <w:tc>
          <w:tcPr>
            <w:tcW w:type="dxa" w:w="2520"/>
            <w:tcMar>
              <w:top w:type="dxa" w:w="80"/>
              <w:left w:type="dxa" w:w="100"/>
              <w:bottom w:type="dxa" w:w="80"/>
              <w:right w:type="dxa" w:w="100"/>
            </w:tcMar>
            <w:vAlign w:val="center"/>
          </w:tcPr>
          <w:p>
            <w:r>
              <w:rPr>
                <w:i w:val="false"/>
                <w:iCs w:val="false"/>
                <w:sz w:val="19"/>
                <w:szCs w:val="19"/>
              </w:rPr>
              <w:t xml:space="preserve">D3 (Destination)</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Budget Poll</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Collect group budget band; drives cost-feasibility confirmation</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D4 (Dollars)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RSVP Poll</w:t>
            </w:r>
          </w:p>
        </w:tc>
        <w:tc>
          <w:tcPr>
            <w:tcW w:type="dxa" w:w="2520"/>
            <w:tcMar>
              <w:top w:type="dxa" w:w="80"/>
              <w:left w:type="dxa" w:w="100"/>
              <w:bottom w:type="dxa" w:w="80"/>
              <w:right w:type="dxa" w:w="100"/>
            </w:tcMar>
            <w:vAlign w:val="center"/>
          </w:tcPr>
          <w:p>
            <w:r>
              <w:rPr>
                <w:i w:val="false"/>
                <w:iCs w:val="false"/>
                <w:sz w:val="19"/>
                <w:szCs w:val="19"/>
              </w:rPr>
              <w:t xml:space="preserve">Yes / No / Thinking — attendance confirmation</w:t>
            </w:r>
          </w:p>
        </w:tc>
        <w:tc>
          <w:tcPr>
            <w:tcW w:type="dxa" w:w="2520"/>
            <w:tcMar>
              <w:top w:type="dxa" w:w="80"/>
              <w:left w:type="dxa" w:w="100"/>
              <w:bottom w:type="dxa" w:w="80"/>
              <w:right w:type="dxa" w:w="100"/>
            </w:tcMar>
            <w:vAlign w:val="center"/>
          </w:tcPr>
          <w:p>
            <w:r>
              <w:rPr>
                <w:i w:val="false"/>
                <w:iCs w:val="false"/>
                <w:sz w:val="19"/>
                <w:szCs w:val="19"/>
              </w:rPr>
              <w:t xml:space="preserve">Post-planning</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Veg / Non-Veg Poll</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Post-RSVP food preference</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Post-RSVP</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Alcohol / Non-Alcohol Poll</w:t>
            </w:r>
          </w:p>
        </w:tc>
        <w:tc>
          <w:tcPr>
            <w:tcW w:type="dxa" w:w="2520"/>
            <w:tcMar>
              <w:top w:type="dxa" w:w="80"/>
              <w:left w:type="dxa" w:w="100"/>
              <w:bottom w:type="dxa" w:w="80"/>
              <w:right w:type="dxa" w:w="100"/>
            </w:tcMar>
            <w:vAlign w:val="center"/>
          </w:tcPr>
          <w:p>
            <w:r>
              <w:rPr>
                <w:i w:val="false"/>
                <w:iCs w:val="false"/>
                <w:sz w:val="19"/>
                <w:szCs w:val="19"/>
              </w:rPr>
              <w:t xml:space="preserve">Post-RSVP drink preference</w:t>
            </w:r>
          </w:p>
        </w:tc>
        <w:tc>
          <w:tcPr>
            <w:tcW w:type="dxa" w:w="2520"/>
            <w:tcMar>
              <w:top w:type="dxa" w:w="80"/>
              <w:left w:type="dxa" w:w="100"/>
              <w:bottom w:type="dxa" w:w="80"/>
              <w:right w:type="dxa" w:w="100"/>
            </w:tcMar>
            <w:vAlign w:val="center"/>
          </w:tcPr>
          <w:p>
            <w:r>
              <w:rPr>
                <w:i w:val="false"/>
                <w:iCs w:val="false"/>
                <w:sz w:val="19"/>
                <w:szCs w:val="19"/>
              </w:rPr>
              <w:t xml:space="preserve">Post-RSVP</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Multiple Option Poll (Paid)</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Advanced multi-option polls available in paid version only</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Any</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Alpha</w:t>
            </w:r>
          </w:p>
        </w:tc>
      </w:tr>
    </w:tbl>
    <w:p>
      <w:pPr>
        <w:pStyle w:val="Heading2"/>
        <w:spacing w:after="160" w:before="300"/>
      </w:pPr>
      <w:r>
        <w:t xml:space="preserve">6.2 Anchor Actions on Polls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Action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Priority</w:t>
            </w:r>
          </w:p>
        </w:tc>
      </w:tr>
      <w:tr>
        <w:tc>
          <w:tcPr>
            <w:tcW w:type="dxa" w:w="3360"/>
            <w:tcMar>
              <w:top w:type="dxa" w:w="80"/>
              <w:left w:type="dxa" w:w="100"/>
              <w:bottom w:type="dxa" w:w="80"/>
              <w:right w:type="dxa" w:w="100"/>
            </w:tcMar>
            <w:vAlign w:val="center"/>
          </w:tcPr>
          <w:p>
            <w:r>
              <w:rPr>
                <w:i w:val="false"/>
                <w:iCs w:val="false"/>
                <w:sz w:val="19"/>
                <w:szCs w:val="19"/>
              </w:rPr>
              <w:t xml:space="preserve">Create Poll</w:t>
            </w:r>
          </w:p>
        </w:tc>
        <w:tc>
          <w:tcPr>
            <w:tcW w:type="dxa" w:w="3360"/>
            <w:tcMar>
              <w:top w:type="dxa" w:w="80"/>
              <w:left w:type="dxa" w:w="100"/>
              <w:bottom w:type="dxa" w:w="80"/>
              <w:right w:type="dxa" w:w="100"/>
            </w:tcMar>
            <w:vAlign w:val="center"/>
          </w:tcPr>
          <w:p>
            <w:r>
              <w:rPr>
                <w:i w:val="false"/>
                <w:iCs w:val="false"/>
                <w:sz w:val="19"/>
                <w:szCs w:val="19"/>
              </w:rPr>
              <w:t xml:space="preserve">Anchor launches a poll with defined options and deadline</w:t>
            </w:r>
          </w:p>
        </w:tc>
        <w:tc>
          <w:tcPr>
            <w:tcW w:type="dxa" w:w="3360"/>
            <w:tcMar>
              <w:top w:type="dxa" w:w="80"/>
              <w:left w:type="dxa" w:w="100"/>
              <w:bottom w:type="dxa" w:w="80"/>
              <w:right w:type="dxa" w:w="100"/>
            </w:tcMar>
            <w:vAlign w:val="center"/>
          </w:tcPr>
          <w:p>
            <w:r>
              <w:rPr>
                <w:i w:val="false"/>
                <w:iCs w:val="false"/>
                <w:sz w:val="19"/>
                <w:szCs w:val="19"/>
              </w:rPr>
              <w:t xml:space="preserve">High</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Broadcast Poll</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Send poll notifications to members via SMS / Email (WhatsApp deferred to Alpha — see §11)</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High</w:t>
            </w:r>
          </w:p>
        </w:tc>
      </w:tr>
      <w:tr>
        <w:tc>
          <w:tcPr>
            <w:tcW w:type="dxa" w:w="3360"/>
            <w:tcMar>
              <w:top w:type="dxa" w:w="80"/>
              <w:left w:type="dxa" w:w="100"/>
              <w:bottom w:type="dxa" w:w="80"/>
              <w:right w:type="dxa" w:w="100"/>
            </w:tcMar>
            <w:vAlign w:val="center"/>
          </w:tcPr>
          <w:p>
            <w:r>
              <w:rPr>
                <w:i w:val="false"/>
                <w:iCs w:val="false"/>
                <w:sz w:val="19"/>
                <w:szCs w:val="19"/>
              </w:rPr>
              <w:t xml:space="preserve">Set Poll Deadline</w:t>
            </w:r>
          </w:p>
        </w:tc>
        <w:tc>
          <w:tcPr>
            <w:tcW w:type="dxa" w:w="3360"/>
            <w:tcMar>
              <w:top w:type="dxa" w:w="80"/>
              <w:left w:type="dxa" w:w="100"/>
              <w:bottom w:type="dxa" w:w="80"/>
              <w:right w:type="dxa" w:w="100"/>
            </w:tcMar>
            <w:vAlign w:val="center"/>
          </w:tcPr>
          <w:p>
            <w:r>
              <w:rPr>
                <w:i w:val="false"/>
                <w:iCs w:val="false"/>
                <w:sz w:val="19"/>
                <w:szCs w:val="19"/>
              </w:rPr>
              <w:t xml:space="preserve">Define voting window duration; a "Due: &lt;date, time&gt;" deadline pill is shown with an expired-state banner once passed</w:t>
            </w:r>
          </w:p>
        </w:tc>
        <w:tc>
          <w:tcPr>
            <w:tcW w:type="dxa" w:w="3360"/>
            <w:tcMar>
              <w:top w:type="dxa" w:w="80"/>
              <w:left w:type="dxa" w:w="100"/>
              <w:bottom w:type="dxa" w:w="80"/>
              <w:right w:type="dxa" w:w="100"/>
            </w:tcMar>
            <w:vAlign w:val="center"/>
          </w:tcPr>
          <w:p>
            <w:r>
              <w:rPr>
                <w:i w:val="false"/>
                <w:iCs w:val="false"/>
                <w:sz w:val="19"/>
                <w:szCs w:val="19"/>
              </w:rPr>
              <w:t xml:space="preserve">High</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View Poll Results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Real-time, aggregate-only view of poll responses and analytics — see anonymization rule below</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High</w:t>
            </w:r>
          </w:p>
        </w:tc>
      </w:tr>
      <w:tr>
        <w:tc>
          <w:tcPr>
            <w:tcW w:type="dxa" w:w="3360"/>
            <w:tcMar>
              <w:top w:type="dxa" w:w="80"/>
              <w:left w:type="dxa" w:w="100"/>
              <w:bottom w:type="dxa" w:w="80"/>
              <w:right w:type="dxa" w:w="100"/>
            </w:tcMar>
            <w:vAlign w:val="center"/>
          </w:tcPr>
          <w:p>
            <w:r>
              <w:rPr>
                <w:i w:val="false"/>
                <w:iCs w:val="false"/>
                <w:sz w:val="19"/>
                <w:szCs w:val="19"/>
              </w:rPr>
              <w:t xml:space="preserve">Auto-Result Calculation</w:t>
            </w:r>
          </w:p>
        </w:tc>
        <w:tc>
          <w:tcPr>
            <w:tcW w:type="dxa" w:w="3360"/>
            <w:tcMar>
              <w:top w:type="dxa" w:w="80"/>
              <w:left w:type="dxa" w:w="100"/>
              <w:bottom w:type="dxa" w:w="80"/>
              <w:right w:type="dxa" w:w="100"/>
            </w:tcMar>
            <w:vAlign w:val="center"/>
          </w:tcPr>
          <w:p>
            <w:r>
              <w:rPr>
                <w:i w:val="false"/>
                <w:iCs w:val="false"/>
                <w:sz w:val="19"/>
                <w:szCs w:val="19"/>
              </w:rPr>
              <w:t xml:space="preserve">System determines winning option automatically</w:t>
            </w:r>
          </w:p>
        </w:tc>
        <w:tc>
          <w:tcPr>
            <w:tcW w:type="dxa" w:w="3360"/>
            <w:tcMar>
              <w:top w:type="dxa" w:w="80"/>
              <w:left w:type="dxa" w:w="100"/>
              <w:bottom w:type="dxa" w:w="80"/>
              <w:right w:type="dxa" w:w="100"/>
            </w:tcMar>
            <w:vAlign w:val="center"/>
          </w:tcPr>
          <w:p>
            <w:r>
              <w:rPr>
                <w:i w:val="false"/>
                <w:iCs w:val="false"/>
                <w:sz w:val="19"/>
                <w:szCs w:val="19"/>
              </w:rPr>
              <w:t xml:space="preserve">High</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Send Reminders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Trigger reminder notifications to members who have not voted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High</w:t>
            </w:r>
          </w:p>
        </w:tc>
      </w:tr>
      <w:tr>
        <w:tc>
          <w:tcPr>
            <w:tcW w:type="dxa" w:w="3360"/>
            <w:tcMar>
              <w:top w:type="dxa" w:w="80"/>
              <w:left w:type="dxa" w:w="100"/>
              <w:bottom w:type="dxa" w:w="80"/>
              <w:right w:type="dxa" w:w="100"/>
            </w:tcMar>
            <w:vAlign w:val="center"/>
          </w:tcPr>
          <w:p>
            <w:r>
              <w:rPr>
                <w:i w:val="false"/>
                <w:iCs w:val="false"/>
                <w:sz w:val="19"/>
                <w:szCs w:val="19"/>
              </w:rPr>
              <w:t xml:space="preserve">Share Results</w:t>
            </w:r>
          </w:p>
        </w:tc>
        <w:tc>
          <w:tcPr>
            <w:tcW w:type="dxa" w:w="3360"/>
            <w:tcMar>
              <w:top w:type="dxa" w:w="80"/>
              <w:left w:type="dxa" w:w="100"/>
              <w:bottom w:type="dxa" w:w="80"/>
              <w:right w:type="dxa" w:w="100"/>
            </w:tcMar>
            <w:vAlign w:val="center"/>
          </w:tcPr>
          <w:p>
            <w:r>
              <w:rPr>
                <w:i w:val="false"/>
                <w:iCs w:val="false"/>
                <w:sz w:val="19"/>
                <w:szCs w:val="19"/>
              </w:rPr>
              <w:t xml:space="preserve">Share finalized D1–D4 results with members along with Anchor comments</w:t>
            </w:r>
          </w:p>
        </w:tc>
        <w:tc>
          <w:tcPr>
            <w:tcW w:type="dxa" w:w="3360"/>
            <w:tcMar>
              <w:top w:type="dxa" w:w="80"/>
              <w:left w:type="dxa" w:w="100"/>
              <w:bottom w:type="dxa" w:w="80"/>
              <w:right w:type="dxa" w:w="100"/>
            </w:tcMar>
            <w:vAlign w:val="center"/>
          </w:tcPr>
          <w:p>
            <w:r>
              <w:rPr>
                <w:i w:val="false"/>
                <w:iCs w:val="false"/>
                <w:sz w:val="19"/>
                <w:szCs w:val="19"/>
              </w:rPr>
              <w:t xml:space="preserve">High</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Repoll</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From the analysis view, Anchor can trigger a repoll pre-populated with the prior questions, without rebuilding from scratch</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High</w:t>
            </w:r>
          </w:p>
        </w:tc>
      </w:tr>
      <w:tr>
        <w:tc>
          <w:tcPr>
            <w:tcW w:type="dxa" w:w="3360"/>
            <w:tcMar>
              <w:top w:type="dxa" w:w="80"/>
              <w:left w:type="dxa" w:w="100"/>
              <w:bottom w:type="dxa" w:w="80"/>
              <w:right w:type="dxa" w:w="100"/>
            </w:tcMar>
            <w:vAlign w:val="center"/>
          </w:tcPr>
          <w:p>
            <w:r>
              <w:rPr>
                <w:i w:val="false"/>
                <w:iCs w:val="false"/>
                <w:sz w:val="19"/>
                <w:szCs w:val="19"/>
              </w:rPr>
              <w:t xml:space="preserve">Five-Question Template</w:t>
            </w:r>
          </w:p>
        </w:tc>
        <w:tc>
          <w:tcPr>
            <w:tcW w:type="dxa" w:w="3360"/>
            <w:tcMar>
              <w:top w:type="dxa" w:w="80"/>
              <w:left w:type="dxa" w:w="100"/>
              <w:bottom w:type="dxa" w:w="80"/>
              <w:right w:type="dxa" w:w="100"/>
            </w:tcMar>
            <w:vAlign w:val="center"/>
          </w:tcPr>
          <w:p>
            <w:r>
              <w:rPr>
                <w:i w:val="false"/>
                <w:iCs w:val="false"/>
                <w:sz w:val="19"/>
                <w:szCs w:val="19"/>
              </w:rPr>
              <w:t xml:space="preserve">Use standardized five-question questionnaire template for manual event-planning polls</w:t>
            </w:r>
          </w:p>
        </w:tc>
        <w:tc>
          <w:tcPr>
            <w:tcW w:type="dxa" w:w="3360"/>
            <w:tcMar>
              <w:top w:type="dxa" w:w="80"/>
              <w:left w:type="dxa" w:w="100"/>
              <w:bottom w:type="dxa" w:w="80"/>
              <w:right w:type="dxa" w:w="100"/>
            </w:tcMar>
            <w:vAlign w:val="center"/>
          </w:tcPr>
          <w:p>
            <w:r>
              <w:rPr>
                <w:i w:val="false"/>
                <w:iCs w:val="false"/>
                <w:sz w:val="19"/>
                <w:szCs w:val="19"/>
              </w:rPr>
              <w:t xml:space="preserve">High</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Poll Analytics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Decision analytics, cost feasibility, participation readiness dashboard, generated by a common AI analysis engine shared across poll types (DR-050)</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Medium</w:t>
            </w:r>
          </w:p>
        </w:tc>
      </w:tr>
    </w:tbl>
    <w:p>
      <w:pPr>
        <w:pBdr>
          <w:left w:val="single" w:color="BF9000" w:sz="12"/>
        </w:pBdr>
        <w:shd w:fill="FFF2CC" w:val="clear"/>
        <w:spacing w:after="160" w:before="80"/>
        <w:ind w:left="120"/>
      </w:pPr>
      <w:r>
        <w:rPr>
          <w:b/>
          <w:bCs/>
          <w:i/>
          <w:iCs/>
        </w:rPr>
        <w:t xml:space="preserve">Note: </w:t>
      </w:r>
      <w:r>
        <w:rPr>
          <w:b/>
          <w:bCs/>
          <w:i/>
          <w:iCs/>
        </w:rPr>
        <w:t xml:space="preserve">Individual poll and survey responses are anonymized by default, even from the Anchor</w:t>
      </w:r>
      <w:r>
        <w:rPr>
          <w:i/>
          <w:iCs/>
        </w:rPr>
        <w:t xml:space="preserve"> — only aggregate results are shown, in line with DPDP Act compliance and to avoid "loudest voice" group-dynamics effects and consent-fatigue from per-response tracking (DR-039). </w:t>
      </w:r>
      <w:r>
        <w:rPr>
          <w:b/>
          <w:bCs/>
          <w:i/>
          <w:iCs/>
        </w:rPr>
        <w:t xml:space="preserve">RSVP Yes/No status is the sole exception</w:t>
      </w:r>
      <w:r>
        <w:rPr>
          <w:i/>
          <w:iCs/>
        </w:rPr>
        <w:t xml:space="preserve"> the Anchor can see at an individual member level (see §8). Member poll-answer edits are </w:t>
      </w:r>
      <w:r>
        <w:rPr>
          <w:b/>
          <w:bCs/>
          <w:i/>
          <w:iCs/>
        </w:rPr>
        <w:t xml:space="preserve">not permitted after submission</w:t>
      </w:r>
      <w:r>
        <w:rPr>
          <w:i/>
          <w:iCs/>
        </w:rPr>
        <w:t xml:space="preserve"> in Delta — a Member may reopen and re-answer only before the stated due date; the poll becomes read-only for that Member afterward, preserving data integrity during an active poll window (DR-048, 23-Jun-2026).</w:t>
      </w:r>
    </w:p>
    <w:p>
      <w:pPr>
        <w:pStyle w:val="Heading2"/>
        <w:spacing w:after="160" w:before="300"/>
      </w:pPr>
      <w:r>
        <w:t xml:space="preserve">6.3 Poll Form Usage</w:t>
      </w:r>
    </w:p>
    <w:p>
      <w:pPr>
        <w:spacing w:after="160"/>
      </w:pPr>
      <w:r>
        <w:rPr>
          <w:i w:val="false"/>
          <w:iCs w:val="false"/>
        </w:rPr>
        <w:t xml:space="preserve">Anchors will not create poll forms from scratch. Instead, Anchors will use pre-created forms. The platform will provide standardized form templates that Anchors select and launch. This reduces effort and ensures consistency.</w:t>
      </w:r>
    </w:p>
    <w:p>
      <w:pPr>
        <w:pStyle w:val="Heading2"/>
        <w:spacing w:after="160" w:before="300"/>
      </w:pPr>
      <w:r>
        <w:t xml:space="preserve">6.4 Survey — Trip Planning Algorithm</w:t>
      </w:r>
    </w:p>
    <w:p>
      <w:pPr>
        <w:spacing w:after="160"/>
      </w:pPr>
      <w:r>
        <w:rPr>
          <w:i w:val="false"/>
          <w:iCs w:val="false"/>
        </w:rPr>
        <w:t xml:space="preserve">For offsite / trip planning scenarios, a survey-based approach handles two key conditions:</w:t>
      </w:r>
    </w:p>
    <w:p>
      <w:pPr>
        <w:pStyle w:val="ListParagraph"/>
        <w:numPr>
          <w:ilvl w:val="0"/>
          <w:numId w:val="2"/>
        </w:numPr>
        <w:spacing w:after="100"/>
      </w:pPr>
      <w:r>
        <w:rPr>
          <w:i w:val="false"/>
          <w:iCs w:val="false"/>
        </w:rPr>
        <w:t xml:space="preserve">Extreme consensus — clear majority preference on destination/dates</w:t>
      </w:r>
    </w:p>
    <w:p>
      <w:pPr>
        <w:pStyle w:val="ListParagraph"/>
        <w:numPr>
          <w:ilvl w:val="0"/>
          <w:numId w:val="2"/>
        </w:numPr>
        <w:spacing w:after="100"/>
      </w:pPr>
      <w:r>
        <w:rPr>
          <w:i w:val="false"/>
          <w:iCs w:val="false"/>
        </w:rPr>
        <w:t xml:space="preserve">Divergence — no clear group preference, requiring further narrowing to identify the 'sweet spot'</w:t>
      </w:r>
    </w:p>
    <w:p>
      <w:pPr>
        <w:spacing w:after="160"/>
      </w:pPr>
      <w:r>
        <w:rPr>
          <w:i w:val="false"/>
          <w:iCs w:val="false"/>
        </w:rPr>
        <w:t xml:space="preserve">Survey responses are collected, consolidated, and fed into an analytical engine for recommendations. On the resulting "Sweet Spot" screen, the Anchor takes one of two actions: </w:t>
      </w:r>
      <w:r>
        <w:rPr>
          <w:b/>
          <w:bCs/>
          <w:i w:val="false"/>
          <w:iCs w:val="false"/>
        </w:rPr>
        <w:t xml:space="preserve">Poll Again</w:t>
      </w:r>
      <w:r>
        <w:rPr>
          <w:i w:val="false"/>
          <w:iCs w:val="false"/>
        </w:rPr>
        <w:t xml:space="preserve"> or </w:t>
      </w:r>
      <w:r>
        <w:rPr>
          <w:b/>
          <w:bCs/>
          <w:i w:val="false"/>
          <w:iCs w:val="false"/>
        </w:rPr>
        <w:t xml:space="preserve">Publish</w:t>
      </w:r>
      <w:r>
        <w:rPr>
          <w:i w:val="false"/>
          <w:iCs w:val="false"/>
        </w:rPr>
        <w:t xml:space="preserve"> (renamed from "Send Follow-up"/"Proceed," 10-Jun-2026). Human review of GPT outputs is mandatory before finalizing recommendations.</w:t>
      </w:r>
    </w:p>
    <w:p>
      <w:pPr>
        <w:pStyle w:val="Heading1"/>
        <w:spacing w:after="200" w:before="400"/>
      </w:pPr>
      <w:r>
        <w:t xml:space="preserve">7. CostGPT — Cost Estimation Engine</w:t>
      </w:r>
    </w:p>
    <w:p>
      <w:pPr>
        <w:pStyle w:val="Heading2"/>
        <w:spacing w:after="160" w:before="300"/>
      </w:pPr>
      <w:r>
        <w:t xml:space="preserve">7.1 Overview</w:t>
      </w:r>
    </w:p>
    <w:p>
      <w:pPr>
        <w:spacing w:after="160"/>
      </w:pPr>
      <w:r>
        <w:rPr>
          <w:i w:val="false"/>
          <w:iCs w:val="false"/>
        </w:rPr>
        <w:t xml:space="preserve">CostGPT is an AI-powered cost estimation tool available exclusively to Anchors (Members never see it). It auto-generates a structured prompt from D1–D4 poll data so the Anchor never has to leave the app; the value over going directly to a general-purpose LLM is the auto-generated context, in-app continuity, and data-leakage guardrails. As built, the tool comprises three linked components:</w:t>
      </w:r>
    </w:p>
    <w:p>
      <w:pPr>
        <w:pStyle w:val="ListParagraph"/>
        <w:numPr>
          <w:ilvl w:val="0"/>
          <w:numId w:val="2"/>
        </w:numPr>
        <w:spacing w:after="100"/>
      </w:pPr>
      <w:r>
        <w:rPr>
          <w:b/>
          <w:bCs/>
          <w:i w:val="false"/>
          <w:iCs w:val="false"/>
        </w:rPr>
        <w:t xml:space="preserve">Cost Estimation Wizard</w:t>
      </w:r>
      <w:r>
        <w:rPr>
          <w:i w:val="false"/>
          <w:iCs w:val="false"/>
        </w:rPr>
        <w:t xml:space="preserve"> — auto-pulls the confirmed D1–D4 poll result into an editable, ~400-word master prompt, selectable from a list of closed polls</w:t>
      </w:r>
    </w:p>
    <w:p>
      <w:pPr>
        <w:pStyle w:val="ListParagraph"/>
        <w:numPr>
          <w:ilvl w:val="0"/>
          <w:numId w:val="2"/>
        </w:numPr>
        <w:spacing w:after="100"/>
      </w:pPr>
      <w:r>
        <w:rPr>
          <w:b/>
          <w:bCs/>
          <w:i w:val="false"/>
          <w:iCs w:val="false"/>
        </w:rPr>
        <w:t xml:space="preserve">EVE — Cost Estimator Chat</w:t>
      </w:r>
      <w:r>
        <w:rPr>
          <w:i w:val="false"/>
          <w:iCs w:val="false"/>
        </w:rPr>
        <w:t xml:space="preserve"> — a persistent, stateless multi-turn conversational estimator for open-ended follow-up questions and refinement</w:t>
      </w:r>
    </w:p>
    <w:p>
      <w:pPr>
        <w:pStyle w:val="ListParagraph"/>
        <w:numPr>
          <w:ilvl w:val="0"/>
          <w:numId w:val="2"/>
        </w:numPr>
        <w:spacing w:after="100"/>
      </w:pPr>
      <w:r>
        <w:rPr>
          <w:b/>
          <w:bCs/>
          <w:i w:val="false"/>
          <w:iCs w:val="false"/>
        </w:rPr>
        <w:t xml:space="preserve">Cost Estimator List</w:t>
      </w:r>
      <w:r>
        <w:rPr>
          <w:i w:val="false"/>
          <w:iCs w:val="false"/>
        </w:rPr>
        <w:t xml:space="preserve"> — a persistent list of saved estimates the Anchor can revisit</w:t>
      </w:r>
    </w:p>
    <w:p>
      <w:pPr>
        <w:spacing w:after="160"/>
      </w:pPr>
      <w:r>
        <w:rPr>
          <w:i w:val="false"/>
          <w:iCs w:val="false"/>
        </w:rPr>
        <w:t xml:space="preserve">It operates in two modes, both in Delta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Mode</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Inputs</w:t>
            </w:r>
          </w:p>
        </w:tc>
      </w:tr>
      <w:tr>
        <w:tc>
          <w:tcPr>
            <w:tcW w:type="dxa" w:w="3360"/>
            <w:tcMar>
              <w:top w:type="dxa" w:w="80"/>
              <w:left w:type="dxa" w:w="100"/>
              <w:bottom w:type="dxa" w:w="80"/>
              <w:right w:type="dxa" w:w="100"/>
            </w:tcMar>
            <w:vAlign w:val="center"/>
          </w:tcPr>
          <w:p>
            <w:r>
              <w:rPr>
                <w:i w:val="false"/>
                <w:iCs w:val="false"/>
                <w:sz w:val="19"/>
                <w:szCs w:val="19"/>
              </w:rPr>
              <w:t xml:space="preserve">Mode A — Top 5 Advisory</w:t>
            </w:r>
          </w:p>
        </w:tc>
        <w:tc>
          <w:tcPr>
            <w:tcW w:type="dxa" w:w="3360"/>
            <w:tcMar>
              <w:top w:type="dxa" w:w="80"/>
              <w:left w:type="dxa" w:w="100"/>
              <w:bottom w:type="dxa" w:w="80"/>
              <w:right w:type="dxa" w:w="100"/>
            </w:tcMar>
            <w:vAlign w:val="center"/>
          </w:tcPr>
          <w:p>
            <w:r>
              <w:rPr>
                <w:i w:val="false"/>
                <w:iCs w:val="false"/>
                <w:sz w:val="19"/>
                <w:szCs w:val="19"/>
              </w:rPr>
              <w:t xml:space="preserve">Suggests Top 5 cost-optimized destination/approach options with high-level cost advisory. No web search. Used in early planning stage.</w:t>
            </w:r>
          </w:p>
        </w:tc>
        <w:tc>
          <w:tcPr>
            <w:tcW w:type="dxa" w:w="3360"/>
            <w:tcMar>
              <w:top w:type="dxa" w:w="80"/>
              <w:left w:type="dxa" w:w="100"/>
              <w:bottom w:type="dxa" w:w="80"/>
              <w:right w:type="dxa" w:w="100"/>
            </w:tcMar>
            <w:vAlign w:val="center"/>
          </w:tcPr>
          <w:p>
            <w:r>
              <w:rPr>
                <w:i w:val="false"/>
                <w:iCs w:val="false"/>
                <w:sz w:val="19"/>
                <w:szCs w:val="19"/>
              </w:rPr>
              <w:t xml:space="preserve">Destination city, Duration, Participant count</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Mode B — Full Estimate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Full detailed Q&amp;A-based cost estimation via the Cost Estimation Wizard and/or EVE chat. Group size auto-switches from group-member-count to RSVP-Yes-count once RSVP closes (override permitted for simulation); Start Date is mandatory (needed for night/date math); Budget is non-mandatory; a free-text "Additional Instructions to GPT" field is available.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Hotel accommodation, Food &amp; beverage, Airport transfers, Start date, Group size, Optional budget</w:t>
            </w:r>
          </w:p>
        </w:tc>
      </w:tr>
    </w:tbl>
    <w:p>
      <w:pPr>
        <w:pStyle w:val="Heading2"/>
        <w:spacing w:after="160" w:before="300"/>
      </w:pPr>
      <w:r>
        <w:t xml:space="preserve">7.2 CostGPT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Capability</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3360"/>
            <w:tcMar>
              <w:top w:type="dxa" w:w="80"/>
              <w:left w:type="dxa" w:w="100"/>
              <w:bottom w:type="dxa" w:w="80"/>
              <w:right w:type="dxa" w:w="100"/>
            </w:tcMar>
            <w:vAlign w:val="center"/>
          </w:tcPr>
          <w:p>
            <w:r>
              <w:rPr>
                <w:i w:val="false"/>
                <w:iCs w:val="false"/>
                <w:sz w:val="19"/>
                <w:szCs w:val="19"/>
              </w:rPr>
              <w:t xml:space="preserve">Hotel accommodation estimation</w:t>
            </w:r>
          </w:p>
        </w:tc>
        <w:tc>
          <w:tcPr>
            <w:tcW w:type="dxa" w:w="3360"/>
            <w:tcMar>
              <w:top w:type="dxa" w:w="80"/>
              <w:left w:type="dxa" w:w="100"/>
              <w:bottom w:type="dxa" w:w="80"/>
              <w:right w:type="dxa" w:w="100"/>
            </w:tcMar>
            <w:vAlign w:val="center"/>
          </w:tcPr>
          <w:p>
            <w:r>
              <w:rPr>
                <w:i w:val="false"/>
                <w:iCs w:val="false"/>
                <w:sz w:val="19"/>
                <w:szCs w:val="19"/>
              </w:rPr>
              <w:t xml:space="preserve">Estimate room rent based on venue, duration and participant count</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Food &amp; beverage costs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Estimate F&amp;B based on headcount and meal preferences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Airport transfer costs</w:t>
            </w:r>
          </w:p>
        </w:tc>
        <w:tc>
          <w:tcPr>
            <w:tcW w:type="dxa" w:w="3360"/>
            <w:tcMar>
              <w:top w:type="dxa" w:w="80"/>
              <w:left w:type="dxa" w:w="100"/>
              <w:bottom w:type="dxa" w:w="80"/>
              <w:right w:type="dxa" w:w="100"/>
            </w:tcMar>
            <w:vAlign w:val="center"/>
          </w:tcPr>
          <w:p>
            <w:r>
              <w:rPr>
                <w:i w:val="false"/>
                <w:iCs w:val="false"/>
                <w:sz w:val="19"/>
                <w:szCs w:val="19"/>
              </w:rPr>
              <w:t xml:space="preserve">Estimate airport transfer logistics</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Conversation persistence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Save/restore a Cost Estimation session across app re-opens (the only new Delta capability added beyond retaining the existing estimation logic, per 11-Jun-2026 scope confirmation)</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Flight/train logistics</w:t>
            </w:r>
          </w:p>
        </w:tc>
        <w:tc>
          <w:tcPr>
            <w:tcW w:type="dxa" w:w="3360"/>
            <w:tcMar>
              <w:top w:type="dxa" w:w="80"/>
              <w:left w:type="dxa" w:w="100"/>
              <w:bottom w:type="dxa" w:w="80"/>
              <w:right w:type="dxa" w:w="100"/>
            </w:tcMar>
            <w:vAlign w:val="center"/>
          </w:tcPr>
          <w:p>
            <w:r>
              <w:rPr>
                <w:i w:val="false"/>
                <w:iCs w:val="false"/>
                <w:sz w:val="19"/>
                <w:szCs w:val="19"/>
              </w:rPr>
              <w:t xml:space="preserve">Estimate travel costs for participants (MakeMyTrip API/MCP integration under discussion)</w:t>
            </w:r>
          </w:p>
        </w:tc>
        <w:tc>
          <w:tcPr>
            <w:tcW w:type="dxa" w:w="3360"/>
            <w:tcMar>
              <w:top w:type="dxa" w:w="80"/>
              <w:left w:type="dxa" w:w="100"/>
              <w:bottom w:type="dxa" w:w="80"/>
              <w:right w:type="dxa" w:w="100"/>
            </w:tcMar>
            <w:vAlign w:val="center"/>
          </w:tcPr>
          <w:p>
            <w:r>
              <w:rPr>
                <w:i w:val="false"/>
                <w:iCs w:val="false"/>
                <w:sz w:val="19"/>
                <w:szCs w:val="19"/>
              </w:rPr>
              <w:t xml:space="preserve">Future</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Optional activity costs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Estimate additional activity costs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360"/>
            <w:tcMar>
              <w:top w:type="dxa" w:w="80"/>
              <w:left w:type="dxa" w:w="100"/>
              <w:bottom w:type="dxa" w:w="80"/>
              <w:right w:type="dxa" w:w="100"/>
            </w:tcMar>
            <w:vAlign w:val="center"/>
          </w:tcPr>
          <w:p>
            <w:r>
              <w:rPr>
                <w:i w:val="false"/>
                <w:iCs w:val="false"/>
                <w:sz w:val="19"/>
                <w:szCs w:val="19"/>
              </w:rPr>
              <w:t xml:space="preserve">Cost variation scenarios</w:t>
            </w:r>
          </w:p>
        </w:tc>
        <w:tc>
          <w:tcPr>
            <w:tcW w:type="dxa" w:w="3360"/>
            <w:tcMar>
              <w:top w:type="dxa" w:w="80"/>
              <w:left w:type="dxa" w:w="100"/>
              <w:bottom w:type="dxa" w:w="80"/>
              <w:right w:type="dxa" w:w="100"/>
            </w:tcMar>
            <w:vAlign w:val="center"/>
          </w:tcPr>
          <w:p>
            <w:r>
              <w:rPr>
                <w:i w:val="false"/>
                <w:iCs w:val="false"/>
                <w:sz w:val="19"/>
                <w:szCs w:val="19"/>
              </w:rPr>
              <w:t xml:space="preserve">Generate Low / Base / High cost scenarios</w:t>
            </w:r>
          </w:p>
        </w:tc>
        <w:tc>
          <w:tcPr>
            <w:tcW w:type="dxa" w:w="3360"/>
            <w:tcMar>
              <w:top w:type="dxa" w:w="80"/>
              <w:left w:type="dxa" w:w="100"/>
              <w:bottom w:type="dxa" w:w="80"/>
              <w:right w:type="dxa" w:w="100"/>
            </w:tcMar>
            <w:vAlign w:val="center"/>
          </w:tcPr>
          <w:p>
            <w:r>
              <w:rPr>
                <w:i w:val="false"/>
                <w:iCs w:val="false"/>
                <w:sz w:val="19"/>
                <w:szCs w:val="19"/>
              </w:rPr>
              <w:t xml:space="preserve">Alpha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Sensitivity analysis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Evaluate different cost scenarios and optimize event planning decisions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360"/>
            <w:tcMar>
              <w:top w:type="dxa" w:w="80"/>
              <w:left w:type="dxa" w:w="100"/>
              <w:bottom w:type="dxa" w:w="80"/>
              <w:right w:type="dxa" w:w="100"/>
            </w:tcMar>
            <w:vAlign w:val="center"/>
          </w:tcPr>
          <w:p>
            <w:r>
              <w:rPr>
                <w:i w:val="false"/>
                <w:iCs w:val="false"/>
                <w:sz w:val="19"/>
                <w:szCs w:val="19"/>
              </w:rPr>
              <w:t xml:space="preserve">Budget feasibility metrics</w:t>
            </w:r>
          </w:p>
        </w:tc>
        <w:tc>
          <w:tcPr>
            <w:tcW w:type="dxa" w:w="3360"/>
            <w:tcMar>
              <w:top w:type="dxa" w:w="80"/>
              <w:left w:type="dxa" w:w="100"/>
              <w:bottom w:type="dxa" w:w="80"/>
              <w:right w:type="dxa" w:w="100"/>
            </w:tcMar>
            <w:vAlign w:val="center"/>
          </w:tcPr>
          <w:p>
            <w:r>
              <w:rPr>
                <w:i w:val="false"/>
                <w:iCs w:val="false"/>
                <w:sz w:val="19"/>
                <w:szCs w:val="19"/>
              </w:rPr>
              <w:t xml:space="preserve">Determine if the event budget is feasible for the group</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Venue suggestion</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Suggest venues once city is confirmed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Alpha</w:t>
            </w:r>
          </w:p>
        </w:tc>
      </w:tr>
    </w:tbl>
    <w:p>
      <w:pPr>
        <w:pBdr>
          <w:left w:val="single" w:color="BF9000" w:sz="12"/>
        </w:pBdr>
        <w:shd w:fill="FFF2CC" w:val="clear"/>
        <w:spacing w:after="160" w:before="80"/>
        <w:ind w:left="120"/>
      </w:pPr>
      <w:r>
        <w:rPr>
          <w:b/>
          <w:bCs/>
          <w:i/>
          <w:iCs/>
        </w:rPr>
        <w:t xml:space="preserve">Note: </w:t>
      </w:r>
      <w:r>
        <w:rPr>
          <w:i/>
          <w:iCs/>
        </w:rPr>
        <w:t xml:space="preserve">Output format was redesigned from an Excel-style export to a </w:t>
      </w:r>
      <w:r>
        <w:rPr>
          <w:b/>
          <w:bCs/>
          <w:i/>
          <w:iCs/>
        </w:rPr>
        <w:t xml:space="preserve">conversational chat format with numbered options</w:t>
      </w:r>
      <w:r>
        <w:rPr>
          <w:i/>
          <w:iCs/>
        </w:rPr>
        <w:t xml:space="preserve"> (1, 2, 3…), PPT-style, at Indeevar's specific request (DR-032, 09-Jun-2026) — this supersedes any earlier spreadsheet-style output expectation. Members continue to see only a top-line 5–7 line cost statement by default; a request for the full itemized breakdown routes to the Anchor for manual sharing rather than an automated Excel export (DR-052).</w:t>
      </w:r>
    </w:p>
    <w:p>
      <w:pPr>
        <w:pStyle w:val="Heading2"/>
        <w:spacing w:after="160" w:before="300"/>
      </w:pPr>
      <w:r>
        <w:t xml:space="preserve">7.3 CostGPT Guardrails &amp;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Rule</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Detail</w:t>
            </w:r>
          </w:p>
        </w:tc>
      </w:tr>
      <w:tr>
        <w:tc>
          <w:tcPr>
            <w:tcW w:type="dxa" w:w="5040"/>
            <w:tcMar>
              <w:top w:type="dxa" w:w="80"/>
              <w:left w:type="dxa" w:w="100"/>
              <w:bottom w:type="dxa" w:w="80"/>
              <w:right w:type="dxa" w:w="100"/>
            </w:tcMar>
            <w:vAlign w:val="center"/>
          </w:tcPr>
          <w:p>
            <w:r>
              <w:rPr>
                <w:i w:val="false"/>
                <w:iCs w:val="false"/>
                <w:sz w:val="19"/>
                <w:szCs w:val="19"/>
              </w:rPr>
              <w:t xml:space="preserve">Anchor-only access</w:t>
            </w:r>
          </w:p>
        </w:tc>
        <w:tc>
          <w:tcPr>
            <w:tcW w:type="dxa" w:w="5040"/>
            <w:tcMar>
              <w:top w:type="dxa" w:w="80"/>
              <w:left w:type="dxa" w:w="100"/>
              <w:bottom w:type="dxa" w:w="80"/>
              <w:right w:type="dxa" w:w="100"/>
            </w:tcMar>
            <w:vAlign w:val="center"/>
          </w:tcPr>
          <w:p>
            <w:r>
              <w:rPr>
                <w:i w:val="false"/>
                <w:iCs w:val="false"/>
                <w:sz w:val="19"/>
                <w:szCs w:val="19"/>
              </w:rPr>
              <w:t xml:space="preserve">CostGPT is accessible to Anchors only — not visible to Members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No company data in prompts</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Alumnye name, company references or internal data must not appear in prompts</w:t>
            </w:r>
          </w:p>
        </w:tc>
      </w:tr>
      <w:tr>
        <w:tc>
          <w:tcPr>
            <w:tcW w:type="dxa" w:w="5040"/>
            <w:tcMar>
              <w:top w:type="dxa" w:w="80"/>
              <w:left w:type="dxa" w:w="100"/>
              <w:bottom w:type="dxa" w:w="80"/>
              <w:right w:type="dxa" w:w="100"/>
            </w:tcMar>
            <w:vAlign w:val="center"/>
          </w:tcPr>
          <w:p>
            <w:r>
              <w:rPr>
                <w:i w:val="false"/>
                <w:iCs w:val="false"/>
                <w:sz w:val="19"/>
                <w:szCs w:val="19"/>
              </w:rPr>
              <w:t xml:space="preserve">No sensitive references</w:t>
            </w:r>
          </w:p>
        </w:tc>
        <w:tc>
          <w:tcPr>
            <w:tcW w:type="dxa" w:w="5040"/>
            <w:tcMar>
              <w:top w:type="dxa" w:w="80"/>
              <w:left w:type="dxa" w:w="100"/>
              <w:bottom w:type="dxa" w:w="80"/>
              <w:right w:type="dxa" w:w="100"/>
            </w:tcMar>
            <w:vAlign w:val="center"/>
          </w:tcPr>
          <w:p>
            <w:r>
              <w:rPr>
                <w:i w:val="false"/>
                <w:iCs w:val="false"/>
                <w:sz w:val="19"/>
                <w:szCs w:val="19"/>
              </w:rPr>
              <w:t xml:space="preserve">Remove all contact details or sensitive references from prompts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Master prompt library</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Centralized repository of standardized prompts maintained by the team</w:t>
            </w:r>
          </w:p>
        </w:tc>
      </w:tr>
      <w:tr>
        <w:tc>
          <w:tcPr>
            <w:tcW w:type="dxa" w:w="5040"/>
            <w:tcMar>
              <w:top w:type="dxa" w:w="80"/>
              <w:left w:type="dxa" w:w="100"/>
              <w:bottom w:type="dxa" w:w="80"/>
              <w:right w:type="dxa" w:w="100"/>
            </w:tcMar>
            <w:vAlign w:val="center"/>
          </w:tcPr>
          <w:p>
            <w:r>
              <w:rPr>
                <w:i w:val="false"/>
                <w:iCs w:val="false"/>
                <w:sz w:val="19"/>
                <w:szCs w:val="19"/>
              </w:rPr>
              <w:t xml:space="preserve">AI usage disclosure</w:t>
            </w:r>
          </w:p>
        </w:tc>
        <w:tc>
          <w:tcPr>
            <w:tcW w:type="dxa" w:w="5040"/>
            <w:tcMar>
              <w:top w:type="dxa" w:w="80"/>
              <w:left w:type="dxa" w:w="100"/>
              <w:bottom w:type="dxa" w:w="80"/>
              <w:right w:type="dxa" w:w="100"/>
            </w:tcMar>
            <w:vAlign w:val="center"/>
          </w:tcPr>
          <w:p>
            <w:r>
              <w:rPr>
                <w:i w:val="false"/>
                <w:iCs w:val="false"/>
                <w:sz w:val="19"/>
                <w:szCs w:val="19"/>
              </w:rPr>
              <w:t xml:space="preserve">Users must be informed about acceptable use of AI tools in not more than 3 lines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Hallucination validation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System must be capable of identifying hidden hallucinations in AI outputs</w:t>
            </w:r>
          </w:p>
        </w:tc>
      </w:tr>
      <w:tr>
        <w:tc>
          <w:tcPr>
            <w:tcW w:type="dxa" w:w="5040"/>
            <w:tcMar>
              <w:top w:type="dxa" w:w="80"/>
              <w:left w:type="dxa" w:w="100"/>
              <w:bottom w:type="dxa" w:w="80"/>
              <w:right w:type="dxa" w:w="100"/>
            </w:tcMar>
            <w:vAlign w:val="center"/>
          </w:tcPr>
          <w:p>
            <w:r>
              <w:rPr>
                <w:i w:val="false"/>
                <w:iCs w:val="false"/>
                <w:sz w:val="19"/>
                <w:szCs w:val="19"/>
              </w:rPr>
              <w:t xml:space="preserve">Human review mandatory</w:t>
            </w:r>
          </w:p>
        </w:tc>
        <w:tc>
          <w:tcPr>
            <w:tcW w:type="dxa" w:w="5040"/>
            <w:tcMar>
              <w:top w:type="dxa" w:w="80"/>
              <w:left w:type="dxa" w:w="100"/>
              <w:bottom w:type="dxa" w:w="80"/>
              <w:right w:type="dxa" w:w="100"/>
            </w:tcMar>
            <w:vAlign w:val="center"/>
          </w:tcPr>
          <w:p>
            <w:r>
              <w:rPr>
                <w:i w:val="false"/>
                <w:iCs w:val="false"/>
                <w:sz w:val="19"/>
                <w:szCs w:val="19"/>
              </w:rPr>
              <w:t xml:space="preserve">Human review of GPT outputs is mandatory before finalizing recommendations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Anchor verification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Initial cost estimation is simple, transparent, and Anchor-verifiable</w:t>
            </w:r>
          </w:p>
        </w:tc>
      </w:tr>
      <w:tr>
        <w:tc>
          <w:tcPr>
            <w:tcW w:type="dxa" w:w="5040"/>
            <w:tcMar>
              <w:top w:type="dxa" w:w="80"/>
              <w:left w:type="dxa" w:w="100"/>
              <w:bottom w:type="dxa" w:w="80"/>
              <w:right w:type="dxa" w:w="100"/>
            </w:tcMar>
            <w:vAlign w:val="center"/>
          </w:tcPr>
          <w:p>
            <w:r>
              <w:rPr>
                <w:i w:val="false"/>
                <w:iCs w:val="false"/>
                <w:sz w:val="19"/>
                <w:szCs w:val="19"/>
              </w:rPr>
              <w:t xml:space="preserve">No confidential data leakage</w:t>
            </w:r>
          </w:p>
        </w:tc>
        <w:tc>
          <w:tcPr>
            <w:tcW w:type="dxa" w:w="5040"/>
            <w:tcMar>
              <w:top w:type="dxa" w:w="80"/>
              <w:left w:type="dxa" w:w="100"/>
              <w:bottom w:type="dxa" w:w="80"/>
              <w:right w:type="dxa" w:w="100"/>
            </w:tcMar>
            <w:vAlign w:val="center"/>
          </w:tcPr>
          <w:p>
            <w:r>
              <w:rPr>
                <w:i w:val="false"/>
                <w:iCs w:val="false"/>
                <w:sz w:val="19"/>
                <w:szCs w:val="19"/>
              </w:rPr>
              <w:t xml:space="preserve">No project-specific or confidential information must be generated or exposed</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RULE-001 — Alcohol excluded</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Alcohol is always excluded from CostGPT cost estimates</w:t>
            </w:r>
          </w:p>
        </w:tc>
      </w:tr>
      <w:tr>
        <w:tc>
          <w:tcPr>
            <w:tcW w:type="dxa" w:w="5040"/>
            <w:tcMar>
              <w:top w:type="dxa" w:w="80"/>
              <w:left w:type="dxa" w:w="100"/>
              <w:bottom w:type="dxa" w:w="80"/>
              <w:right w:type="dxa" w:w="100"/>
            </w:tcMar>
            <w:vAlign w:val="center"/>
          </w:tcPr>
          <w:p>
            <w:r>
              <w:rPr>
                <w:i w:val="false"/>
                <w:iCs w:val="false"/>
                <w:sz w:val="19"/>
                <w:szCs w:val="19"/>
              </w:rPr>
              <w:t xml:space="preserve">RULE-006 — Advisory only</w:t>
            </w:r>
          </w:p>
        </w:tc>
        <w:tc>
          <w:tcPr>
            <w:tcW w:type="dxa" w:w="5040"/>
            <w:tcMar>
              <w:top w:type="dxa" w:w="80"/>
              <w:left w:type="dxa" w:w="100"/>
              <w:bottom w:type="dxa" w:w="80"/>
              <w:right w:type="dxa" w:w="100"/>
            </w:tcMar>
            <w:vAlign w:val="center"/>
          </w:tcPr>
          <w:p>
            <w:r>
              <w:rPr>
                <w:i w:val="false"/>
                <w:iCs w:val="false"/>
                <w:sz w:val="19"/>
                <w:szCs w:val="19"/>
              </w:rPr>
              <w:t xml:space="preserve">CostGPT output is advisory only and does not constitute a binding cost commitment</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LLM vendor</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Claude Sonnet 4.6 (Anthropic) is the confirmed back-end LLM, not member/Anchor-selectable in Delta (DR-004); all AI calls are proxied through an audited Spring Boot gateway writing to an AI audit log (RULE-012)</w:t>
            </w:r>
          </w:p>
        </w:tc>
      </w:tr>
    </w:tbl>
    <w:p>
      <w:pPr>
        <w:pStyle w:val="Heading1"/>
        <w:spacing w:after="200" w:before="400"/>
      </w:pPr>
      <w:r>
        <w:t xml:space="preserve">8. RSVP Management</w:t>
      </w:r>
    </w:p>
    <w:p>
      <w:pPr>
        <w:pStyle w:val="Heading2"/>
        <w:spacing w:after="160" w:before="300"/>
      </w:pPr>
      <w:r>
        <w:t xml:space="preserve">8.1 RSVP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Step</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Action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Actor</w:t>
            </w:r>
          </w:p>
        </w:tc>
      </w:tr>
      <w:tr>
        <w:tc>
          <w:tcPr>
            <w:tcW w:type="dxa" w:w="3360"/>
            <w:tcMar>
              <w:top w:type="dxa" w:w="80"/>
              <w:left w:type="dxa" w:w="100"/>
              <w:bottom w:type="dxa" w:w="80"/>
              <w:right w:type="dxa" w:w="100"/>
            </w:tcMar>
            <w:vAlign w:val="center"/>
          </w:tcPr>
          <w:p>
            <w:r>
              <w:rPr>
                <w:i w:val="false"/>
                <w:iCs w:val="false"/>
                <w:sz w:val="19"/>
                <w:szCs w:val="19"/>
              </w:rPr>
              <w:t xml:space="preserve">1</w:t>
            </w:r>
          </w:p>
        </w:tc>
        <w:tc>
          <w:tcPr>
            <w:tcW w:type="dxa" w:w="3360"/>
            <w:tcMar>
              <w:top w:type="dxa" w:w="80"/>
              <w:left w:type="dxa" w:w="100"/>
              <w:bottom w:type="dxa" w:w="80"/>
              <w:right w:type="dxa" w:w="100"/>
            </w:tcMar>
            <w:vAlign w:val="center"/>
          </w:tcPr>
          <w:p>
            <w:r>
              <w:rPr>
                <w:i w:val="false"/>
                <w:iCs w:val="false"/>
                <w:sz w:val="19"/>
                <w:szCs w:val="19"/>
              </w:rPr>
              <w:t xml:space="preserve">Anchor reviews D1–D4 decision and budget confirmation poll results</w:t>
            </w:r>
          </w:p>
        </w:tc>
        <w:tc>
          <w:tcPr>
            <w:tcW w:type="dxa" w:w="3360"/>
            <w:tcMar>
              <w:top w:type="dxa" w:w="80"/>
              <w:left w:type="dxa" w:w="100"/>
              <w:bottom w:type="dxa" w:w="80"/>
              <w:right w:type="dxa" w:w="100"/>
            </w:tcMar>
            <w:vAlign w:val="center"/>
          </w:tcPr>
          <w:p>
            <w:r>
              <w:rPr>
                <w:i w:val="false"/>
                <w:iCs w:val="false"/>
                <w:sz w:val="19"/>
                <w:szCs w:val="19"/>
              </w:rPr>
              <w:t xml:space="preserve">Anchor</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2</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 creates invitations for the event; the event's D1–D4 attributes (Destination, Dates, Payment/Head, Duration, Deadline) are imported read-only into the RSVP screen — no manual re-entry</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w:t>
            </w:r>
          </w:p>
        </w:tc>
      </w:tr>
      <w:tr>
        <w:tc>
          <w:tcPr>
            <w:tcW w:type="dxa" w:w="3360"/>
            <w:tcMar>
              <w:top w:type="dxa" w:w="80"/>
              <w:left w:type="dxa" w:w="100"/>
              <w:bottom w:type="dxa" w:w="80"/>
              <w:right w:type="dxa" w:w="100"/>
            </w:tcMar>
            <w:vAlign w:val="center"/>
          </w:tcPr>
          <w:p>
            <w:r>
              <w:rPr>
                <w:i w:val="false"/>
                <w:iCs w:val="false"/>
                <w:sz w:val="19"/>
                <w:szCs w:val="19"/>
              </w:rPr>
              <w:t xml:space="preserve">3</w:t>
            </w:r>
          </w:p>
        </w:tc>
        <w:tc>
          <w:tcPr>
            <w:tcW w:type="dxa" w:w="3360"/>
            <w:tcMar>
              <w:top w:type="dxa" w:w="80"/>
              <w:left w:type="dxa" w:w="100"/>
              <w:bottom w:type="dxa" w:w="80"/>
              <w:right w:type="dxa" w:w="100"/>
            </w:tcMar>
            <w:vAlign w:val="center"/>
          </w:tcPr>
          <w:p>
            <w:r>
              <w:rPr>
                <w:i w:val="false"/>
                <w:iCs w:val="false"/>
                <w:sz w:val="19"/>
                <w:szCs w:val="19"/>
              </w:rPr>
              <w:t xml:space="preserve">Anchor triggers RSVP: 'Share with Members and Initiate RSVP'</w:t>
            </w:r>
          </w:p>
        </w:tc>
        <w:tc>
          <w:tcPr>
            <w:tcW w:type="dxa" w:w="3360"/>
            <w:tcMar>
              <w:top w:type="dxa" w:w="80"/>
              <w:left w:type="dxa" w:w="100"/>
              <w:bottom w:type="dxa" w:w="80"/>
              <w:right w:type="dxa" w:w="100"/>
            </w:tcMar>
            <w:vAlign w:val="center"/>
          </w:tcPr>
          <w:p>
            <w:r>
              <w:rPr>
                <w:i w:val="false"/>
                <w:iCs w:val="false"/>
                <w:sz w:val="19"/>
                <w:szCs w:val="19"/>
              </w:rPr>
              <w:t xml:space="preserve">Anchor</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4</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 adds comments/instructions to be displayed with the RSVP poll</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w:t>
            </w:r>
          </w:p>
        </w:tc>
      </w:tr>
      <w:tr>
        <w:tc>
          <w:tcPr>
            <w:tcW w:type="dxa" w:w="3360"/>
            <w:tcMar>
              <w:top w:type="dxa" w:w="80"/>
              <w:left w:type="dxa" w:w="100"/>
              <w:bottom w:type="dxa" w:w="80"/>
              <w:right w:type="dxa" w:w="100"/>
            </w:tcMar>
            <w:vAlign w:val="center"/>
          </w:tcPr>
          <w:p>
            <w:r>
              <w:rPr>
                <w:i w:val="false"/>
                <w:iCs w:val="false"/>
                <w:sz w:val="19"/>
                <w:szCs w:val="19"/>
              </w:rPr>
              <w:t xml:space="preserve">5</w:t>
            </w:r>
          </w:p>
        </w:tc>
        <w:tc>
          <w:tcPr>
            <w:tcW w:type="dxa" w:w="3360"/>
            <w:tcMar>
              <w:top w:type="dxa" w:w="80"/>
              <w:left w:type="dxa" w:w="100"/>
              <w:bottom w:type="dxa" w:w="80"/>
              <w:right w:type="dxa" w:w="100"/>
            </w:tcMar>
            <w:vAlign w:val="center"/>
          </w:tcPr>
          <w:p>
            <w:r>
              <w:rPr>
                <w:i w:val="false"/>
                <w:iCs w:val="false"/>
                <w:sz w:val="19"/>
                <w:szCs w:val="19"/>
              </w:rPr>
              <w:t xml:space="preserve">RSVP invitations sent to members via SMS / Email (WhatsApp deferred to Alpha); SMS reminders include an inline Yes/No reply option plus an in-app link (DR-047)</w:t>
            </w:r>
          </w:p>
        </w:tc>
        <w:tc>
          <w:tcPr>
            <w:tcW w:type="dxa" w:w="3360"/>
            <w:tcMar>
              <w:top w:type="dxa" w:w="80"/>
              <w:left w:type="dxa" w:w="100"/>
              <w:bottom w:type="dxa" w:w="80"/>
              <w:right w:type="dxa" w:w="100"/>
            </w:tcMar>
            <w:vAlign w:val="center"/>
          </w:tcPr>
          <w:p>
            <w:r>
              <w:rPr>
                <w:i w:val="false"/>
                <w:iCs w:val="false"/>
                <w:sz w:val="19"/>
                <w:szCs w:val="19"/>
              </w:rPr>
              <w:t xml:space="preserve">System</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6</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Members respond: Yes / No / Thinking (RULE-004 — no other response values permitted)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Member</w:t>
            </w:r>
          </w:p>
        </w:tc>
      </w:tr>
      <w:tr>
        <w:tc>
          <w:tcPr>
            <w:tcW w:type="dxa" w:w="3360"/>
            <w:tcMar>
              <w:top w:type="dxa" w:w="80"/>
              <w:left w:type="dxa" w:w="100"/>
              <w:bottom w:type="dxa" w:w="80"/>
              <w:right w:type="dxa" w:w="100"/>
            </w:tcMar>
            <w:vAlign w:val="center"/>
          </w:tcPr>
          <w:p>
            <w:r>
              <w:rPr>
                <w:i w:val="false"/>
                <w:iCs w:val="false"/>
                <w:sz w:val="19"/>
                <w:szCs w:val="19"/>
              </w:rPr>
              <w:t xml:space="preserve">7</w:t>
            </w:r>
          </w:p>
        </w:tc>
        <w:tc>
          <w:tcPr>
            <w:tcW w:type="dxa" w:w="3360"/>
            <w:tcMar>
              <w:top w:type="dxa" w:w="80"/>
              <w:left w:type="dxa" w:w="100"/>
              <w:bottom w:type="dxa" w:w="80"/>
              <w:right w:type="dxa" w:w="100"/>
            </w:tcMar>
            <w:vAlign w:val="center"/>
          </w:tcPr>
          <w:p>
            <w:r>
              <w:rPr>
                <w:i w:val="false"/>
                <w:iCs w:val="false"/>
                <w:sz w:val="19"/>
                <w:szCs w:val="19"/>
              </w:rPr>
              <w:t xml:space="preserve">Anchor monitors RSVP funnel dashboard</w:t>
            </w:r>
          </w:p>
        </w:tc>
        <w:tc>
          <w:tcPr>
            <w:tcW w:type="dxa" w:w="3360"/>
            <w:tcMar>
              <w:top w:type="dxa" w:w="80"/>
              <w:left w:type="dxa" w:w="100"/>
              <w:bottom w:type="dxa" w:w="80"/>
              <w:right w:type="dxa" w:w="100"/>
            </w:tcMar>
            <w:vAlign w:val="center"/>
          </w:tcPr>
          <w:p>
            <w:r>
              <w:rPr>
                <w:i w:val="false"/>
                <w:iCs w:val="false"/>
                <w:sz w:val="19"/>
                <w:szCs w:val="19"/>
              </w:rPr>
              <w:t xml:space="preserve">Anchor</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8</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 triggers reminders to non-responders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w:t>
            </w:r>
          </w:p>
        </w:tc>
      </w:tr>
      <w:tr>
        <w:tc>
          <w:tcPr>
            <w:tcW w:type="dxa" w:w="3360"/>
            <w:tcMar>
              <w:top w:type="dxa" w:w="80"/>
              <w:left w:type="dxa" w:w="100"/>
              <w:bottom w:type="dxa" w:w="80"/>
              <w:right w:type="dxa" w:w="100"/>
            </w:tcMar>
            <w:vAlign w:val="center"/>
          </w:tcPr>
          <w:p>
            <w:r>
              <w:rPr>
                <w:i w:val="false"/>
                <w:iCs w:val="false"/>
                <w:sz w:val="19"/>
                <w:szCs w:val="19"/>
              </w:rPr>
              <w:t xml:space="preserve">9</w:t>
            </w:r>
          </w:p>
        </w:tc>
        <w:tc>
          <w:tcPr>
            <w:tcW w:type="dxa" w:w="3360"/>
            <w:tcMar>
              <w:top w:type="dxa" w:w="80"/>
              <w:left w:type="dxa" w:w="100"/>
              <w:bottom w:type="dxa" w:w="80"/>
              <w:right w:type="dxa" w:w="100"/>
            </w:tcMar>
            <w:vAlign w:val="center"/>
          </w:tcPr>
          <w:p>
            <w:r>
              <w:rPr>
                <w:i w:val="false"/>
                <w:iCs w:val="false"/>
                <w:sz w:val="19"/>
                <w:szCs w:val="19"/>
              </w:rPr>
              <w:t xml:space="preserve">Post-RSVP preference polls launched: Veg/Non-Veg, Alcohol/Non-Alcohol</w:t>
            </w:r>
          </w:p>
        </w:tc>
        <w:tc>
          <w:tcPr>
            <w:tcW w:type="dxa" w:w="3360"/>
            <w:tcMar>
              <w:top w:type="dxa" w:w="80"/>
              <w:left w:type="dxa" w:w="100"/>
              <w:bottom w:type="dxa" w:w="80"/>
              <w:right w:type="dxa" w:w="100"/>
            </w:tcMar>
            <w:vAlign w:val="center"/>
          </w:tcPr>
          <w:p>
            <w:r>
              <w:rPr>
                <w:i w:val="false"/>
                <w:iCs w:val="false"/>
                <w:sz w:val="19"/>
                <w:szCs w:val="19"/>
              </w:rPr>
              <w:t xml:space="preserve">Anchor</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10</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 records payments manually against RSVP-confirmed members (see §9)</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w:t>
            </w:r>
          </w:p>
        </w:tc>
      </w:tr>
    </w:tbl>
    <w:p>
      <w:pPr>
        <w:pBdr>
          <w:left w:val="single" w:color="BF9000" w:sz="12"/>
        </w:pBdr>
        <w:shd w:fill="FFF2CC" w:val="clear"/>
        <w:spacing w:after="160" w:before="80"/>
        <w:ind w:left="120"/>
      </w:pPr>
      <w:r>
        <w:rPr>
          <w:b/>
          <w:bCs/>
          <w:i/>
          <w:iCs/>
        </w:rPr>
        <w:t xml:space="preserve">Note: </w:t>
      </w:r>
      <w:r>
        <w:rPr>
          <w:i/>
          <w:iCs/>
        </w:rPr>
        <w:t xml:space="preserve">By default in Delta, an RSVP response of "Yes" adds the member to the event attendee list </w:t>
      </w:r>
      <w:r>
        <w:rPr>
          <w:b/>
          <w:bCs/>
          <w:i/>
          <w:iCs/>
        </w:rPr>
        <w:t xml:space="preserve">immediately</w:t>
      </w:r>
      <w:r>
        <w:rPr>
          <w:i/>
          <w:iCs/>
        </w:rPr>
        <w:t xml:space="preserve"> — a payment-gated inclusion override (attendee status contingent on payment) is deferred to a later "Gamma" phase (DR-051, 25-Jun-2026). A payment can only be recorded against a member once their RSVP status is Yes (RULE-PAY-003 — see §9). A prior response is restored if the member revisits the RSVP screen; duplicate RSVP submissions are prevented; re-launching an RSVP resets all prior responses for that event.</w:t>
      </w:r>
    </w:p>
    <w:p>
      <w:pPr>
        <w:pStyle w:val="Heading2"/>
        <w:spacing w:after="160" w:before="300"/>
      </w:pPr>
      <w:r>
        <w:t xml:space="preserve">8.2 RSVP Dashboard — Funnel View</w:t>
      </w:r>
    </w:p>
    <w:p>
      <w:pPr>
        <w:spacing w:after="160"/>
      </w:pPr>
      <w:r>
        <w:rPr>
          <w:i w:val="false"/>
          <w:iCs w:val="false"/>
        </w:rPr>
        <w:t xml:space="preserve">The RSVP Dashboard displays metrics in a funnel format showing participant progression. RSVP status is now visible to </w:t>
      </w:r>
      <w:r>
        <w:rPr>
          <w:b/>
          <w:bCs/>
          <w:i w:val="false"/>
          <w:iCs w:val="false"/>
        </w:rPr>
        <w:t xml:space="preserve">all Members</w:t>
      </w:r>
      <w:r>
        <w:rPr>
          <w:i w:val="false"/>
          <w:iCs w:val="false"/>
        </w:rPr>
        <w:t xml:space="preserve">, not just the Anchor — members can see "who else is coming" (DR-043, 23-Jun-2026) — while D1–D4 poll responses themselves remain fully anonymous (§6.2). The Anchor's funnel dashboard remains the primary operational view for tracking and follow-up.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Funnel Stage</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r>
      <w:tr>
        <w:tc>
          <w:tcPr>
            <w:tcW w:type="dxa" w:w="5040"/>
            <w:tcMar>
              <w:top w:type="dxa" w:w="80"/>
              <w:left w:type="dxa" w:w="100"/>
              <w:bottom w:type="dxa" w:w="80"/>
              <w:right w:type="dxa" w:w="100"/>
            </w:tcMar>
            <w:vAlign w:val="center"/>
          </w:tcPr>
          <w:p>
            <w:r>
              <w:rPr>
                <w:i w:val="false"/>
                <w:iCs w:val="false"/>
                <w:sz w:val="19"/>
                <w:szCs w:val="19"/>
              </w:rPr>
              <w:t xml:space="preserve">Invited</w:t>
            </w:r>
          </w:p>
        </w:tc>
        <w:tc>
          <w:tcPr>
            <w:tcW w:type="dxa" w:w="5040"/>
            <w:tcMar>
              <w:top w:type="dxa" w:w="80"/>
              <w:left w:type="dxa" w:w="100"/>
              <w:bottom w:type="dxa" w:w="80"/>
              <w:right w:type="dxa" w:w="100"/>
            </w:tcMar>
            <w:vAlign w:val="center"/>
          </w:tcPr>
          <w:p>
            <w:r>
              <w:rPr>
                <w:i w:val="false"/>
                <w:iCs w:val="false"/>
                <w:sz w:val="19"/>
                <w:szCs w:val="19"/>
              </w:rPr>
              <w:t xml:space="preserve">Total members invited</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Responded</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Members who have submitted a response</w:t>
            </w:r>
          </w:p>
        </w:tc>
      </w:tr>
      <w:tr>
        <w:tc>
          <w:tcPr>
            <w:tcW w:type="dxa" w:w="5040"/>
            <w:tcMar>
              <w:top w:type="dxa" w:w="80"/>
              <w:left w:type="dxa" w:w="100"/>
              <w:bottom w:type="dxa" w:w="80"/>
              <w:right w:type="dxa" w:w="100"/>
            </w:tcMar>
            <w:vAlign w:val="center"/>
          </w:tcPr>
          <w:p>
            <w:r>
              <w:rPr>
                <w:i w:val="false"/>
                <w:iCs w:val="false"/>
                <w:sz w:val="19"/>
                <w:szCs w:val="19"/>
              </w:rPr>
              <w:t xml:space="preserve">Accepted (Yes)</w:t>
            </w:r>
          </w:p>
        </w:tc>
        <w:tc>
          <w:tcPr>
            <w:tcW w:type="dxa" w:w="5040"/>
            <w:tcMar>
              <w:top w:type="dxa" w:w="80"/>
              <w:left w:type="dxa" w:w="100"/>
              <w:bottom w:type="dxa" w:w="80"/>
              <w:right w:type="dxa" w:w="100"/>
            </w:tcMar>
            <w:vAlign w:val="center"/>
          </w:tcPr>
          <w:p>
            <w:r>
              <w:rPr>
                <w:i w:val="false"/>
                <w:iCs w:val="false"/>
                <w:sz w:val="19"/>
                <w:szCs w:val="19"/>
              </w:rPr>
              <w:t xml:space="preserve">Members who confirmed attendance</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Thinking</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Members who are undecided</w:t>
            </w:r>
          </w:p>
        </w:tc>
      </w:tr>
      <w:tr>
        <w:tc>
          <w:tcPr>
            <w:tcW w:type="dxa" w:w="5040"/>
            <w:tcMar>
              <w:top w:type="dxa" w:w="80"/>
              <w:left w:type="dxa" w:w="100"/>
              <w:bottom w:type="dxa" w:w="80"/>
              <w:right w:type="dxa" w:w="100"/>
            </w:tcMar>
            <w:vAlign w:val="center"/>
          </w:tcPr>
          <w:p>
            <w:r>
              <w:rPr>
                <w:i w:val="false"/>
                <w:iCs w:val="false"/>
                <w:sz w:val="19"/>
                <w:szCs w:val="19"/>
              </w:rPr>
              <w:t xml:space="preserve">Declined (No)</w:t>
            </w:r>
          </w:p>
        </w:tc>
        <w:tc>
          <w:tcPr>
            <w:tcW w:type="dxa" w:w="5040"/>
            <w:tcMar>
              <w:top w:type="dxa" w:w="80"/>
              <w:left w:type="dxa" w:w="100"/>
              <w:bottom w:type="dxa" w:w="80"/>
              <w:right w:type="dxa" w:w="100"/>
            </w:tcMar>
            <w:vAlign w:val="center"/>
          </w:tcPr>
          <w:p>
            <w:r>
              <w:rPr>
                <w:i w:val="false"/>
                <w:iCs w:val="false"/>
                <w:sz w:val="19"/>
                <w:szCs w:val="19"/>
              </w:rPr>
              <w:t xml:space="preserve">Members who declined attendance</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Paid</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Members whose payment has been marked Paid by the Anchor</w:t>
            </w:r>
          </w:p>
        </w:tc>
      </w:tr>
    </w:tbl>
    <w:p>
      <w:pPr>
        <w:pStyle w:val="Heading2"/>
        <w:spacing w:after="160" w:before="300"/>
      </w:pPr>
      <w:r>
        <w:t xml:space="preserve">8.3 Anchor RSVP Controls</w:t>
      </w:r>
    </w:p>
    <w:p>
      <w:pPr>
        <w:pStyle w:val="ListParagraph"/>
        <w:numPr>
          <w:ilvl w:val="0"/>
          <w:numId w:val="2"/>
        </w:numPr>
        <w:spacing w:after="100"/>
      </w:pPr>
      <w:r>
        <w:rPr>
          <w:i w:val="false"/>
          <w:iCs w:val="false"/>
        </w:rPr>
        <w:t xml:space="preserve">View real-time RSVP response counts (RULE-004: responses restricted to Yes / No / Thinking)</w:t>
      </w:r>
    </w:p>
    <w:p>
      <w:pPr>
        <w:pStyle w:val="ListParagraph"/>
        <w:numPr>
          <w:ilvl w:val="0"/>
          <w:numId w:val="2"/>
        </w:numPr>
        <w:spacing w:after="100"/>
      </w:pPr>
      <w:r>
        <w:rPr>
          <w:i w:val="false"/>
          <w:iCs w:val="false"/>
        </w:rPr>
        <w:t xml:space="preserve">Filter RSVP list by status: Accepted / Declined / Thinking / Not Responded</w:t>
      </w:r>
    </w:p>
    <w:p>
      <w:pPr>
        <w:pStyle w:val="ListParagraph"/>
        <w:numPr>
          <w:ilvl w:val="0"/>
          <w:numId w:val="2"/>
        </w:numPr>
        <w:spacing w:after="100"/>
      </w:pPr>
      <w:r>
        <w:rPr>
          <w:i w:val="false"/>
          <w:iCs w:val="false"/>
        </w:rPr>
        <w:t xml:space="preserve">Trigger reminder notifications for unpaid or non-responding participants</w:t>
      </w:r>
    </w:p>
    <w:p>
      <w:pPr>
        <w:pStyle w:val="ListParagraph"/>
        <w:numPr>
          <w:ilvl w:val="0"/>
          <w:numId w:val="2"/>
        </w:numPr>
        <w:spacing w:after="100"/>
      </w:pPr>
      <w:r>
        <w:rPr>
          <w:i w:val="false"/>
          <w:iCs w:val="false"/>
        </w:rPr>
        <w:t xml:space="preserve">Send targeted emails to: Accepted members only / All members / Selected groups</w:t>
      </w:r>
    </w:p>
    <w:p>
      <w:pPr>
        <w:pStyle w:val="ListParagraph"/>
        <w:numPr>
          <w:ilvl w:val="0"/>
          <w:numId w:val="2"/>
        </w:numPr>
        <w:spacing w:after="100"/>
      </w:pPr>
      <w:r>
        <w:rPr>
          <w:i w:val="false"/>
          <w:iCs w:val="false"/>
        </w:rPr>
        <w:t xml:space="preserve">Download RSVP report</w:t>
      </w:r>
    </w:p>
    <w:p>
      <w:pPr>
        <w:pStyle w:val="Heading1"/>
        <w:spacing w:after="200" w:before="400"/>
      </w:pPr>
      <w:r>
        <w:t xml:space="preserve">9. Payment Management</w:t>
      </w:r>
    </w:p>
    <w:p>
      <w:pPr>
        <w:pBdr>
          <w:left w:val="single" w:color="BF9000" w:sz="12"/>
        </w:pBdr>
        <w:shd w:fill="FFF2CC" w:val="clear"/>
        <w:spacing w:after="160" w:before="80"/>
        <w:ind w:left="120"/>
      </w:pPr>
      <w:r>
        <w:rPr>
          <w:b/>
          <w:bCs/>
          <w:i/>
          <w:iCs/>
        </w:rPr>
        <w:t xml:space="preserve">Note: </w:t>
      </w:r>
      <w:r>
        <w:rPr>
          <w:i/>
          <w:iCs/>
        </w:rPr>
        <w:t xml:space="preserve">This section has changed substantially since the April-2026 draft. Razorpay gateway </w:t>
      </w:r>
      <w:r>
        <w:rPr>
          <w:b/>
          <w:bCs/>
          <w:i/>
          <w:iCs/>
        </w:rPr>
        <w:t xml:space="preserve">integration was formally deferred to Alpha</w:t>
      </w:r>
      <w:r>
        <w:rPr>
          <w:i/>
          <w:iCs/>
        </w:rPr>
        <w:t xml:space="preserve"> (DR-022, 09-Jun-2026); Delta ships </w:t>
      </w:r>
      <w:r>
        <w:rPr>
          <w:b/>
          <w:bCs/>
          <w:i/>
          <w:iCs/>
        </w:rPr>
        <w:t xml:space="preserve">manual payment tracking only</w:t>
      </w:r>
      <w:r>
        <w:rPr>
          <w:i/>
          <w:iCs/>
        </w:rPr>
        <w:t xml:space="preserve">. The description below reflects the current build. The underlying payment </w:t>
      </w:r>
      <w:r>
        <w:rPr>
          <w:b/>
          <w:bCs/>
          <w:i/>
          <w:iCs/>
        </w:rPr>
        <w:t xml:space="preserve">custody model remains an open legal question</w:t>
      </w:r>
      <w:r>
        <w:rPr>
          <w:i/>
          <w:iCs/>
        </w:rPr>
        <w:t xml:space="preserve"> — see §9.7.</w:t>
      </w:r>
    </w:p>
    <w:p>
      <w:pPr>
        <w:pStyle w:val="Heading2"/>
        <w:spacing w:after="160" w:before="300"/>
      </w:pPr>
      <w:r>
        <w:t xml:space="preserve">9.1 Payment Model — Delta (Current)</w:t>
      </w:r>
    </w:p>
    <w:p>
      <w:pPr>
        <w:spacing w:after="160"/>
      </w:pPr>
      <w:r>
        <w:rPr>
          <w:i w:val="false"/>
          <w:iCs w:val="false"/>
        </w:rPr>
        <w:t xml:space="preserve">Payment mechanics in Delta are Anchor-recorded and manual, not a live payment gateway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Element</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r>
      <w:tr>
        <w:tc>
          <w:tcPr>
            <w:tcW w:type="dxa" w:w="5040"/>
            <w:tcMar>
              <w:top w:type="dxa" w:w="80"/>
              <w:left w:type="dxa" w:w="100"/>
              <w:bottom w:type="dxa" w:w="80"/>
              <w:right w:type="dxa" w:w="100"/>
            </w:tcMar>
            <w:vAlign w:val="center"/>
          </w:tcPr>
          <w:p>
            <w:r>
              <w:rPr>
                <w:i w:val="false"/>
                <w:iCs w:val="false"/>
                <w:sz w:val="19"/>
                <w:szCs w:val="19"/>
              </w:rPr>
              <w:t xml:space="preserve">Mark as Paid (RULE-PAY-001)</w:t>
            </w:r>
          </w:p>
        </w:tc>
        <w:tc>
          <w:tcPr>
            <w:tcW w:type="dxa" w:w="5040"/>
            <w:tcMar>
              <w:top w:type="dxa" w:w="80"/>
              <w:left w:type="dxa" w:w="100"/>
              <w:bottom w:type="dxa" w:w="80"/>
              <w:right w:type="dxa" w:w="100"/>
            </w:tcMar>
            <w:vAlign w:val="center"/>
          </w:tcPr>
          <w:p>
            <w:r>
              <w:rPr>
                <w:i w:val="false"/>
                <w:iCs w:val="false"/>
                <w:sz w:val="19"/>
                <w:szCs w:val="19"/>
              </w:rPr>
              <w:t xml:space="preserve">Only Anchors may mark payments or record expenses; Members can view their own payment data read-only</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Expected Amount (RULE-PAY-002)</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Defaults to the event's budgeted total divided by RSVP-Yes headcount; Anchor-overridable per member</w:t>
            </w:r>
          </w:p>
        </w:tc>
      </w:tr>
      <w:tr>
        <w:tc>
          <w:tcPr>
            <w:tcW w:type="dxa" w:w="5040"/>
            <w:tcMar>
              <w:top w:type="dxa" w:w="80"/>
              <w:left w:type="dxa" w:w="100"/>
              <w:bottom w:type="dxa" w:w="80"/>
              <w:right w:type="dxa" w:w="100"/>
            </w:tcMar>
            <w:vAlign w:val="center"/>
          </w:tcPr>
          <w:p>
            <w:r>
              <w:rPr>
                <w:i w:val="false"/>
                <w:iCs w:val="false"/>
                <w:sz w:val="19"/>
                <w:szCs w:val="19"/>
              </w:rPr>
              <w:t xml:space="preserve">Payment Gating (RULE-PAY-003)</w:t>
            </w:r>
          </w:p>
        </w:tc>
        <w:tc>
          <w:tcPr>
            <w:tcW w:type="dxa" w:w="5040"/>
            <w:tcMar>
              <w:top w:type="dxa" w:w="80"/>
              <w:left w:type="dxa" w:w="100"/>
              <w:bottom w:type="dxa" w:w="80"/>
              <w:right w:type="dxa" w:w="100"/>
            </w:tcMar>
            <w:vAlign w:val="center"/>
          </w:tcPr>
          <w:p>
            <w:r>
              <w:rPr>
                <w:i w:val="false"/>
                <w:iCs w:val="false"/>
                <w:sz w:val="19"/>
                <w:szCs w:val="19"/>
              </w:rPr>
              <w:t xml:space="preserve">A payment can only be recorded once a member's RSVP status is Yes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Payment Statuses</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UNPAID / PAID / PARTIALLY_PAID / WAIVED</w:t>
            </w:r>
          </w:p>
        </w:tc>
      </w:tr>
      <w:tr>
        <w:tc>
          <w:tcPr>
            <w:tcW w:type="dxa" w:w="5040"/>
            <w:tcMar>
              <w:top w:type="dxa" w:w="80"/>
              <w:left w:type="dxa" w:w="100"/>
              <w:bottom w:type="dxa" w:w="80"/>
              <w:right w:type="dxa" w:w="100"/>
            </w:tcMar>
            <w:vAlign w:val="center"/>
          </w:tcPr>
          <w:p>
            <w:r>
              <w:rPr>
                <w:i w:val="false"/>
                <w:iCs w:val="false"/>
                <w:sz w:val="19"/>
                <w:szCs w:val="19"/>
              </w:rPr>
              <w:t xml:space="preserve">Payment Summary Card</w:t>
            </w:r>
          </w:p>
        </w:tc>
        <w:tc>
          <w:tcPr>
            <w:tcW w:type="dxa" w:w="5040"/>
            <w:tcMar>
              <w:top w:type="dxa" w:w="80"/>
              <w:left w:type="dxa" w:w="100"/>
              <w:bottom w:type="dxa" w:w="80"/>
              <w:right w:type="dxa" w:w="100"/>
            </w:tcMar>
            <w:vAlign w:val="center"/>
          </w:tcPr>
          <w:p>
            <w:r>
              <w:rPr>
                <w:i w:val="false"/>
                <w:iCs w:val="false"/>
                <w:sz w:val="19"/>
                <w:szCs w:val="19"/>
              </w:rPr>
              <w:t xml:space="preserve">Total Expected / Collected / Outstanding / % Collected</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New Payment Screen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records a payment against a member with multi-component breakdown</w:t>
            </w:r>
          </w:p>
        </w:tc>
      </w:tr>
      <w:tr>
        <w:tc>
          <w:tcPr>
            <w:tcW w:type="dxa" w:w="5040"/>
            <w:tcMar>
              <w:top w:type="dxa" w:w="80"/>
              <w:left w:type="dxa" w:w="100"/>
              <w:bottom w:type="dxa" w:w="80"/>
              <w:right w:type="dxa" w:w="100"/>
            </w:tcMar>
            <w:vAlign w:val="center"/>
          </w:tcPr>
          <w:p>
            <w:r>
              <w:rPr>
                <w:i w:val="false"/>
                <w:iCs w:val="false"/>
                <w:sz w:val="19"/>
                <w:szCs w:val="19"/>
              </w:rPr>
              <w:t xml:space="preserve">Payment Transactions Ledger</w:t>
            </w:r>
          </w:p>
        </w:tc>
        <w:tc>
          <w:tcPr>
            <w:tcW w:type="dxa" w:w="5040"/>
            <w:tcMar>
              <w:top w:type="dxa" w:w="80"/>
              <w:left w:type="dxa" w:w="100"/>
              <w:bottom w:type="dxa" w:w="80"/>
              <w:right w:type="dxa" w:w="100"/>
            </w:tcMar>
            <w:vAlign w:val="center"/>
          </w:tcPr>
          <w:p>
            <w:r>
              <w:rPr>
                <w:i w:val="false"/>
                <w:iCs w:val="false"/>
                <w:sz w:val="19"/>
                <w:szCs w:val="19"/>
              </w:rPr>
              <w:t xml:space="preserve">Anchor-facing transaction ledger for the event</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Event Expense Tracking</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logs actual event expenses against the event wallet</w:t>
            </w:r>
          </w:p>
        </w:tc>
      </w:tr>
    </w:tbl>
    <w:p>
      <w:pPr>
        <w:spacing w:after="160"/>
      </w:pPr>
      <w:r>
        <w:rPr>
          <w:i w:val="false"/>
          <w:iCs w:val="false"/>
        </w:rPr>
        <w:t xml:space="preserve">For real live events, the confirmed interim mechanism is: the member pays the merchant directly via UPI/QR </w:t>
      </w:r>
      <w:r>
        <w:rPr>
          <w:b/>
          <w:bCs/>
          <w:i w:val="false"/>
          <w:iCs w:val="false"/>
        </w:rPr>
        <w:t xml:space="preserve">outside the app</w:t>
      </w:r>
      <w:r>
        <w:rPr>
          <w:i w:val="false"/>
          <w:iCs w:val="false"/>
        </w:rPr>
        <w:t xml:space="preserve">, uploads a payment screenshot in-app, and the Anchor reconciles collections against an exported Excel sheet. The Alumnye app itself does not hold funds under this model (DR-027, 10–11-Aug-2026). No payment wallet license is required for Delta, since funds route through an aggregator/merchant relationship rather than a platform-held wallet (DR-023).</w:t>
      </w:r>
    </w:p>
    <w:p>
      <w:pPr>
        <w:pStyle w:val="Heading2"/>
        <w:spacing w:after="160" w:before="300"/>
      </w:pPr>
      <w:r>
        <w:t xml:space="preserve">9.2 Payment Gateway — Alpha Roadmap</w:t>
      </w:r>
    </w:p>
    <w:p>
      <w:pPr>
        <w:spacing w:after="160"/>
      </w:pPr>
      <w:r>
        <w:rPr>
          <w:i w:val="false"/>
          <w:iCs w:val="false"/>
        </w:rPr>
        <w:t xml:space="preserve">Razorpay remains the confirmed preferred payment aggregator for the eventual live gateway integration (selected 08-Apr-2026, DR-021, evaluated against PayU and CashFree), but that integration is Alpha-scope, not Delta:</w:t>
      </w:r>
    </w:p>
    <w:p>
      <w:pPr>
        <w:pStyle w:val="ListParagraph"/>
        <w:numPr>
          <w:ilvl w:val="0"/>
          <w:numId w:val="2"/>
        </w:numPr>
        <w:spacing w:after="100"/>
      </w:pPr>
      <w:r>
        <w:rPr>
          <w:i w:val="false"/>
          <w:iCs w:val="false"/>
        </w:rPr>
        <w:t xml:space="preserve">T+1 settlement support</w:t>
      </w:r>
    </w:p>
    <w:p>
      <w:pPr>
        <w:pStyle w:val="ListParagraph"/>
        <w:numPr>
          <w:ilvl w:val="0"/>
          <w:numId w:val="2"/>
        </w:numPr>
        <w:spacing w:after="100"/>
      </w:pPr>
      <w:r>
        <w:rPr>
          <w:i w:val="false"/>
          <w:iCs w:val="false"/>
        </w:rPr>
        <w:t xml:space="preserve">Strong support for UPI, Net Banking, Card payments</w:t>
      </w:r>
    </w:p>
    <w:p>
      <w:pPr>
        <w:pStyle w:val="ListParagraph"/>
        <w:numPr>
          <w:ilvl w:val="0"/>
          <w:numId w:val="2"/>
        </w:numPr>
        <w:spacing w:after="100"/>
      </w:pPr>
      <w:r>
        <w:rPr>
          <w:i w:val="false"/>
          <w:iCs w:val="false"/>
        </w:rPr>
        <w:t xml:space="preserve">Cross-border payment aggregator license; foreign payment traceability for NRI alumni</w:t>
      </w:r>
    </w:p>
    <w:p>
      <w:pPr>
        <w:pStyle w:val="ListParagraph"/>
        <w:numPr>
          <w:ilvl w:val="0"/>
          <w:numId w:val="2"/>
        </w:numPr>
        <w:spacing w:after="100"/>
      </w:pPr>
      <w:r>
        <w:rPr>
          <w:i w:val="false"/>
          <w:iCs w:val="false"/>
        </w:rPr>
        <w:t xml:space="preserve">Compliance reporting support (CRA audit readiness)</w:t>
      </w:r>
    </w:p>
    <w:p>
      <w:pPr>
        <w:pStyle w:val="ListParagraph"/>
        <w:numPr>
          <w:ilvl w:val="0"/>
          <w:numId w:val="2"/>
        </w:numPr>
        <w:spacing w:after="100"/>
      </w:pPr>
      <w:r>
        <w:rPr>
          <w:i w:val="false"/>
          <w:iCs w:val="false"/>
        </w:rPr>
        <w:t xml:space="preserve">Virtual Sub-Accounts (VSA) — one per event or cohort</w:t>
      </w:r>
    </w:p>
    <w:p>
      <w:pPr>
        <w:pStyle w:val="ListParagraph"/>
        <w:numPr>
          <w:ilvl w:val="0"/>
          <w:numId w:val="2"/>
        </w:numPr>
        <w:spacing w:after="100"/>
      </w:pPr>
      <w:r>
        <w:rPr>
          <w:i w:val="false"/>
          <w:iCs w:val="false"/>
        </w:rPr>
        <w:t xml:space="preserve">Payment links generation; webhook-based payment confirmation</w:t>
      </w:r>
    </w:p>
    <w:p>
      <w:pPr>
        <w:spacing w:after="160"/>
      </w:pPr>
      <w:r>
        <w:rPr>
          <w:i w:val="false"/>
          <w:iCs w:val="false"/>
        </w:rPr>
        <w:t xml:space="preserve">Longer-term (Roadmap, pending regulatory confirmation — OI-08), a multi-merchant architecture is planned using CostGPT-derived allocation formulas (e.g. hotel/cabs/other split) with daily automated disbursement to merchants via the aggregator, so the platform never holds funds overnight (DR-028).</w:t>
      </w:r>
    </w:p>
    <w:p>
      <w:pPr>
        <w:pStyle w:val="Heading2"/>
        <w:spacing w:after="160" w:before="300"/>
      </w:pPr>
      <w:r>
        <w:t xml:space="preserve">9.3 Anchor Payment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Action</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Priority</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2520"/>
            <w:tcMar>
              <w:top w:type="dxa" w:w="80"/>
              <w:left w:type="dxa" w:w="100"/>
              <w:bottom w:type="dxa" w:w="80"/>
              <w:right w:type="dxa" w:w="100"/>
            </w:tcMar>
            <w:vAlign w:val="center"/>
          </w:tcPr>
          <w:p>
            <w:r>
              <w:rPr>
                <w:i w:val="false"/>
                <w:iCs w:val="false"/>
                <w:sz w:val="19"/>
                <w:szCs w:val="19"/>
              </w:rPr>
              <w:t xml:space="preserve">Set Payment Requirement</w:t>
            </w:r>
          </w:p>
        </w:tc>
        <w:tc>
          <w:tcPr>
            <w:tcW w:type="dxa" w:w="2520"/>
            <w:tcMar>
              <w:top w:type="dxa" w:w="80"/>
              <w:left w:type="dxa" w:w="100"/>
              <w:bottom w:type="dxa" w:w="80"/>
              <w:right w:type="dxa" w:w="100"/>
            </w:tcMar>
            <w:vAlign w:val="center"/>
          </w:tcPr>
          <w:p>
            <w:r>
              <w:rPr>
                <w:i w:val="false"/>
                <w:iCs w:val="false"/>
                <w:sz w:val="19"/>
                <w:szCs w:val="19"/>
              </w:rPr>
              <w:t xml:space="preserve">Anchor defines the payment amount required per participant (defaults per RULE-PAY-002)</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Mark as Paid</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Anchor manually records a member's payment status and amount</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View Payment Status</w:t>
            </w:r>
          </w:p>
        </w:tc>
        <w:tc>
          <w:tcPr>
            <w:tcW w:type="dxa" w:w="2520"/>
            <w:tcMar>
              <w:top w:type="dxa" w:w="80"/>
              <w:left w:type="dxa" w:w="100"/>
              <w:bottom w:type="dxa" w:w="80"/>
              <w:right w:type="dxa" w:w="100"/>
            </w:tcMar>
            <w:vAlign w:val="center"/>
          </w:tcPr>
          <w:p>
            <w:r>
              <w:rPr>
                <w:i w:val="false"/>
                <w:iCs w:val="false"/>
                <w:sz w:val="19"/>
                <w:szCs w:val="19"/>
              </w:rPr>
              <w:t xml:space="preserve">View per-member payment status: Paid / Not Paid / Partially Paid / Waived</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View Payment Dashboard</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Overall payment collection summary with amounts and due dates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Reconcile Screenshot Payments</w:t>
            </w:r>
          </w:p>
        </w:tc>
        <w:tc>
          <w:tcPr>
            <w:tcW w:type="dxa" w:w="2520"/>
            <w:tcMar>
              <w:top w:type="dxa" w:w="80"/>
              <w:left w:type="dxa" w:w="100"/>
              <w:bottom w:type="dxa" w:w="80"/>
              <w:right w:type="dxa" w:w="100"/>
            </w:tcMar>
            <w:vAlign w:val="center"/>
          </w:tcPr>
          <w:p>
            <w:r>
              <w:rPr>
                <w:i w:val="false"/>
                <w:iCs w:val="false"/>
                <w:sz w:val="19"/>
                <w:szCs w:val="19"/>
              </w:rPr>
              <w:t xml:space="preserve">For live events, reconcile member-submitted UPI/QR payment screenshots against an exported Excel sheet</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 (interim manual process, DR-027)</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Trigger Payment Reminders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Send payment reminders to unpaid participants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View Outstanding Amount</w:t>
            </w:r>
          </w:p>
        </w:tc>
        <w:tc>
          <w:tcPr>
            <w:tcW w:type="dxa" w:w="2520"/>
            <w:tcMar>
              <w:top w:type="dxa" w:w="80"/>
              <w:left w:type="dxa" w:w="100"/>
              <w:bottom w:type="dxa" w:w="80"/>
              <w:right w:type="dxa" w:w="100"/>
            </w:tcMar>
            <w:vAlign w:val="center"/>
          </w:tcPr>
          <w:p>
            <w:r>
              <w:rPr>
                <w:i w:val="false"/>
                <w:iCs w:val="false"/>
                <w:sz w:val="19"/>
                <w:szCs w:val="19"/>
              </w:rPr>
              <w:t xml:space="preserve">See outstanding / pending payment amount for the event</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View Due Date</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Set and display payment due date per event</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View Paid On Date</w:t>
            </w:r>
          </w:p>
        </w:tc>
        <w:tc>
          <w:tcPr>
            <w:tcW w:type="dxa" w:w="2520"/>
            <w:tcMar>
              <w:top w:type="dxa" w:w="80"/>
              <w:left w:type="dxa" w:w="100"/>
              <w:bottom w:type="dxa" w:w="80"/>
              <w:right w:type="dxa" w:w="100"/>
            </w:tcMar>
            <w:vAlign w:val="center"/>
          </w:tcPr>
          <w:p>
            <w:r>
              <w:rPr>
                <w:i w:val="false"/>
                <w:iCs w:val="false"/>
                <w:sz w:val="19"/>
                <w:szCs w:val="19"/>
              </w:rPr>
              <w:t xml:space="preserve">Record and display payment completion date</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Expense Logging</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Anchor logs actual event expenses against the event wallet</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Medium</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2520"/>
            <w:tcMar>
              <w:top w:type="dxa" w:w="80"/>
              <w:left w:type="dxa" w:w="100"/>
              <w:bottom w:type="dxa" w:w="80"/>
              <w:right w:type="dxa" w:w="100"/>
            </w:tcMar>
            <w:vAlign w:val="center"/>
          </w:tcPr>
          <w:p>
            <w:r>
              <w:rPr>
                <w:i w:val="false"/>
                <w:iCs w:val="false"/>
                <w:sz w:val="19"/>
                <w:szCs w:val="19"/>
              </w:rPr>
              <w:t xml:space="preserve">Event Wallet</w:t>
            </w:r>
          </w:p>
        </w:tc>
        <w:tc>
          <w:tcPr>
            <w:tcW w:type="dxa" w:w="2520"/>
            <w:tcMar>
              <w:top w:type="dxa" w:w="80"/>
              <w:left w:type="dxa" w:w="100"/>
              <w:bottom w:type="dxa" w:w="80"/>
              <w:right w:type="dxa" w:w="100"/>
            </w:tcMar>
            <w:vAlign w:val="center"/>
          </w:tcPr>
          <w:p>
            <w:r>
              <w:rPr>
                <w:i w:val="false"/>
                <w:iCs w:val="false"/>
                <w:sz w:val="19"/>
                <w:szCs w:val="19"/>
              </w:rPr>
              <w:t xml:space="preserve">Track contributions and expenses in the event wallet</w:t>
            </w:r>
          </w:p>
        </w:tc>
        <w:tc>
          <w:tcPr>
            <w:tcW w:type="dxa" w:w="2520"/>
            <w:tcMar>
              <w:top w:type="dxa" w:w="80"/>
              <w:left w:type="dxa" w:w="100"/>
              <w:bottom w:type="dxa" w:w="80"/>
              <w:right w:type="dxa" w:w="100"/>
            </w:tcMar>
            <w:vAlign w:val="center"/>
          </w:tcPr>
          <w:p>
            <w:r>
              <w:rPr>
                <w:i w:val="false"/>
                <w:iCs w:val="false"/>
                <w:sz w:val="19"/>
                <w:szCs w:val="19"/>
              </w:rPr>
              <w:t xml:space="preserve">High</w:t>
            </w:r>
          </w:p>
        </w:tc>
        <w:tc>
          <w:tcPr>
            <w:tcW w:type="dxa" w:w="2520"/>
            <w:tcMar>
              <w:top w:type="dxa" w:w="80"/>
              <w:left w:type="dxa" w:w="100"/>
              <w:bottom w:type="dxa" w:w="80"/>
              <w:right w:type="dxa" w:w="100"/>
            </w:tcMar>
            <w:vAlign w:val="center"/>
          </w:tcPr>
          <w:p>
            <w:r>
              <w:rPr>
                <w:i w:val="false"/>
                <w:iCs w:val="false"/>
                <w:sz w:val="19"/>
                <w:szCs w:val="19"/>
              </w:rPr>
              <w:t xml:space="preserve">Delta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Generate Payment Links (Razorpay)</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Payment links generated via Razorpay for sharing with members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High</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2520"/>
            <w:tcMar>
              <w:top w:type="dxa" w:w="80"/>
              <w:left w:type="dxa" w:w="100"/>
              <w:bottom w:type="dxa" w:w="80"/>
              <w:right w:type="dxa" w:w="100"/>
            </w:tcMar>
            <w:vAlign w:val="center"/>
          </w:tcPr>
          <w:p>
            <w:r>
              <w:rPr>
                <w:i w:val="false"/>
                <w:iCs w:val="false"/>
                <w:sz w:val="19"/>
                <w:szCs w:val="19"/>
              </w:rPr>
              <w:t xml:space="preserve">Bulk Transfers</w:t>
            </w:r>
          </w:p>
        </w:tc>
        <w:tc>
          <w:tcPr>
            <w:tcW w:type="dxa" w:w="2520"/>
            <w:tcMar>
              <w:top w:type="dxa" w:w="80"/>
              <w:left w:type="dxa" w:w="100"/>
              <w:bottom w:type="dxa" w:w="80"/>
              <w:right w:type="dxa" w:w="100"/>
            </w:tcMar>
            <w:vAlign w:val="center"/>
          </w:tcPr>
          <w:p>
            <w:r>
              <w:rPr>
                <w:i w:val="false"/>
                <w:iCs w:val="false"/>
                <w:sz w:val="19"/>
                <w:szCs w:val="19"/>
              </w:rPr>
              <w:t xml:space="preserve">Disbursement to external vendors</w:t>
            </w:r>
          </w:p>
        </w:tc>
        <w:tc>
          <w:tcPr>
            <w:tcW w:type="dxa" w:w="2520"/>
            <w:tcMar>
              <w:top w:type="dxa" w:w="80"/>
              <w:left w:type="dxa" w:w="100"/>
              <w:bottom w:type="dxa" w:w="80"/>
              <w:right w:type="dxa" w:w="100"/>
            </w:tcMar>
            <w:vAlign w:val="center"/>
          </w:tcPr>
          <w:p>
            <w:r>
              <w:rPr>
                <w:i w:val="false"/>
                <w:iCs w:val="false"/>
                <w:sz w:val="19"/>
                <w:szCs w:val="19"/>
              </w:rPr>
              <w:t xml:space="preserve">Medium</w:t>
            </w:r>
          </w:p>
        </w:tc>
        <w:tc>
          <w:tcPr>
            <w:tcW w:type="dxa" w:w="2520"/>
            <w:tcMar>
              <w:top w:type="dxa" w:w="80"/>
              <w:left w:type="dxa" w:w="100"/>
              <w:bottom w:type="dxa" w:w="80"/>
              <w:right w:type="dxa" w:w="100"/>
            </w:tcMar>
            <w:vAlign w:val="center"/>
          </w:tcPr>
          <w:p>
            <w:r>
              <w:rPr>
                <w:i w:val="false"/>
                <w:iCs w:val="false"/>
                <w:sz w:val="19"/>
                <w:szCs w:val="19"/>
              </w:rPr>
              <w:t xml:space="preserve">Alpha/Future</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OCR Payment-Screenshot Extraction</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Automated extraction of payment data from member-submitted screenshots, as a contingency ("Plan B") if regulatory scrutiny prevents in-app payment initiation (DR-083)</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Medium</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Targeted v1.5 (design document in progress — OI-15)</w:t>
            </w:r>
          </w:p>
        </w:tc>
      </w:tr>
    </w:tbl>
    <w:p>
      <w:pPr>
        <w:pStyle w:val="Heading2"/>
        <w:spacing w:after="160" w:before="300"/>
      </w:pPr>
      <w:r>
        <w:t xml:space="preserve">9.4 Payment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Payment Type</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3360"/>
            <w:tcMar>
              <w:top w:type="dxa" w:w="80"/>
              <w:left w:type="dxa" w:w="100"/>
              <w:bottom w:type="dxa" w:w="80"/>
              <w:right w:type="dxa" w:w="100"/>
            </w:tcMar>
            <w:vAlign w:val="center"/>
          </w:tcPr>
          <w:p>
            <w:r>
              <w:rPr>
                <w:i w:val="false"/>
                <w:iCs w:val="false"/>
                <w:sz w:val="19"/>
                <w:szCs w:val="19"/>
              </w:rPr>
              <w:t xml:space="preserve">Prepaid (Full)</w:t>
            </w:r>
          </w:p>
        </w:tc>
        <w:tc>
          <w:tcPr>
            <w:tcW w:type="dxa" w:w="3360"/>
            <w:tcMar>
              <w:top w:type="dxa" w:w="80"/>
              <w:left w:type="dxa" w:w="100"/>
              <w:bottom w:type="dxa" w:w="80"/>
              <w:right w:type="dxa" w:w="100"/>
            </w:tcMar>
            <w:vAlign w:val="center"/>
          </w:tcPr>
          <w:p>
            <w:r>
              <w:rPr>
                <w:i w:val="false"/>
                <w:iCs w:val="false"/>
                <w:sz w:val="19"/>
                <w:szCs w:val="19"/>
              </w:rPr>
              <w:t xml:space="preserve">Members complete full payment before the event, tracked manually by the Anchor. No partial payments allowed in Delta.</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Postpaid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Members pay after the event; Splitwise-style functionality</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Alpha/Future</w:t>
            </w:r>
          </w:p>
        </w:tc>
      </w:tr>
      <w:tr>
        <w:tc>
          <w:tcPr>
            <w:tcW w:type="dxa" w:w="3360"/>
            <w:tcMar>
              <w:top w:type="dxa" w:w="80"/>
              <w:left w:type="dxa" w:w="100"/>
              <w:bottom w:type="dxa" w:w="80"/>
              <w:right w:type="dxa" w:w="100"/>
            </w:tcMar>
            <w:vAlign w:val="center"/>
          </w:tcPr>
          <w:p>
            <w:r>
              <w:rPr>
                <w:i w:val="false"/>
                <w:iCs w:val="false"/>
                <w:sz w:val="19"/>
                <w:szCs w:val="19"/>
              </w:rPr>
              <w:t xml:space="preserve">Hybrid</w:t>
            </w:r>
          </w:p>
        </w:tc>
        <w:tc>
          <w:tcPr>
            <w:tcW w:type="dxa" w:w="3360"/>
            <w:tcMar>
              <w:top w:type="dxa" w:w="80"/>
              <w:left w:type="dxa" w:w="100"/>
              <w:bottom w:type="dxa" w:w="80"/>
              <w:right w:type="dxa" w:w="100"/>
            </w:tcMar>
            <w:vAlign w:val="center"/>
          </w:tcPr>
          <w:p>
            <w:r>
              <w:rPr>
                <w:i w:val="false"/>
                <w:iCs w:val="false"/>
                <w:sz w:val="19"/>
                <w:szCs w:val="19"/>
              </w:rPr>
              <w:t xml:space="preserve">Some costs prepaid via platform; other expenses paid directly by members</w:t>
            </w:r>
          </w:p>
        </w:tc>
        <w:tc>
          <w:tcPr>
            <w:tcW w:type="dxa" w:w="3360"/>
            <w:tcMar>
              <w:top w:type="dxa" w:w="80"/>
              <w:left w:type="dxa" w:w="100"/>
              <w:bottom w:type="dxa" w:w="80"/>
              <w:right w:type="dxa" w:w="100"/>
            </w:tcMar>
            <w:vAlign w:val="center"/>
          </w:tcPr>
          <w:p>
            <w:r>
              <w:rPr>
                <w:i w:val="false"/>
                <w:iCs w:val="false"/>
                <w:sz w:val="19"/>
                <w:szCs w:val="19"/>
              </w:rPr>
              <w:t xml:space="preserve">Alpha/Future</w:t>
            </w:r>
          </w:p>
        </w:tc>
      </w:tr>
    </w:tbl>
    <w:p>
      <w:pPr>
        <w:pStyle w:val="Heading2"/>
        <w:spacing w:after="160" w:before="300"/>
      </w:pPr>
      <w:r>
        <w:t xml:space="preserve">9.5 Payment Custody Model — Open Item</w:t>
      </w:r>
    </w:p>
    <w:p>
      <w:pPr>
        <w:spacing w:after="160"/>
      </w:pPr>
      <w:r>
        <w:rPr>
          <w:i w:val="false"/>
          <w:iCs w:val="false"/>
        </w:rPr>
        <w:t xml:space="preserve">The escrow/custody model described in the original draft is </w:t>
      </w:r>
      <w:r>
        <w:rPr>
          <w:b/>
          <w:bCs/>
          <w:i w:val="false"/>
          <w:iCs w:val="false"/>
        </w:rPr>
        <w:t xml:space="preserve">not settled</w:t>
      </w:r>
      <w:r>
        <w:rPr>
          <w:i w:val="false"/>
          <w:iCs w:val="false"/>
        </w:rPr>
        <w:t xml:space="preserve"> and should not be presented as a finalized design. As of the 30-Aug-2026 cutoff:</w:t>
      </w:r>
    </w:p>
    <w:p>
      <w:pPr>
        <w:pStyle w:val="ListParagraph"/>
        <w:numPr>
          <w:ilvl w:val="0"/>
          <w:numId w:val="2"/>
        </w:numPr>
        <w:spacing w:after="100"/>
      </w:pPr>
      <w:r>
        <w:rPr>
          <w:i w:val="false"/>
          <w:iCs w:val="false"/>
        </w:rPr>
        <w:t xml:space="preserve">The payment module is reframed as </w:t>
      </w:r>
      <w:r>
        <w:rPr>
          <w:b/>
          <w:bCs/>
          <w:i w:val="false"/>
          <w:iCs w:val="false"/>
        </w:rPr>
        <w:t xml:space="preserve">~70% compliance / 30% transactional</w:t>
      </w:r>
      <w:r>
        <w:rPr>
          <w:i w:val="false"/>
          <w:iCs w:val="false"/>
        </w:rPr>
        <w:t xml:space="preserve"> — the primary risk is how long the platform can legally hold collected funds before disbursement (AML/FEMA/trust-fund exposure) (DR-024, 25-Jun-2026)</w:t>
      </w:r>
    </w:p>
    <w:p>
      <w:pPr>
        <w:pStyle w:val="ListParagraph"/>
        <w:numPr>
          <w:ilvl w:val="0"/>
          <w:numId w:val="2"/>
        </w:numPr>
        <w:spacing w:after="100"/>
      </w:pPr>
      <w:r>
        <w:rPr>
          <w:i w:val="false"/>
          <w:iCs w:val="false"/>
        </w:rPr>
        <w:t xml:space="preserve">Custody model — a trust account (for high-value events) versus direct aggregator pass-through (for low-value events) — remains </w:t>
      </w:r>
      <w:r>
        <w:rPr>
          <w:b/>
          <w:bCs/>
          <w:i w:val="false"/>
          <w:iCs w:val="false"/>
        </w:rPr>
        <w:t xml:space="preserve">fully OPEN pending legal/RBI input</w:t>
      </w:r>
      <w:r>
        <w:rPr>
          <w:i w:val="false"/>
          <w:iCs w:val="false"/>
        </w:rPr>
        <w:t xml:space="preserve"> (DR-025, OI-01). Referenced Sep-2020 guidelines suggest an aggregator flow cannot legally hold funds beyond ~1 day; ownership of member funds in transit is legally unclear; a prior "collect then refund" float approach had already lost money once</w:t>
      </w:r>
    </w:p>
    <w:p>
      <w:pPr>
        <w:pStyle w:val="ListParagraph"/>
        <w:numPr>
          <w:ilvl w:val="0"/>
          <w:numId w:val="2"/>
        </w:numPr>
        <w:spacing w:after="100"/>
      </w:pPr>
      <w:r>
        <w:rPr>
          <w:i w:val="false"/>
          <w:iCs w:val="false"/>
        </w:rPr>
        <w:t xml:space="preserve">Whether Delta proceeds "detached" from payment entirely, pending custody-model resolution, was also left open (OI-02)</w:t>
      </w:r>
    </w:p>
    <w:p>
      <w:pPr>
        <w:pStyle w:val="ListParagraph"/>
        <w:numPr>
          <w:ilvl w:val="0"/>
          <w:numId w:val="2"/>
        </w:numPr>
        <w:spacing w:after="100"/>
      </w:pPr>
      <w:r>
        <w:rPr>
          <w:i w:val="false"/>
          <w:iCs w:val="false"/>
        </w:rPr>
        <w:t xml:space="preserve">Regardless of custody-model outcome, the Alpha-phase rule is: pay suppliers </w:t>
      </w:r>
      <w:r>
        <w:rPr>
          <w:b/>
          <w:bCs/>
          <w:i w:val="false"/>
          <w:iCs w:val="false"/>
        </w:rPr>
        <w:t xml:space="preserve">exactly on the due day</w:t>
      </w:r>
      <w:r>
        <w:rPr>
          <w:i w:val="false"/>
          <w:iCs w:val="false"/>
        </w:rPr>
        <w:t xml:space="preserve"> — not before, not after; funds held longer than a day must be refunded, discouraging speculative event creation (DR-026)</w:t>
      </w:r>
    </w:p>
    <w:p>
      <w:pPr>
        <w:pStyle w:val="Heading2"/>
        <w:spacing w:after="160" w:before="300"/>
      </w:pPr>
      <w:r>
        <w:t xml:space="preserve">9.6 Payment Status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Field</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r>
      <w:tr>
        <w:tc>
          <w:tcPr>
            <w:tcW w:type="dxa" w:w="5040"/>
            <w:tcMar>
              <w:top w:type="dxa" w:w="80"/>
              <w:left w:type="dxa" w:w="100"/>
              <w:bottom w:type="dxa" w:w="80"/>
              <w:right w:type="dxa" w:w="100"/>
            </w:tcMar>
            <w:vAlign w:val="center"/>
          </w:tcPr>
          <w:p>
            <w:r>
              <w:rPr>
                <w:i w:val="false"/>
                <w:iCs w:val="false"/>
                <w:sz w:val="19"/>
                <w:szCs w:val="19"/>
              </w:rPr>
              <w:t xml:space="preserve">Payment Status</w:t>
            </w:r>
          </w:p>
        </w:tc>
        <w:tc>
          <w:tcPr>
            <w:tcW w:type="dxa" w:w="5040"/>
            <w:tcMar>
              <w:top w:type="dxa" w:w="80"/>
              <w:left w:type="dxa" w:w="100"/>
              <w:bottom w:type="dxa" w:w="80"/>
              <w:right w:type="dxa" w:w="100"/>
            </w:tcMar>
            <w:vAlign w:val="center"/>
          </w:tcPr>
          <w:p>
            <w:r>
              <w:rPr>
                <w:i w:val="false"/>
                <w:iCs w:val="false"/>
                <w:sz w:val="19"/>
                <w:szCs w:val="19"/>
              </w:rPr>
              <w:t xml:space="preserve">Paid / Not Paid / Partially Paid / Waived</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Payment Due Date</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Replaces the earlier 'Pending' status label</w:t>
            </w:r>
          </w:p>
        </w:tc>
      </w:tr>
      <w:tr>
        <w:tc>
          <w:tcPr>
            <w:tcW w:type="dxa" w:w="5040"/>
            <w:tcMar>
              <w:top w:type="dxa" w:w="80"/>
              <w:left w:type="dxa" w:w="100"/>
              <w:bottom w:type="dxa" w:w="80"/>
              <w:right w:type="dxa" w:w="100"/>
            </w:tcMar>
            <w:vAlign w:val="center"/>
          </w:tcPr>
          <w:p>
            <w:r>
              <w:rPr>
                <w:i w:val="false"/>
                <w:iCs w:val="false"/>
                <w:sz w:val="19"/>
                <w:szCs w:val="19"/>
              </w:rPr>
              <w:t xml:space="preserve">Paid On Date</w:t>
            </w:r>
          </w:p>
        </w:tc>
        <w:tc>
          <w:tcPr>
            <w:tcW w:type="dxa" w:w="5040"/>
            <w:tcMar>
              <w:top w:type="dxa" w:w="80"/>
              <w:left w:type="dxa" w:w="100"/>
              <w:bottom w:type="dxa" w:w="80"/>
              <w:right w:type="dxa" w:w="100"/>
            </w:tcMar>
            <w:vAlign w:val="center"/>
          </w:tcPr>
          <w:p>
            <w:r>
              <w:rPr>
                <w:i w:val="false"/>
                <w:iCs w:val="false"/>
                <w:sz w:val="19"/>
                <w:szCs w:val="19"/>
              </w:rPr>
              <w:t xml:space="preserve">Date on which payment was completed (e.g., for transport/cabs)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Outstanding Amount</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Current outstanding or pending payment amount</w:t>
            </w:r>
          </w:p>
        </w:tc>
      </w:tr>
      <w:tr>
        <w:tc>
          <w:tcPr>
            <w:tcW w:type="dxa" w:w="5040"/>
            <w:tcMar>
              <w:top w:type="dxa" w:w="80"/>
              <w:left w:type="dxa" w:w="100"/>
              <w:bottom w:type="dxa" w:w="80"/>
              <w:right w:type="dxa" w:w="100"/>
            </w:tcMar>
            <w:vAlign w:val="center"/>
          </w:tcPr>
          <w:p>
            <w:r>
              <w:rPr>
                <w:i w:val="false"/>
                <w:iCs w:val="false"/>
                <w:sz w:val="19"/>
                <w:szCs w:val="19"/>
              </w:rPr>
              <w:t xml:space="preserve">Expected Total</w:t>
            </w:r>
          </w:p>
        </w:tc>
        <w:tc>
          <w:tcPr>
            <w:tcW w:type="dxa" w:w="5040"/>
            <w:tcMar>
              <w:top w:type="dxa" w:w="80"/>
              <w:left w:type="dxa" w:w="100"/>
              <w:bottom w:type="dxa" w:w="80"/>
              <w:right w:type="dxa" w:w="100"/>
            </w:tcMar>
            <w:vAlign w:val="center"/>
          </w:tcPr>
          <w:p>
            <w:r>
              <w:rPr>
                <w:i w:val="false"/>
                <w:iCs w:val="false"/>
                <w:sz w:val="19"/>
                <w:szCs w:val="19"/>
              </w:rPr>
              <w:t xml:space="preserve">REMOVED — not to be displayed</w:t>
            </w:r>
          </w:p>
        </w:tc>
      </w:tr>
    </w:tbl>
    <w:p>
      <w:pPr>
        <w:pStyle w:val="Heading2"/>
        <w:spacing w:after="160" w:before="300"/>
      </w:pPr>
      <w:r>
        <w:t xml:space="preserve">9.7 Open Items &amp;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ID</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Item</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Status</w:t>
            </w:r>
          </w:p>
        </w:tc>
      </w:tr>
      <w:tr>
        <w:tc>
          <w:tcPr>
            <w:tcW w:type="dxa" w:w="3360"/>
            <w:tcMar>
              <w:top w:type="dxa" w:w="80"/>
              <w:left w:type="dxa" w:w="100"/>
              <w:bottom w:type="dxa" w:w="80"/>
              <w:right w:type="dxa" w:w="100"/>
            </w:tcMar>
            <w:vAlign w:val="center"/>
          </w:tcPr>
          <w:p>
            <w:r>
              <w:rPr>
                <w:i w:val="false"/>
                <w:iCs w:val="false"/>
                <w:sz w:val="19"/>
                <w:szCs w:val="19"/>
              </w:rPr>
              <w:t xml:space="preserve">OI-01</w:t>
            </w:r>
          </w:p>
        </w:tc>
        <w:tc>
          <w:tcPr>
            <w:tcW w:type="dxa" w:w="3360"/>
            <w:tcMar>
              <w:top w:type="dxa" w:w="80"/>
              <w:left w:type="dxa" w:w="100"/>
              <w:bottom w:type="dxa" w:w="80"/>
              <w:right w:type="dxa" w:w="100"/>
            </w:tcMar>
            <w:vAlign w:val="center"/>
          </w:tcPr>
          <w:p>
            <w:r>
              <w:rPr>
                <w:i w:val="false"/>
                <w:iCs w:val="false"/>
                <w:sz w:val="19"/>
                <w:szCs w:val="19"/>
              </w:rPr>
              <w:t xml:space="preserve">Payment custody legal model (trust account vs. direct pass-through)</w:t>
            </w:r>
          </w:p>
        </w:tc>
        <w:tc>
          <w:tcPr>
            <w:tcW w:type="dxa" w:w="3360"/>
            <w:tcMar>
              <w:top w:type="dxa" w:w="80"/>
              <w:left w:type="dxa" w:w="100"/>
              <w:bottom w:type="dxa" w:w="80"/>
              <w:right w:type="dxa" w:w="100"/>
            </w:tcMar>
            <w:vAlign w:val="center"/>
          </w:tcPr>
          <w:p>
            <w:r>
              <w:rPr>
                <w:i w:val="false"/>
                <w:iCs w:val="false"/>
                <w:sz w:val="19"/>
                <w:szCs w:val="19"/>
              </w:rPr>
              <w:t xml:space="preserve">Pending legal/RBI input since 26-Jun-2026</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OI-02</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Whether Delta proceeds "detached" from payment entirely</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Pending since 26-Jun-2026</w:t>
            </w:r>
          </w:p>
        </w:tc>
      </w:tr>
      <w:tr>
        <w:tc>
          <w:tcPr>
            <w:tcW w:type="dxa" w:w="3360"/>
            <w:tcMar>
              <w:top w:type="dxa" w:w="80"/>
              <w:left w:type="dxa" w:w="100"/>
              <w:bottom w:type="dxa" w:w="80"/>
              <w:right w:type="dxa" w:w="100"/>
            </w:tcMar>
            <w:vAlign w:val="center"/>
          </w:tcPr>
          <w:p>
            <w:r>
              <w:rPr>
                <w:i w:val="false"/>
                <w:iCs w:val="false"/>
                <w:sz w:val="19"/>
                <w:szCs w:val="19"/>
              </w:rPr>
              <w:t xml:space="preserve">OI-08</w:t>
            </w:r>
          </w:p>
        </w:tc>
        <w:tc>
          <w:tcPr>
            <w:tcW w:type="dxa" w:w="3360"/>
            <w:tcMar>
              <w:top w:type="dxa" w:w="80"/>
              <w:left w:type="dxa" w:w="100"/>
              <w:bottom w:type="dxa" w:w="80"/>
              <w:right w:type="dxa" w:w="100"/>
            </w:tcMar>
            <w:vAlign w:val="center"/>
          </w:tcPr>
          <w:p>
            <w:r>
              <w:rPr>
                <w:i w:val="false"/>
                <w:iCs w:val="false"/>
                <w:sz w:val="19"/>
                <w:szCs w:val="19"/>
              </w:rPr>
              <w:t xml:space="preserve">Regulatory confirmation on fund-holding rules for the multi-merchant disbursement model</w:t>
            </w:r>
          </w:p>
        </w:tc>
        <w:tc>
          <w:tcPr>
            <w:tcW w:type="dxa" w:w="3360"/>
            <w:tcMar>
              <w:top w:type="dxa" w:w="80"/>
              <w:left w:type="dxa" w:w="100"/>
              <w:bottom w:type="dxa" w:w="80"/>
              <w:right w:type="dxa" w:w="100"/>
            </w:tcMar>
            <w:vAlign w:val="center"/>
          </w:tcPr>
          <w:p>
            <w:r>
              <w:rPr>
                <w:i w:val="false"/>
                <w:iCs w:val="false"/>
                <w:sz w:val="19"/>
                <w:szCs w:val="19"/>
              </w:rPr>
              <w:t xml:space="preserve">Open since 11-Aug-2026, required before roadmap build</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OI-13</w:t>
            </w:r>
          </w:p>
        </w:tc>
        <w:tc>
          <w:tcPr>
            <w:tcW w:type="dxa" w:w="3360"/>
            <w:shd w:fill="F2F2F2" w:val="clear"/>
            <w:tcMar>
              <w:top w:type="dxa" w:w="80"/>
              <w:left w:type="dxa" w:w="100"/>
              <w:bottom w:type="dxa" w:w="80"/>
              <w:right w:type="dxa" w:w="100"/>
            </w:tcMar>
            <w:vAlign w:val="center"/>
          </w:tcPr>
          <w:p>
            <w:r>
              <w:rPr>
                <w:b/>
                <w:bCs/>
                <w:i w:val="false"/>
                <w:iCs w:val="false"/>
                <w:sz w:val="19"/>
                <w:szCs w:val="19"/>
              </w:rPr>
              <w:t xml:space="preserve">Billing module</w:t>
            </w:r>
            <w:r>
              <w:rPr>
                <w:i w:val="false"/>
                <w:iCs w:val="false"/>
                <w:sz w:val="19"/>
                <w:szCs w:val="19"/>
              </w:rPr>
              <w:t xml:space="preserve"> — flagged 18-Aug-2026 by Indeevar as "the next immediate requirement"</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Scope, timeline and dependencies not yet defined</w:t>
            </w:r>
          </w:p>
        </w:tc>
      </w:tr>
      <w:tr>
        <w:tc>
          <w:tcPr>
            <w:tcW w:type="dxa" w:w="3360"/>
            <w:tcMar>
              <w:top w:type="dxa" w:w="80"/>
              <w:left w:type="dxa" w:w="100"/>
              <w:bottom w:type="dxa" w:w="80"/>
              <w:right w:type="dxa" w:w="100"/>
            </w:tcMar>
            <w:vAlign w:val="center"/>
          </w:tcPr>
          <w:p>
            <w:r>
              <w:rPr>
                <w:i w:val="false"/>
                <w:iCs w:val="false"/>
                <w:sz w:val="19"/>
                <w:szCs w:val="19"/>
              </w:rPr>
              <w:t xml:space="preserve">OI-15</w:t>
            </w:r>
          </w:p>
        </w:tc>
        <w:tc>
          <w:tcPr>
            <w:tcW w:type="dxa" w:w="3360"/>
            <w:tcMar>
              <w:top w:type="dxa" w:w="80"/>
              <w:left w:type="dxa" w:w="100"/>
              <w:bottom w:type="dxa" w:w="80"/>
              <w:right w:type="dxa" w:w="100"/>
            </w:tcMar>
            <w:vAlign w:val="center"/>
          </w:tcPr>
          <w:p>
            <w:r>
              <w:rPr>
                <w:i w:val="false"/>
                <w:iCs w:val="false"/>
                <w:sz w:val="19"/>
                <w:szCs w:val="19"/>
              </w:rPr>
              <w:t xml:space="preserve">Proof-of-payment OCR extraction — design document being prepared for client review</w:t>
            </w:r>
          </w:p>
        </w:tc>
        <w:tc>
          <w:tcPr>
            <w:tcW w:type="dxa" w:w="3360"/>
            <w:tcMar>
              <w:top w:type="dxa" w:w="80"/>
              <w:left w:type="dxa" w:w="100"/>
              <w:bottom w:type="dxa" w:w="80"/>
              <w:right w:type="dxa" w:w="100"/>
            </w:tcMar>
            <w:vAlign w:val="center"/>
          </w:tcPr>
          <w:p>
            <w:r>
              <w:rPr>
                <w:i w:val="false"/>
                <w:iCs w:val="false"/>
                <w:sz w:val="19"/>
                <w:szCs w:val="19"/>
              </w:rPr>
              <w:t xml:space="preserve">Targeted v1.4+/v1.5</w:t>
            </w:r>
          </w:p>
        </w:tc>
      </w:tr>
    </w:tbl>
    <w:p>
      <w:pPr>
        <w:pStyle w:val="Heading1"/>
        <w:spacing w:after="200" w:before="400"/>
      </w:pPr>
      <w:r>
        <w:t xml:space="preserve">10. Content &amp; Media Management</w:t>
      </w:r>
    </w:p>
    <w:p>
      <w:pPr>
        <w:pStyle w:val="Heading2"/>
        <w:spacing w:after="160" w:before="300"/>
      </w:pPr>
      <w:r>
        <w:t xml:space="preserve">10.1 Itinerary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3360"/>
            <w:tcMar>
              <w:top w:type="dxa" w:w="80"/>
              <w:left w:type="dxa" w:w="100"/>
              <w:bottom w:type="dxa" w:w="80"/>
              <w:right w:type="dxa" w:w="100"/>
            </w:tcMar>
            <w:vAlign w:val="center"/>
          </w:tcPr>
          <w:p>
            <w:r>
              <w:rPr>
                <w:i w:val="false"/>
                <w:iCs w:val="false"/>
                <w:sz w:val="19"/>
                <w:szCs w:val="19"/>
              </w:rPr>
              <w:t xml:space="preserve">Upload Itinerary</w:t>
            </w:r>
          </w:p>
        </w:tc>
        <w:tc>
          <w:tcPr>
            <w:tcW w:type="dxa" w:w="3360"/>
            <w:tcMar>
              <w:top w:type="dxa" w:w="80"/>
              <w:left w:type="dxa" w:w="100"/>
              <w:bottom w:type="dxa" w:w="80"/>
              <w:right w:type="dxa" w:w="100"/>
            </w:tcMar>
            <w:vAlign w:val="center"/>
          </w:tcPr>
          <w:p>
            <w:r>
              <w:rPr>
                <w:i w:val="false"/>
                <w:iCs w:val="false"/>
                <w:sz w:val="19"/>
                <w:szCs w:val="19"/>
              </w:rPr>
              <w:t xml:space="preserve">Upload itinerary information directly to the system</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Excel Import</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Import data via Excel files for display</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PDF Upload</w:t>
            </w:r>
          </w:p>
        </w:tc>
        <w:tc>
          <w:tcPr>
            <w:tcW w:type="dxa" w:w="3360"/>
            <w:tcMar>
              <w:top w:type="dxa" w:w="80"/>
              <w:left w:type="dxa" w:w="100"/>
              <w:bottom w:type="dxa" w:w="80"/>
              <w:right w:type="dxa" w:w="100"/>
            </w:tcMar>
            <w:vAlign w:val="center"/>
          </w:tcPr>
          <w:p>
            <w:r>
              <w:rPr>
                <w:i w:val="false"/>
                <w:iCs w:val="false"/>
                <w:sz w:val="19"/>
                <w:szCs w:val="19"/>
              </w:rPr>
              <w:t xml:space="preserve">Upload event PDFs (itinerary, menu card, etc.) with download option</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Notifications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Alerts for itinerary posting and updates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bl>
    <w:p>
      <w:pPr>
        <w:pStyle w:val="Heading2"/>
        <w:spacing w:after="160" w:before="300"/>
      </w:pPr>
      <w:r>
        <w:t xml:space="preserve">10.2 Travel Management</w:t>
      </w:r>
    </w:p>
    <w:p>
      <w:pPr>
        <w:spacing w:after="160"/>
      </w:pPr>
      <w:r>
        <w:rPr>
          <w:i w:val="false"/>
          <w:iCs w:val="false"/>
        </w:rPr>
        <w:t xml:space="preserve">Renamed from "Transfers" (26-Jun-2026). Scope narrowed to a pickup/dropoff-oriented capture, not full travel-agency-style booking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3360"/>
            <w:tcMar>
              <w:top w:type="dxa" w:w="80"/>
              <w:left w:type="dxa" w:w="100"/>
              <w:bottom w:type="dxa" w:w="80"/>
              <w:right w:type="dxa" w:w="100"/>
            </w:tcMar>
            <w:vAlign w:val="center"/>
          </w:tcPr>
          <w:p>
            <w:r>
              <w:rPr>
                <w:i w:val="false"/>
                <w:iCs w:val="false"/>
                <w:sz w:val="19"/>
                <w:szCs w:val="19"/>
              </w:rPr>
              <w:t xml:space="preserve">Per-Member Travel Capture</w:t>
            </w:r>
          </w:p>
        </w:tc>
        <w:tc>
          <w:tcPr>
            <w:tcW w:type="dxa" w:w="3360"/>
            <w:tcMar>
              <w:top w:type="dxa" w:w="80"/>
              <w:left w:type="dxa" w:w="100"/>
              <w:bottom w:type="dxa" w:w="80"/>
              <w:right w:type="dxa" w:w="100"/>
            </w:tcMar>
            <w:vAlign w:val="center"/>
          </w:tcPr>
          <w:p>
            <w:r>
              <w:rPr>
                <w:i w:val="false"/>
                <w:iCs w:val="false"/>
                <w:sz w:val="19"/>
                <w:szCs w:val="19"/>
              </w:rPr>
              <w:t xml:space="preserve">Flight fields narrowed to flight number, arrival/departure date-time, and arrival/departure airport/terminal; airline name, PNR, and booking reference removed from core capture. Train mirrors flight capture; Bus captures station + timing only.</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Anchor Travel Tracking</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 can track and update per-member travel details and send reminders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Travel CSV Download</w:t>
            </w:r>
          </w:p>
        </w:tc>
        <w:tc>
          <w:tcPr>
            <w:tcW w:type="dxa" w:w="3360"/>
            <w:tcMar>
              <w:top w:type="dxa" w:w="80"/>
              <w:left w:type="dxa" w:w="100"/>
              <w:bottom w:type="dxa" w:w="80"/>
              <w:right w:type="dxa" w:w="100"/>
            </w:tcMar>
            <w:vAlign w:val="center"/>
          </w:tcPr>
          <w:p>
            <w:r>
              <w:rPr>
                <w:i w:val="false"/>
                <w:iCs w:val="false"/>
                <w:sz w:val="19"/>
                <w:szCs w:val="19"/>
              </w:rPr>
              <w:t xml:space="preserve">Anchor can download a CSV of RSVP-confirmed members' travel information</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Transport Modes (multi-mode)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Capture flights, train, road travel for different participants in a single event view</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Alpha</w:t>
            </w:r>
          </w:p>
        </w:tc>
      </w:tr>
    </w:tbl>
    <w:p>
      <w:pPr>
        <w:pStyle w:val="Heading2"/>
        <w:spacing w:after="160" w:before="300"/>
      </w:pPr>
      <w:r>
        <w:t xml:space="preserve">10.3 Media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3360"/>
            <w:tcMar>
              <w:top w:type="dxa" w:w="80"/>
              <w:left w:type="dxa" w:w="100"/>
              <w:bottom w:type="dxa" w:w="80"/>
              <w:right w:type="dxa" w:w="100"/>
            </w:tcMar>
            <w:vAlign w:val="center"/>
          </w:tcPr>
          <w:p>
            <w:r>
              <w:rPr>
                <w:i w:val="false"/>
                <w:iCs w:val="false"/>
                <w:sz w:val="19"/>
                <w:szCs w:val="19"/>
              </w:rPr>
              <w:t xml:space="preserve">Upload Media</w:t>
            </w:r>
          </w:p>
        </w:tc>
        <w:tc>
          <w:tcPr>
            <w:tcW w:type="dxa" w:w="3360"/>
            <w:tcMar>
              <w:top w:type="dxa" w:w="80"/>
              <w:left w:type="dxa" w:w="100"/>
              <w:bottom w:type="dxa" w:w="80"/>
              <w:right w:type="dxa" w:w="100"/>
            </w:tcMar>
            <w:vAlign w:val="center"/>
          </w:tcPr>
          <w:p>
            <w:r>
              <w:rPr>
                <w:i w:val="false"/>
                <w:iCs w:val="false"/>
                <w:sz w:val="19"/>
                <w:szCs w:val="19"/>
              </w:rPr>
              <w:t xml:space="preserve">Anchors and Members can both post pictures and videos to the event/group library</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Media Display</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Latest uploaded media displayed first; content is scoped by event and reloads immediately after upload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Upload Timing</w:t>
            </w:r>
          </w:p>
        </w:tc>
        <w:tc>
          <w:tcPr>
            <w:tcW w:type="dxa" w:w="3360"/>
            <w:tcMar>
              <w:top w:type="dxa" w:w="80"/>
              <w:left w:type="dxa" w:w="100"/>
              <w:bottom w:type="dxa" w:w="80"/>
              <w:right w:type="dxa" w:w="100"/>
            </w:tcMar>
            <w:vAlign w:val="center"/>
          </w:tcPr>
          <w:p>
            <w:r>
              <w:rPr>
                <w:i w:val="false"/>
                <w:iCs w:val="false"/>
                <w:sz w:val="19"/>
                <w:szCs w:val="19"/>
              </w:rPr>
              <w:t xml:space="preserve">Media can be uploaded on the day of the itinerary/event</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Storage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Media stored in AWS S3 bucket</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Auto-Deletion</w:t>
            </w:r>
          </w:p>
        </w:tc>
        <w:tc>
          <w:tcPr>
            <w:tcW w:type="dxa" w:w="3360"/>
            <w:tcMar>
              <w:top w:type="dxa" w:w="80"/>
              <w:left w:type="dxa" w:w="100"/>
              <w:bottom w:type="dxa" w:w="80"/>
              <w:right w:type="dxa" w:w="100"/>
            </w:tcMar>
            <w:vAlign w:val="center"/>
          </w:tcPr>
          <w:p>
            <w:r>
              <w:rPr>
                <w:i w:val="false"/>
                <w:iCs w:val="false"/>
                <w:sz w:val="19"/>
                <w:szCs w:val="19"/>
              </w:rPr>
              <w:t xml:space="preserve">Media auto-deleted after 60–90 days to reduce S3 storage costs (duration TBD)</w:t>
            </w:r>
          </w:p>
        </w:tc>
        <w:tc>
          <w:tcPr>
            <w:tcW w:type="dxa" w:w="3360"/>
            <w:tcMar>
              <w:top w:type="dxa" w:w="80"/>
              <w:left w:type="dxa" w:w="100"/>
              <w:bottom w:type="dxa" w:w="80"/>
              <w:right w:type="dxa" w:w="100"/>
            </w:tcMar>
            <w:vAlign w:val="center"/>
          </w:tcPr>
          <w:p>
            <w:r>
              <w:rPr>
                <w:i w:val="false"/>
                <w:iCs w:val="false"/>
                <w:sz w:val="19"/>
                <w:szCs w:val="19"/>
              </w:rPr>
              <w:t xml:space="preserve">Future</w:t>
            </w:r>
          </w:p>
        </w:tc>
      </w:tr>
    </w:tbl>
    <w:p>
      <w:pPr>
        <w:pBdr>
          <w:left w:val="single" w:color="BF9000" w:sz="12"/>
        </w:pBdr>
        <w:shd w:fill="FFF2CC" w:val="clear"/>
        <w:spacing w:after="160" w:before="80"/>
        <w:ind w:left="120"/>
      </w:pPr>
      <w:r>
        <w:rPr>
          <w:b/>
          <w:bCs/>
          <w:i/>
          <w:iCs/>
        </w:rPr>
        <w:t xml:space="preserve">Note: </w:t>
      </w:r>
      <w:r>
        <w:rPr>
          <w:i/>
          <w:iCs/>
        </w:rPr>
        <w:t xml:space="preserve">As currently built, </w:t>
      </w:r>
      <w:r>
        <w:rPr>
          <w:b/>
          <w:bCs/>
          <w:i/>
          <w:iCs/>
        </w:rPr>
        <w:t xml:space="preserve">delete (and like/comment/share) interactions are disabled for all roles in Delta, including Anchors</w:t>
      </w:r>
      <w:r>
        <w:rPr>
          <w:i/>
          <w:iCs/>
        </w:rPr>
        <w:t xml:space="preserve"> — this is confirmed by both the Mobile Product Walkthrough (§15.1) and the QuickLaunch FSD's own §9.1 ("Currently no delete option for Anchors and Members"), which is the accurate current state. This corrects the original April-2026 text, which listed "Delete Media | Anchors can delete uploaded pictures/videos" as an MVP feature — that capability is not currently live for any role. Confirm with the dev team before re-enabling Anchor delete rights in a future release.</w:t>
      </w:r>
    </w:p>
    <w:p>
      <w:pPr>
        <w:spacing w:after="160"/>
      </w:pPr>
      <w:r>
        <w:rPr>
          <w:i w:val="false"/>
          <w:iCs w:val="false"/>
        </w:rPr>
        <w:t xml:space="preserve">Library structure: Delta implements </w:t>
      </w:r>
      <w:r>
        <w:rPr>
          <w:b/>
          <w:bCs/>
          <w:i w:val="false"/>
          <w:iCs w:val="false"/>
        </w:rPr>
        <w:t xml:space="preserve">event-level libraries only</w:t>
      </w:r>
      <w:r>
        <w:rPr>
          <w:i w:val="false"/>
          <w:iCs w:val="false"/>
        </w:rPr>
        <w:t xml:space="preserve">; a group-level master library was deferred until the event-level library proved stable (DR-049, 23-Jun-2026). As of 24-Aug-2026, the group-level library continues to exist and remains in place as-is, while </w:t>
      </w:r>
      <w:r>
        <w:rPr>
          <w:b/>
          <w:bCs/>
          <w:i w:val="false"/>
          <w:iCs w:val="false"/>
        </w:rPr>
        <w:t xml:space="preserve">profile-level (per-member) media uploads</w:t>
      </w:r>
      <w:r>
        <w:rPr>
          <w:i w:val="false"/>
          <w:iCs w:val="false"/>
        </w:rPr>
        <w:t xml:space="preserve"> are being newly explored, with feasibility for v1.3 vs. v1.4 to be assessed by the dev team — no firm commitment as of the 30-Aug-2026 cutoff (DR-084/D18).</w:t>
      </w:r>
    </w:p>
    <w:p>
      <w:pPr>
        <w:pStyle w:val="Heading2"/>
        <w:spacing w:after="160" w:before="300"/>
      </w:pPr>
      <w:r>
        <w:t xml:space="preserve">10.4 Notice Board</w:t>
      </w:r>
    </w:p>
    <w:p>
      <w:pPr>
        <w:spacing w:after="160"/>
      </w:pPr>
      <w:r>
        <w:rPr>
          <w:i w:val="false"/>
          <w:iCs w:val="false"/>
        </w:rPr>
        <w:t xml:space="preserve">A content type not present in the original April-2026 draft. The Anchor posts group/event announcements to a Notice Board; PNG/JPG image attachment is supported (added 08-Jul-2026); the screen has distinct empty and active card states (Mobile Product Walkthrough §15.3–15.4). Delta scope: posting within the Anchor's own group, visible only to that group's members. Alpha: multi-group posting. Gamma/Future: repost/replication functionality. As of 11-Aug-2026, some builds support images only (PDF/ZIP supported, Word documents not yet), with the download option possibly missing in some versions — recommend confirming current build status before UAT sign-off.</w:t>
      </w:r>
    </w:p>
    <w:p>
      <w:pPr>
        <w:pStyle w:val="Heading2"/>
        <w:spacing w:after="160" w:before="300"/>
      </w:pPr>
      <w:r>
        <w:t xml:space="preserve">10.5 Anchor-Only Premium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Revenue Type</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2520"/>
            <w:tcMar>
              <w:top w:type="dxa" w:w="80"/>
              <w:left w:type="dxa" w:w="100"/>
              <w:bottom w:type="dxa" w:w="80"/>
              <w:right w:type="dxa" w:w="100"/>
            </w:tcMar>
            <w:vAlign w:val="center"/>
          </w:tcPr>
          <w:p>
            <w:r>
              <w:rPr>
                <w:i w:val="false"/>
                <w:iCs w:val="false"/>
                <w:sz w:val="19"/>
                <w:szCs w:val="19"/>
              </w:rPr>
              <w:t xml:space="preserve">Logo Generation Bot</w:t>
            </w:r>
          </w:p>
        </w:tc>
        <w:tc>
          <w:tcPr>
            <w:tcW w:type="dxa" w:w="2520"/>
            <w:tcMar>
              <w:top w:type="dxa" w:w="80"/>
              <w:left w:type="dxa" w:w="100"/>
              <w:bottom w:type="dxa" w:w="80"/>
              <w:right w:type="dxa" w:w="100"/>
            </w:tcMar>
            <w:vAlign w:val="center"/>
          </w:tcPr>
          <w:p>
            <w:r>
              <w:rPr>
                <w:i w:val="false"/>
                <w:iCs w:val="false"/>
                <w:sz w:val="19"/>
                <w:szCs w:val="19"/>
              </w:rPr>
              <w:t xml:space="preserve">AI-driven logo creation for events or communities. Initial standalone test version.</w:t>
            </w:r>
          </w:p>
        </w:tc>
        <w:tc>
          <w:tcPr>
            <w:tcW w:type="dxa" w:w="2520"/>
            <w:tcMar>
              <w:top w:type="dxa" w:w="80"/>
              <w:left w:type="dxa" w:w="100"/>
              <w:bottom w:type="dxa" w:w="80"/>
              <w:right w:type="dxa" w:w="100"/>
            </w:tcMar>
            <w:vAlign w:val="center"/>
          </w:tcPr>
          <w:p>
            <w:r>
              <w:rPr>
                <w:i w:val="false"/>
                <w:iCs w:val="false"/>
                <w:sz w:val="19"/>
                <w:szCs w:val="19"/>
              </w:rPr>
              <w:t xml:space="preserve">Paid / Premium</w:t>
            </w:r>
          </w:p>
        </w:tc>
        <w:tc>
          <w:tcPr>
            <w:tcW w:type="dxa" w:w="2520"/>
            <w:tcMar>
              <w:top w:type="dxa" w:w="80"/>
              <w:left w:type="dxa" w:w="100"/>
              <w:bottom w:type="dxa" w:w="80"/>
              <w:right w:type="dxa" w:w="100"/>
            </w:tcMar>
            <w:vAlign w:val="center"/>
          </w:tcPr>
          <w:p>
            <w:r>
              <w:rPr>
                <w:i w:val="false"/>
                <w:iCs w:val="false"/>
                <w:sz w:val="19"/>
                <w:szCs w:val="19"/>
              </w:rPr>
              <w:t xml:space="preserve">Alpha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Coffee Table Book Bot</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Generate digital compilation of alumni profiles and photographs. Digital and physical formats.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Paid / Premium</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2520"/>
            <w:tcMar>
              <w:top w:type="dxa" w:w="80"/>
              <w:left w:type="dxa" w:w="100"/>
              <w:bottom w:type="dxa" w:w="80"/>
              <w:right w:type="dxa" w:w="100"/>
            </w:tcMar>
            <w:vAlign w:val="center"/>
          </w:tcPr>
          <w:p>
            <w:r>
              <w:rPr>
                <w:i w:val="false"/>
                <w:iCs w:val="false"/>
                <w:sz w:val="19"/>
                <w:szCs w:val="19"/>
              </w:rPr>
              <w:t xml:space="preserve">Profile Story Bot</w:t>
            </w:r>
          </w:p>
        </w:tc>
        <w:tc>
          <w:tcPr>
            <w:tcW w:type="dxa" w:w="2520"/>
            <w:tcMar>
              <w:top w:type="dxa" w:w="80"/>
              <w:left w:type="dxa" w:w="100"/>
              <w:bottom w:type="dxa" w:w="80"/>
              <w:right w:type="dxa" w:w="100"/>
            </w:tcMar>
            <w:vAlign w:val="center"/>
          </w:tcPr>
          <w:p>
            <w:r>
              <w:rPr>
                <w:i w:val="false"/>
                <w:iCs w:val="false"/>
                <w:sz w:val="19"/>
                <w:szCs w:val="19"/>
              </w:rPr>
              <w:t xml:space="preserve">Convert extracted profile data into structured narrative story format for engagement</w:t>
            </w:r>
          </w:p>
        </w:tc>
        <w:tc>
          <w:tcPr>
            <w:tcW w:type="dxa" w:w="2520"/>
            <w:tcMar>
              <w:top w:type="dxa" w:w="80"/>
              <w:left w:type="dxa" w:w="100"/>
              <w:bottom w:type="dxa" w:w="80"/>
              <w:right w:type="dxa" w:w="100"/>
            </w:tcMar>
            <w:vAlign w:val="center"/>
          </w:tcPr>
          <w:p>
            <w:r>
              <w:rPr>
                <w:i w:val="false"/>
                <w:iCs w:val="false"/>
                <w:sz w:val="19"/>
                <w:szCs w:val="19"/>
              </w:rPr>
              <w:t xml:space="preserve">Included</w:t>
            </w:r>
          </w:p>
        </w:tc>
        <w:tc>
          <w:tcPr>
            <w:tcW w:type="dxa" w:w="2520"/>
            <w:tcMar>
              <w:top w:type="dxa" w:w="80"/>
              <w:left w:type="dxa" w:w="100"/>
              <w:bottom w:type="dxa" w:w="80"/>
              <w:right w:type="dxa" w:w="100"/>
            </w:tcMar>
            <w:vAlign w:val="center"/>
          </w:tcPr>
          <w:p>
            <w:r>
              <w:rPr>
                <w:i w:val="false"/>
                <w:iCs w:val="false"/>
                <w:sz w:val="19"/>
                <w:szCs w:val="19"/>
              </w:rPr>
              <w:t xml:space="preserve">Alpha</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Testimonial Book</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Manually compiled testimonial book from WhatsApp messages, alumni responses, external communications. Automation may be introduced later.</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Included</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2520"/>
            <w:tcMar>
              <w:top w:type="dxa" w:w="80"/>
              <w:left w:type="dxa" w:w="100"/>
              <w:bottom w:type="dxa" w:w="80"/>
              <w:right w:type="dxa" w:w="100"/>
            </w:tcMar>
            <w:vAlign w:val="center"/>
          </w:tcPr>
          <w:p>
            <w:r>
              <w:rPr>
                <w:i w:val="false"/>
                <w:iCs w:val="false"/>
                <w:sz w:val="19"/>
                <w:szCs w:val="19"/>
              </w:rPr>
              <w:t xml:space="preserve">Photo-to-Video Montage</w:t>
            </w:r>
          </w:p>
        </w:tc>
        <w:tc>
          <w:tcPr>
            <w:tcW w:type="dxa" w:w="2520"/>
            <w:tcMar>
              <w:top w:type="dxa" w:w="80"/>
              <w:left w:type="dxa" w:w="100"/>
              <w:bottom w:type="dxa" w:w="80"/>
              <w:right w:type="dxa" w:w="100"/>
            </w:tcMar>
            <w:vAlign w:val="center"/>
          </w:tcPr>
          <w:p>
            <w:r>
              <w:rPr>
                <w:i w:val="false"/>
                <w:iCs w:val="false"/>
                <w:sz w:val="19"/>
                <w:szCs w:val="19"/>
              </w:rPr>
              <w:t xml:space="preserve">Automatic photo-to-short-video montage on member profiles (default 2-second frames per photo), comparable to iPhone Memories/Google Photos; interim manual Canva-based montages supplied by the team for backend attachment</w:t>
            </w:r>
          </w:p>
        </w:tc>
        <w:tc>
          <w:tcPr>
            <w:tcW w:type="dxa" w:w="2520"/>
            <w:tcMar>
              <w:top w:type="dxa" w:w="80"/>
              <w:left w:type="dxa" w:w="100"/>
              <w:bottom w:type="dxa" w:w="80"/>
              <w:right w:type="dxa" w:w="100"/>
            </w:tcMar>
            <w:vAlign w:val="center"/>
          </w:tcPr>
          <w:p>
            <w:r>
              <w:rPr>
                <w:i w:val="false"/>
                <w:iCs w:val="false"/>
                <w:sz w:val="19"/>
                <w:szCs w:val="19"/>
              </w:rPr>
              <w:t xml:space="preserve">Included</w:t>
            </w:r>
          </w:p>
        </w:tc>
        <w:tc>
          <w:tcPr>
            <w:tcW w:type="dxa" w:w="2520"/>
            <w:tcMar>
              <w:top w:type="dxa" w:w="80"/>
              <w:left w:type="dxa" w:w="100"/>
              <w:bottom w:type="dxa" w:w="80"/>
              <w:right w:type="dxa" w:w="100"/>
            </w:tcMar>
            <w:vAlign w:val="center"/>
          </w:tcPr>
          <w:p>
            <w:r>
              <w:rPr>
                <w:i w:val="false"/>
                <w:iCs w:val="false"/>
                <w:sz w:val="19"/>
                <w:szCs w:val="19"/>
              </w:rPr>
              <w:t xml:space="preserve">Future — build-vs-reuse decision still open</w:t>
            </w:r>
          </w:p>
        </w:tc>
      </w:tr>
    </w:tbl>
    <w:p>
      <w:pPr>
        <w:pBdr>
          <w:left w:val="single" w:color="BF9000" w:sz="12"/>
        </w:pBdr>
        <w:shd w:fill="FFF2CC" w:val="clear"/>
        <w:spacing w:after="160" w:before="80"/>
        <w:ind w:left="120"/>
      </w:pPr>
      <w:r>
        <w:rPr>
          <w:b/>
          <w:bCs/>
          <w:i/>
          <w:iCs/>
        </w:rPr>
        <w:t xml:space="preserve">Note: </w:t>
      </w:r>
      <w:r>
        <w:rPr>
          <w:i/>
          <w:iCs/>
        </w:rPr>
        <w:t xml:space="preserve">File uploads (Notice Board, contacts, and other upload surfaces) are treated as a high-risk entry point: allowed file types are restricted, malware/auto-execute content is blocked, and conservative size limits apply — small MB limits for PDFs/Excel uploads versus the platform's current ~50MB API-wide cap — to be relaxed later with documented justification. Some upload types are restricted to Anchors only (DR-104, 24-Aug-2026).</w:t>
      </w:r>
    </w:p>
    <w:p>
      <w:pPr>
        <w:pStyle w:val="Heading1"/>
        <w:spacing w:after="200" w:before="400"/>
      </w:pPr>
      <w:r>
        <w:t xml:space="preserve">11. Notification &amp; Communication Management</w:t>
      </w:r>
    </w:p>
    <w:p>
      <w:pPr>
        <w:pStyle w:val="Heading2"/>
        <w:spacing w:after="160" w:before="300"/>
      </w:pPr>
      <w:r>
        <w:t xml:space="preserve">11.1 Communication Channels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Channel</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Vendor</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Status</w:t>
            </w:r>
          </w:p>
        </w:tc>
        <w:tc>
          <w:tcPr>
            <w:tcW w:type="dxa" w:w="2520"/>
            <w:shd w:fill="1F3864" w:val="clear"/>
            <w:tcMar>
              <w:top w:type="dxa" w:w="80"/>
              <w:left w:type="dxa" w:w="100"/>
              <w:bottom w:type="dxa" w:w="80"/>
              <w:right w:type="dxa" w:w="100"/>
            </w:tcMar>
            <w:vAlign w:val="center"/>
          </w:tcPr>
          <w:p>
            <w:r>
              <w:rPr>
                <w:i w:val="false"/>
                <w:iCs w:val="false"/>
                <w:color w:val="FFFFFF"/>
                <w:sz w:val="19"/>
                <w:szCs w:val="19"/>
              </w:rPr>
              <w:t xml:space="preserve">Use Cases</w:t>
            </w:r>
          </w:p>
        </w:tc>
      </w:tr>
      <w:tr>
        <w:tc>
          <w:tcPr>
            <w:tcW w:type="dxa" w:w="2520"/>
            <w:tcMar>
              <w:top w:type="dxa" w:w="80"/>
              <w:left w:type="dxa" w:w="100"/>
              <w:bottom w:type="dxa" w:w="80"/>
              <w:right w:type="dxa" w:w="100"/>
            </w:tcMar>
            <w:vAlign w:val="center"/>
          </w:tcPr>
          <w:p>
            <w:r>
              <w:rPr>
                <w:i w:val="false"/>
                <w:iCs w:val="false"/>
                <w:sz w:val="19"/>
                <w:szCs w:val="19"/>
              </w:rPr>
              <w:t xml:space="preserve">SMS</w:t>
            </w:r>
          </w:p>
        </w:tc>
        <w:tc>
          <w:tcPr>
            <w:tcW w:type="dxa" w:w="2520"/>
            <w:tcMar>
              <w:top w:type="dxa" w:w="80"/>
              <w:left w:type="dxa" w:w="100"/>
              <w:bottom w:type="dxa" w:w="80"/>
              <w:right w:type="dxa" w:w="100"/>
            </w:tcMar>
            <w:vAlign w:val="center"/>
          </w:tcPr>
          <w:p>
            <w:r>
              <w:rPr>
                <w:i w:val="false"/>
                <w:iCs w:val="false"/>
                <w:sz w:val="19"/>
                <w:szCs w:val="19"/>
              </w:rPr>
              <w:t xml:space="preserve">Karix</w:t>
            </w:r>
          </w:p>
        </w:tc>
        <w:tc>
          <w:tcPr>
            <w:tcW w:type="dxa" w:w="2520"/>
            <w:tcMar>
              <w:top w:type="dxa" w:w="80"/>
              <w:left w:type="dxa" w:w="100"/>
              <w:bottom w:type="dxa" w:w="80"/>
              <w:right w:type="dxa" w:w="100"/>
            </w:tcMar>
            <w:vAlign w:val="center"/>
          </w:tcPr>
          <w:p>
            <w:r>
              <w:rPr>
                <w:i w:val="false"/>
                <w:iCs w:val="false"/>
                <w:sz w:val="19"/>
                <w:szCs w:val="19"/>
              </w:rPr>
              <w:t xml:space="preserve">Delta — under formal SLA review (see §11.2)</w:t>
            </w:r>
          </w:p>
        </w:tc>
        <w:tc>
          <w:tcPr>
            <w:tcW w:type="dxa" w:w="2520"/>
            <w:tcMar>
              <w:top w:type="dxa" w:w="80"/>
              <w:left w:type="dxa" w:w="100"/>
              <w:bottom w:type="dxa" w:w="80"/>
              <w:right w:type="dxa" w:w="100"/>
            </w:tcMar>
            <w:vAlign w:val="center"/>
          </w:tcPr>
          <w:p>
            <w:r>
              <w:rPr>
                <w:i w:val="false"/>
                <w:iCs w:val="false"/>
                <w:sz w:val="19"/>
                <w:szCs w:val="19"/>
              </w:rPr>
              <w:t xml:space="preserve">Event notifications, RSVP alerts, Payment reminders</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Email</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Karix (primary); ZeptoMail used only as a temporary bridge until Karix email was fully live</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RSVP emails, Event invitations, Payment confirmations, System notifications</w:t>
            </w:r>
          </w:p>
        </w:tc>
      </w:tr>
      <w:tr>
        <w:tc>
          <w:tcPr>
            <w:tcW w:type="dxa" w:w="2520"/>
            <w:tcMar>
              <w:top w:type="dxa" w:w="80"/>
              <w:left w:type="dxa" w:w="100"/>
              <w:bottom w:type="dxa" w:w="80"/>
              <w:right w:type="dxa" w:w="100"/>
            </w:tcMar>
            <w:vAlign w:val="center"/>
          </w:tcPr>
          <w:p>
            <w:r>
              <w:rPr>
                <w:i w:val="false"/>
                <w:iCs w:val="false"/>
                <w:sz w:val="19"/>
                <w:szCs w:val="19"/>
              </w:rPr>
              <w:t xml:space="preserve">WhatsApp</w:t>
            </w:r>
          </w:p>
        </w:tc>
        <w:tc>
          <w:tcPr>
            <w:tcW w:type="dxa" w:w="2520"/>
            <w:tcMar>
              <w:top w:type="dxa" w:w="80"/>
              <w:left w:type="dxa" w:w="100"/>
              <w:bottom w:type="dxa" w:w="80"/>
              <w:right w:type="dxa" w:w="100"/>
            </w:tcMar>
            <w:vAlign w:val="center"/>
          </w:tcPr>
          <w:p>
            <w:r>
              <w:rPr>
                <w:i w:val="false"/>
                <w:iCs w:val="false"/>
                <w:sz w:val="19"/>
                <w:szCs w:val="19"/>
              </w:rPr>
              <w:t xml:space="preserve">Karix (planned)</w:t>
            </w:r>
          </w:p>
        </w:tc>
        <w:tc>
          <w:tcPr>
            <w:tcW w:type="dxa" w:w="2520"/>
            <w:tcMar>
              <w:top w:type="dxa" w:w="80"/>
              <w:left w:type="dxa" w:w="100"/>
              <w:bottom w:type="dxa" w:w="80"/>
              <w:right w:type="dxa" w:w="100"/>
            </w:tcMar>
            <w:vAlign w:val="center"/>
          </w:tcPr>
          <w:p>
            <w:r>
              <w:rPr>
                <w:i w:val="false"/>
                <w:iCs w:val="false"/>
                <w:sz w:val="19"/>
                <w:szCs w:val="19"/>
              </w:rPr>
              <w:t xml:space="preserve">Deferred to Alpha — Karix's WhatsApp Business Meta/Facebook verification failed (DR-015)</w:t>
            </w:r>
          </w:p>
        </w:tc>
        <w:tc>
          <w:tcPr>
            <w:tcW w:type="dxa" w:w="2520"/>
            <w:tcMar>
              <w:top w:type="dxa" w:w="80"/>
              <w:left w:type="dxa" w:w="100"/>
              <w:bottom w:type="dxa" w:w="80"/>
              <w:right w:type="dxa" w:w="100"/>
            </w:tcMar>
            <w:vAlign w:val="center"/>
          </w:tcPr>
          <w:p>
            <w:r>
              <w:rPr>
                <w:i w:val="false"/>
                <w:iCs w:val="false"/>
                <w:sz w:val="19"/>
                <w:szCs w:val="19"/>
              </w:rPr>
              <w:t xml:space="preserve">RSVP, Poll responses, OTP authentication (planned)</w:t>
            </w:r>
          </w:p>
        </w:tc>
      </w:tr>
      <w:tr>
        <w:tc>
          <w:tcPr>
            <w:tcW w:type="dxa" w:w="2520"/>
            <w:shd w:fill="F2F2F2" w:val="clear"/>
            <w:tcMar>
              <w:top w:type="dxa" w:w="80"/>
              <w:left w:type="dxa" w:w="100"/>
              <w:bottom w:type="dxa" w:w="80"/>
              <w:right w:type="dxa" w:w="100"/>
            </w:tcMar>
            <w:vAlign w:val="center"/>
          </w:tcPr>
          <w:p>
            <w:r>
              <w:rPr>
                <w:i w:val="false"/>
                <w:iCs w:val="false"/>
                <w:sz w:val="19"/>
                <w:szCs w:val="19"/>
              </w:rPr>
              <w:t xml:space="preserve">In-App Notifications</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Internal</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520"/>
            <w:shd w:fill="F2F2F2" w:val="clear"/>
            <w:tcMar>
              <w:top w:type="dxa" w:w="80"/>
              <w:left w:type="dxa" w:w="100"/>
              <w:bottom w:type="dxa" w:w="80"/>
              <w:right w:type="dxa" w:w="100"/>
            </w:tcMar>
            <w:vAlign w:val="center"/>
          </w:tcPr>
          <w:p>
            <w:r>
              <w:rPr>
                <w:i w:val="false"/>
                <w:iCs w:val="false"/>
                <w:sz w:val="19"/>
                <w:szCs w:val="19"/>
              </w:rPr>
              <w:t xml:space="preserve">All platform alerts and updates</w:t>
            </w:r>
          </w:p>
        </w:tc>
      </w:tr>
      <w:tr>
        <w:tc>
          <w:tcPr>
            <w:tcW w:type="dxa" w:w="2520"/>
            <w:tcMar>
              <w:top w:type="dxa" w:w="80"/>
              <w:left w:type="dxa" w:w="100"/>
              <w:bottom w:type="dxa" w:w="80"/>
              <w:right w:type="dxa" w:w="100"/>
            </w:tcMar>
            <w:vAlign w:val="center"/>
          </w:tcPr>
          <w:p>
            <w:r>
              <w:rPr>
                <w:i w:val="false"/>
                <w:iCs w:val="false"/>
                <w:sz w:val="19"/>
                <w:szCs w:val="19"/>
              </w:rPr>
              <w:t xml:space="preserve">Push Notifications</w:t>
            </w:r>
          </w:p>
        </w:tc>
        <w:tc>
          <w:tcPr>
            <w:tcW w:type="dxa" w:w="2520"/>
            <w:tcMar>
              <w:top w:type="dxa" w:w="80"/>
              <w:left w:type="dxa" w:w="100"/>
              <w:bottom w:type="dxa" w:w="80"/>
              <w:right w:type="dxa" w:w="100"/>
            </w:tcMar>
            <w:vAlign w:val="center"/>
          </w:tcPr>
          <w:p>
            <w:r>
              <w:rPr>
                <w:i w:val="false"/>
                <w:iCs w:val="false"/>
                <w:sz w:val="19"/>
                <w:szCs w:val="19"/>
              </w:rPr>
              <w:t xml:space="preserve">Firebase Cloud Messaging (FCM)</w:t>
            </w:r>
          </w:p>
        </w:tc>
        <w:tc>
          <w:tcPr>
            <w:tcW w:type="dxa" w:w="2520"/>
            <w:tcMar>
              <w:top w:type="dxa" w:w="80"/>
              <w:left w:type="dxa" w:w="100"/>
              <w:bottom w:type="dxa" w:w="80"/>
              <w:right w:type="dxa" w:w="100"/>
            </w:tcMar>
            <w:vAlign w:val="center"/>
          </w:tcPr>
          <w:p>
            <w:r>
              <w:rPr>
                <w:i w:val="false"/>
                <w:iCs w:val="false"/>
                <w:sz w:val="19"/>
                <w:szCs w:val="19"/>
              </w:rPr>
              <w:t xml:space="preserve">Delta</w:t>
            </w:r>
          </w:p>
        </w:tc>
        <w:tc>
          <w:tcPr>
            <w:tcW w:type="dxa" w:w="2520"/>
            <w:tcMar>
              <w:top w:type="dxa" w:w="80"/>
              <w:left w:type="dxa" w:w="100"/>
              <w:bottom w:type="dxa" w:w="80"/>
              <w:right w:type="dxa" w:w="100"/>
            </w:tcMar>
            <w:vAlign w:val="center"/>
          </w:tcPr>
          <w:p>
            <w:r>
              <w:rPr>
                <w:i w:val="false"/>
                <w:iCs w:val="false"/>
                <w:sz w:val="19"/>
                <w:szCs w:val="19"/>
              </w:rPr>
              <w:t xml:space="preserve">Device tokens saved on login/OAuth/OTP; general mobile alerts</w:t>
            </w:r>
          </w:p>
        </w:tc>
      </w:tr>
    </w:tbl>
    <w:p>
      <w:pPr>
        <w:pStyle w:val="Heading2"/>
        <w:spacing w:after="160" w:before="300"/>
      </w:pPr>
      <w:r>
        <w:t xml:space="preserve">11.2 Karix — Vendor Status</w:t>
      </w:r>
    </w:p>
    <w:p>
      <w:pPr>
        <w:spacing w:after="160"/>
      </w:pPr>
      <w:r>
        <w:rPr>
          <w:i w:val="false"/>
          <w:iCs w:val="false"/>
        </w:rPr>
        <w:t xml:space="preserve">Karix was selected as the preferred vendor for SMS, WhatsApp and Email following a full evaluation across six criteria (scalability, delivery reliability, campaign capability, analytics, cost, long-term growth support) on 30–31-Mar-2026, on the following rationale:</w:t>
      </w:r>
    </w:p>
    <w:p>
      <w:pPr>
        <w:pStyle w:val="ListParagraph"/>
        <w:numPr>
          <w:ilvl w:val="0"/>
          <w:numId w:val="2"/>
        </w:numPr>
        <w:spacing w:after="100"/>
      </w:pPr>
      <w:r>
        <w:rPr>
          <w:i w:val="false"/>
          <w:iCs w:val="false"/>
        </w:rPr>
        <w:t xml:space="preserve">High platform stability and reliability; SOC compliance availability</w:t>
      </w:r>
    </w:p>
    <w:p>
      <w:pPr>
        <w:pStyle w:val="ListParagraph"/>
        <w:numPr>
          <w:ilvl w:val="0"/>
          <w:numId w:val="2"/>
        </w:numPr>
        <w:spacing w:after="100"/>
      </w:pPr>
      <w:r>
        <w:rPr>
          <w:i w:val="false"/>
          <w:iCs w:val="false"/>
        </w:rPr>
        <w:t xml:space="preserve">Support for WhatsApp OTP functionality (subsequently blocked by Meta/Facebook verification failure — see §3.1, §11.1)</w:t>
      </w:r>
    </w:p>
    <w:p>
      <w:pPr>
        <w:pStyle w:val="ListParagraph"/>
        <w:numPr>
          <w:ilvl w:val="0"/>
          <w:numId w:val="2"/>
        </w:numPr>
        <w:spacing w:after="100"/>
      </w:pPr>
      <w:r>
        <w:rPr>
          <w:i w:val="false"/>
          <w:iCs w:val="false"/>
        </w:rPr>
        <w:t xml:space="preserve">Suitable for transactional notifications and B2B usage scenarios</w:t>
      </w:r>
    </w:p>
    <w:p>
      <w:pPr>
        <w:pStyle w:val="ListParagraph"/>
        <w:numPr>
          <w:ilvl w:val="0"/>
          <w:numId w:val="2"/>
        </w:numPr>
        <w:spacing w:after="100"/>
      </w:pPr>
      <w:r>
        <w:rPr>
          <w:i w:val="false"/>
          <w:iCs w:val="false"/>
        </w:rPr>
        <w:t xml:space="preserve">Better responsiveness and engagement from vendor team, and Airtel DLT channel access</w:t>
      </w:r>
    </w:p>
    <w:p>
      <w:pPr>
        <w:pBdr>
          <w:left w:val="single" w:color="BF9000" w:sz="12"/>
        </w:pBdr>
        <w:shd w:fill="FFF2CC" w:val="clear"/>
        <w:spacing w:after="160" w:before="80"/>
        <w:ind w:left="120"/>
      </w:pPr>
      <w:r>
        <w:rPr>
          <w:b/>
          <w:bCs/>
          <w:i/>
          <w:iCs/>
        </w:rPr>
        <w:t xml:space="preserve">Note: </w:t>
      </w:r>
      <w:r>
        <w:rPr>
          <w:i/>
          <w:iCs/>
        </w:rPr>
        <w:t xml:space="preserve">Karix's vendor status is </w:t>
      </w:r>
      <w:r>
        <w:rPr>
          <w:b/>
          <w:bCs/>
          <w:i/>
          <w:iCs/>
        </w:rPr>
        <w:t xml:space="preserve">not settled</w:t>
      </w:r>
      <w:r>
        <w:rPr>
          <w:i/>
          <w:iCs/>
        </w:rPr>
        <w:t xml:space="preserve">. Following recurring OTP/SMS delivery failures (DLT/spam misclassification, costing roughly three weeks of delay), the relationship was placed under </w:t>
      </w:r>
      <w:r>
        <w:rPr>
          <w:b/>
          <w:bCs/>
          <w:i/>
          <w:iCs/>
        </w:rPr>
        <w:t xml:space="preserve">formal review</w:t>
      </w:r>
      <w:r>
        <w:rPr>
          <w:i/>
          <w:iCs/>
        </w:rPr>
        <w:t xml:space="preserve"> on 10–11-Aug-2026, with a documented SLA-comparison exercise initiated against Netcore before any migration decision (DR-020, OI-05 — still open as of the 30-Aug-2026 cutoff). Netcore itself remains under separate evaluation for email campaigns specifically (DR-012), and was not selected outright at time of evaluation.</w:t>
      </w:r>
    </w:p>
    <w:p>
      <w:pPr>
        <w:pStyle w:val="Heading2"/>
        <w:spacing w:after="160" w:before="300"/>
      </w:pPr>
      <w:r>
        <w:t xml:space="preserve">11.3 Messaging Governance &amp;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Rule</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Detail</w:t>
            </w:r>
          </w:p>
        </w:tc>
      </w:tr>
      <w:tr>
        <w:tc>
          <w:tcPr>
            <w:tcW w:type="dxa" w:w="5040"/>
            <w:tcMar>
              <w:top w:type="dxa" w:w="80"/>
              <w:left w:type="dxa" w:w="100"/>
              <w:bottom w:type="dxa" w:w="80"/>
              <w:right w:type="dxa" w:w="100"/>
            </w:tcMar>
            <w:vAlign w:val="center"/>
          </w:tcPr>
          <w:p>
            <w:r>
              <w:rPr>
                <w:i w:val="false"/>
                <w:iCs w:val="false"/>
                <w:sz w:val="19"/>
                <w:szCs w:val="19"/>
              </w:rPr>
              <w:t xml:space="preserve">Sender identity</w:t>
            </w:r>
          </w:p>
        </w:tc>
        <w:tc>
          <w:tcPr>
            <w:tcW w:type="dxa" w:w="5040"/>
            <w:tcMar>
              <w:top w:type="dxa" w:w="80"/>
              <w:left w:type="dxa" w:w="100"/>
              <w:bottom w:type="dxa" w:w="80"/>
              <w:right w:type="dxa" w:w="100"/>
            </w:tcMar>
            <w:vAlign w:val="center"/>
          </w:tcPr>
          <w:p>
            <w:r>
              <w:rPr>
                <w:i w:val="false"/>
                <w:iCs w:val="false"/>
                <w:sz w:val="19"/>
                <w:szCs w:val="19"/>
              </w:rPr>
              <w:t xml:space="preserve">Standardized to msg@alumnye.com across SMS/email; all "noreply" branding removed platform-wide (DR-016)</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DLT sender format</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Numeric DLT sender format per TRAI guidelines, with mandatory variable tagging on all SMS templates (DR-017)</w:t>
            </w:r>
          </w:p>
        </w:tc>
      </w:tr>
      <w:tr>
        <w:tc>
          <w:tcPr>
            <w:tcW w:type="dxa" w:w="5040"/>
            <w:tcMar>
              <w:top w:type="dxa" w:w="80"/>
              <w:left w:type="dxa" w:w="100"/>
              <w:bottom w:type="dxa" w:w="80"/>
              <w:right w:type="dxa" w:w="100"/>
            </w:tcMar>
            <w:vAlign w:val="center"/>
          </w:tcPr>
          <w:p>
            <w:r>
              <w:rPr>
                <w:i w:val="false"/>
                <w:iCs w:val="false"/>
                <w:sz w:val="19"/>
                <w:szCs w:val="19"/>
              </w:rPr>
              <w:t xml:space="preserve">SMS sender name</w:t>
            </w:r>
          </w:p>
        </w:tc>
        <w:tc>
          <w:tcPr>
            <w:tcW w:type="dxa" w:w="5040"/>
            <w:tcMar>
              <w:top w:type="dxa" w:w="80"/>
              <w:left w:type="dxa" w:w="100"/>
              <w:bottom w:type="dxa" w:w="80"/>
              <w:right w:type="dxa" w:w="100"/>
            </w:tcMar>
            <w:vAlign w:val="center"/>
          </w:tcPr>
          <w:p>
            <w:r>
              <w:rPr>
                <w:i w:val="false"/>
                <w:iCs w:val="false"/>
                <w:sz w:val="19"/>
                <w:szCs w:val="19"/>
              </w:rPr>
              <w:t xml:space="preserve">Standardized as "Team Alumnye" with a trailing hyphen — "- Team Alumnye" (DR-018)</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Email classification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Care / Complaint / Campaign / Contract routing scheme (DR-019), tied to the four support inboxes tracked in the Post-Go-Live Checklist</w:t>
            </w:r>
          </w:p>
        </w:tc>
      </w:tr>
      <w:tr>
        <w:tc>
          <w:tcPr>
            <w:tcW w:type="dxa" w:w="5040"/>
            <w:tcMar>
              <w:top w:type="dxa" w:w="80"/>
              <w:left w:type="dxa" w:w="100"/>
              <w:bottom w:type="dxa" w:w="80"/>
              <w:right w:type="dxa" w:w="100"/>
            </w:tcMar>
            <w:vAlign w:val="center"/>
          </w:tcPr>
          <w:p>
            <w:r>
              <w:rPr>
                <w:i w:val="false"/>
                <w:iCs w:val="false"/>
                <w:sz w:val="19"/>
                <w:szCs w:val="19"/>
              </w:rPr>
              <w:t xml:space="preserve">No promotional SMS</w:t>
            </w:r>
          </w:p>
        </w:tc>
        <w:tc>
          <w:tcPr>
            <w:tcW w:type="dxa" w:w="5040"/>
            <w:tcMar>
              <w:top w:type="dxa" w:w="80"/>
              <w:left w:type="dxa" w:w="100"/>
              <w:bottom w:type="dxa" w:w="80"/>
              <w:right w:type="dxa" w:w="100"/>
            </w:tcMar>
            <w:vAlign w:val="center"/>
          </w:tcPr>
          <w:p>
            <w:r>
              <w:rPr>
                <w:i w:val="false"/>
                <w:iCs w:val="false"/>
                <w:sz w:val="19"/>
                <w:szCs w:val="19"/>
              </w:rPr>
              <w:t xml:space="preserve">No promotional/marketing SMS is sent for now; all outbound messaging (invites, OTPs, necessary updates) is treated strictly as transactional for DLT-compliance purposes (DR-082, 24-Aug-2026)</w:t>
            </w:r>
          </w:p>
        </w:tc>
      </w:tr>
    </w:tbl>
    <w:p>
      <w:pPr>
        <w:pStyle w:val="Heading2"/>
        <w:spacing w:after="160" w:before="300"/>
      </w:pPr>
      <w:r>
        <w:t xml:space="preserve">11.4 Anchor Notification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Action</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r>
      <w:tr>
        <w:tc>
          <w:tcPr>
            <w:tcW w:type="dxa" w:w="5040"/>
            <w:tcMar>
              <w:top w:type="dxa" w:w="80"/>
              <w:left w:type="dxa" w:w="100"/>
              <w:bottom w:type="dxa" w:w="80"/>
              <w:right w:type="dxa" w:w="100"/>
            </w:tcMar>
            <w:vAlign w:val="center"/>
          </w:tcPr>
          <w:p>
            <w:r>
              <w:rPr>
                <w:i w:val="false"/>
                <w:iCs w:val="false"/>
                <w:sz w:val="19"/>
                <w:szCs w:val="19"/>
              </w:rPr>
              <w:t xml:space="preserve">Campaign Notifications</w:t>
            </w:r>
          </w:p>
        </w:tc>
        <w:tc>
          <w:tcPr>
            <w:tcW w:type="dxa" w:w="5040"/>
            <w:tcMar>
              <w:top w:type="dxa" w:w="80"/>
              <w:left w:type="dxa" w:w="100"/>
              <w:bottom w:type="dxa" w:w="80"/>
              <w:right w:type="dxa" w:w="100"/>
            </w:tcMar>
            <w:vAlign w:val="center"/>
          </w:tcPr>
          <w:p>
            <w:r>
              <w:rPr>
                <w:i w:val="false"/>
                <w:iCs w:val="false"/>
                <w:sz w:val="19"/>
                <w:szCs w:val="19"/>
              </w:rPr>
              <w:t xml:space="preserve">Trigger campaign-based messaging to all or selected members (Alpha, pending WhatsApp availability)</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RSVP Reminders</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Send reminders to non-responding members; SMS reminders include an inline Yes/No reply option plus an in-app link</w:t>
            </w:r>
          </w:p>
        </w:tc>
      </w:tr>
      <w:tr>
        <w:tc>
          <w:tcPr>
            <w:tcW w:type="dxa" w:w="5040"/>
            <w:tcMar>
              <w:top w:type="dxa" w:w="80"/>
              <w:left w:type="dxa" w:w="100"/>
              <w:bottom w:type="dxa" w:w="80"/>
              <w:right w:type="dxa" w:w="100"/>
            </w:tcMar>
            <w:vAlign w:val="center"/>
          </w:tcPr>
          <w:p>
            <w:r>
              <w:rPr>
                <w:i w:val="false"/>
                <w:iCs w:val="false"/>
                <w:sz w:val="19"/>
                <w:szCs w:val="19"/>
              </w:rPr>
              <w:t xml:space="preserve">Payment Reminders</w:t>
            </w:r>
          </w:p>
        </w:tc>
        <w:tc>
          <w:tcPr>
            <w:tcW w:type="dxa" w:w="5040"/>
            <w:tcMar>
              <w:top w:type="dxa" w:w="80"/>
              <w:left w:type="dxa" w:w="100"/>
              <w:bottom w:type="dxa" w:w="80"/>
              <w:right w:type="dxa" w:w="100"/>
            </w:tcMar>
            <w:vAlign w:val="center"/>
          </w:tcPr>
          <w:p>
            <w:r>
              <w:rPr>
                <w:i w:val="false"/>
                <w:iCs w:val="false"/>
                <w:sz w:val="19"/>
                <w:szCs w:val="19"/>
              </w:rPr>
              <w:t xml:space="preserve">Send payment reminders to unpaid participants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Targeted Email</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Send emails to: All members / Accepted members only / Non-accepted members</w:t>
            </w:r>
          </w:p>
        </w:tc>
      </w:tr>
      <w:tr>
        <w:tc>
          <w:tcPr>
            <w:tcW w:type="dxa" w:w="5040"/>
            <w:tcMar>
              <w:top w:type="dxa" w:w="80"/>
              <w:left w:type="dxa" w:w="100"/>
              <w:bottom w:type="dxa" w:w="80"/>
              <w:right w:type="dxa" w:w="100"/>
            </w:tcMar>
            <w:vAlign w:val="center"/>
          </w:tcPr>
          <w:p>
            <w:r>
              <w:rPr>
                <w:i w:val="false"/>
                <w:iCs w:val="false"/>
                <w:sz w:val="19"/>
                <w:szCs w:val="19"/>
              </w:rPr>
              <w:t xml:space="preserve">Poll Reminders</w:t>
            </w:r>
          </w:p>
        </w:tc>
        <w:tc>
          <w:tcPr>
            <w:tcW w:type="dxa" w:w="5040"/>
            <w:tcMar>
              <w:top w:type="dxa" w:w="80"/>
              <w:left w:type="dxa" w:w="100"/>
              <w:bottom w:type="dxa" w:w="80"/>
              <w:right w:type="dxa" w:w="100"/>
            </w:tcMar>
            <w:vAlign w:val="center"/>
          </w:tcPr>
          <w:p>
            <w:r>
              <w:rPr>
                <w:i w:val="false"/>
                <w:iCs w:val="false"/>
                <w:sz w:val="19"/>
                <w:szCs w:val="19"/>
              </w:rPr>
              <w:t xml:space="preserve">Notify members who have not yet voted in active polls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Itinerary Alerts</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Notify members of new itinerary postings or updates</w:t>
            </w:r>
          </w:p>
        </w:tc>
      </w:tr>
    </w:tbl>
    <w:p>
      <w:pPr>
        <w:pStyle w:val="Heading1"/>
        <w:spacing w:after="200" w:before="400"/>
      </w:pPr>
      <w:r>
        <w:t xml:space="preserve">12. Profile Builder Module</w:t>
      </w:r>
    </w:p>
    <w:p>
      <w:pPr>
        <w:pStyle w:val="Heading2"/>
        <w:spacing w:after="160" w:before="300"/>
      </w:pPr>
      <w:r>
        <w:t xml:space="preserve">12.1 Overview</w:t>
      </w:r>
    </w:p>
    <w:p>
      <w:pPr>
        <w:spacing w:after="160"/>
      </w:pPr>
      <w:r>
        <w:rPr>
          <w:i w:val="false"/>
          <w:iCs w:val="false"/>
        </w:rPr>
        <w:t xml:space="preserve">The Profile Builder module allows Anchors to generate, review, and publish alumni profiles. Profiles are enriched using Firecrawl and DuckDuckGo public web search (LinkedIn scraping is confirmed infeasible under any tool — see §4.2), with strict privacy and consent governance. </w:t>
      </w:r>
      <w:r>
        <w:rPr>
          <w:b/>
          <w:bCs/>
          <w:i w:val="false"/>
          <w:iCs w:val="false"/>
        </w:rPr>
        <w:t xml:space="preserve">Claude Sonnet 4.6 (Anthropic)</w:t>
      </w:r>
      <w:r>
        <w:rPr>
          <w:i w:val="false"/>
          <w:iCs w:val="false"/>
        </w:rPr>
        <w:t xml:space="preserve"> is the confirmed default LLM (DR-004), back-end configured and not member-selectable in Delta.</w:t>
      </w:r>
    </w:p>
    <w:p>
      <w:pPr>
        <w:pStyle w:val="Heading2"/>
        <w:spacing w:after="160" w:before="300"/>
      </w:pPr>
      <w:r>
        <w:t xml:space="preserve">12.2 Profile Generation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Step</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Action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Actor</w:t>
            </w:r>
          </w:p>
        </w:tc>
      </w:tr>
      <w:tr>
        <w:tc>
          <w:tcPr>
            <w:tcW w:type="dxa" w:w="3360"/>
            <w:tcMar>
              <w:top w:type="dxa" w:w="80"/>
              <w:left w:type="dxa" w:w="100"/>
              <w:bottom w:type="dxa" w:w="80"/>
              <w:right w:type="dxa" w:w="100"/>
            </w:tcMar>
            <w:vAlign w:val="center"/>
          </w:tcPr>
          <w:p>
            <w:r>
              <w:rPr>
                <w:i w:val="false"/>
                <w:iCs w:val="false"/>
                <w:sz w:val="19"/>
                <w:szCs w:val="19"/>
              </w:rPr>
              <w:t xml:space="preserve">1</w:t>
            </w:r>
          </w:p>
        </w:tc>
        <w:tc>
          <w:tcPr>
            <w:tcW w:type="dxa" w:w="3360"/>
            <w:tcMar>
              <w:top w:type="dxa" w:w="80"/>
              <w:left w:type="dxa" w:w="100"/>
              <w:bottom w:type="dxa" w:w="80"/>
              <w:right w:type="dxa" w:w="100"/>
            </w:tcMar>
            <w:vAlign w:val="center"/>
          </w:tcPr>
          <w:p>
            <w:r>
              <w:rPr>
                <w:i w:val="false"/>
                <w:iCs w:val="false"/>
                <w:sz w:val="19"/>
                <w:szCs w:val="19"/>
              </w:rPr>
              <w:t xml:space="preserve">Anchor triggers profile generation for one or more alumni ("Generate Profile Now / Later?")</w:t>
            </w:r>
          </w:p>
        </w:tc>
        <w:tc>
          <w:tcPr>
            <w:tcW w:type="dxa" w:w="3360"/>
            <w:tcMar>
              <w:top w:type="dxa" w:w="80"/>
              <w:left w:type="dxa" w:w="100"/>
              <w:bottom w:type="dxa" w:w="80"/>
              <w:right w:type="dxa" w:w="100"/>
            </w:tcMar>
            <w:vAlign w:val="center"/>
          </w:tcPr>
          <w:p>
            <w:r>
              <w:rPr>
                <w:i w:val="false"/>
                <w:iCs w:val="false"/>
                <w:sz w:val="19"/>
                <w:szCs w:val="19"/>
              </w:rPr>
              <w:t xml:space="preserve">Anchor</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2</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System searches public sources using Firecrawl and DuckDuckGo</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System / AI</w:t>
            </w:r>
          </w:p>
        </w:tc>
      </w:tr>
      <w:tr>
        <w:tc>
          <w:tcPr>
            <w:tcW w:type="dxa" w:w="3360"/>
            <w:tcMar>
              <w:top w:type="dxa" w:w="80"/>
              <w:left w:type="dxa" w:w="100"/>
              <w:bottom w:type="dxa" w:w="80"/>
              <w:right w:type="dxa" w:w="100"/>
            </w:tcMar>
            <w:vAlign w:val="center"/>
          </w:tcPr>
          <w:p>
            <w:r>
              <w:rPr>
                <w:i w:val="false"/>
                <w:iCs w:val="false"/>
                <w:sz w:val="19"/>
                <w:szCs w:val="19"/>
              </w:rPr>
              <w:t xml:space="preserve">3</w:t>
            </w:r>
          </w:p>
        </w:tc>
        <w:tc>
          <w:tcPr>
            <w:tcW w:type="dxa" w:w="3360"/>
            <w:tcMar>
              <w:top w:type="dxa" w:w="80"/>
              <w:left w:type="dxa" w:w="100"/>
              <w:bottom w:type="dxa" w:w="80"/>
              <w:right w:type="dxa" w:w="100"/>
            </w:tcMar>
            <w:vAlign w:val="center"/>
          </w:tcPr>
          <w:p>
            <w:r>
              <w:rPr>
                <w:i w:val="false"/>
                <w:iCs w:val="false"/>
                <w:sz w:val="19"/>
                <w:szCs w:val="19"/>
              </w:rPr>
              <w:t xml:space="preserve">AI generates structured profile summary (Claude Sonnet 4.6, capped at 3 attempts) with a 'Last Updated On' timestamp</w:t>
            </w:r>
          </w:p>
        </w:tc>
        <w:tc>
          <w:tcPr>
            <w:tcW w:type="dxa" w:w="3360"/>
            <w:tcMar>
              <w:top w:type="dxa" w:w="80"/>
              <w:left w:type="dxa" w:w="100"/>
              <w:bottom w:type="dxa" w:w="80"/>
              <w:right w:type="dxa" w:w="100"/>
            </w:tcMar>
            <w:vAlign w:val="center"/>
          </w:tcPr>
          <w:p>
            <w:r>
              <w:rPr>
                <w:i w:val="false"/>
                <w:iCs w:val="false"/>
                <w:sz w:val="19"/>
                <w:szCs w:val="19"/>
              </w:rPr>
              <w:t xml:space="preserve">AI Agent</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4</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 reviews generated content and edits as required, using the discoverable Edit/Review control (added v1.3, AI-2508-01)</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w:t>
            </w:r>
          </w:p>
        </w:tc>
      </w:tr>
      <w:tr>
        <w:tc>
          <w:tcPr>
            <w:tcW w:type="dxa" w:w="3360"/>
            <w:tcMar>
              <w:top w:type="dxa" w:w="80"/>
              <w:left w:type="dxa" w:w="100"/>
              <w:bottom w:type="dxa" w:w="80"/>
              <w:right w:type="dxa" w:w="100"/>
            </w:tcMar>
            <w:vAlign w:val="center"/>
          </w:tcPr>
          <w:p>
            <w:r>
              <w:rPr>
                <w:i w:val="false"/>
                <w:iCs w:val="false"/>
                <w:sz w:val="19"/>
                <w:szCs w:val="19"/>
              </w:rPr>
              <w:t xml:space="preserve">5</w:t>
            </w:r>
          </w:p>
        </w:tc>
        <w:tc>
          <w:tcPr>
            <w:tcW w:type="dxa" w:w="3360"/>
            <w:tcMar>
              <w:top w:type="dxa" w:w="80"/>
              <w:left w:type="dxa" w:w="100"/>
              <w:bottom w:type="dxa" w:w="80"/>
              <w:right w:type="dxa" w:w="100"/>
            </w:tcMar>
            <w:vAlign w:val="center"/>
          </w:tcPr>
          <w:p>
            <w:r>
              <w:rPr>
                <w:i w:val="false"/>
                <w:iCs w:val="false"/>
                <w:sz w:val="19"/>
                <w:szCs w:val="19"/>
              </w:rPr>
              <w:t xml:space="preserve">Member receives a PROFILE_REVIEW notification and can: Keep private / Edit / Publish full / Publish selected, approving or rejecting with remarks</w:t>
            </w:r>
          </w:p>
        </w:tc>
        <w:tc>
          <w:tcPr>
            <w:tcW w:type="dxa" w:w="3360"/>
            <w:tcMar>
              <w:top w:type="dxa" w:w="80"/>
              <w:left w:type="dxa" w:w="100"/>
              <w:bottom w:type="dxa" w:w="80"/>
              <w:right w:type="dxa" w:w="100"/>
            </w:tcMar>
            <w:vAlign w:val="center"/>
          </w:tcPr>
          <w:p>
            <w:r>
              <w:rPr>
                <w:i w:val="false"/>
                <w:iCs w:val="false"/>
                <w:sz w:val="19"/>
                <w:szCs w:val="19"/>
              </w:rPr>
              <w:t xml:space="preserve">Member</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6</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 provides final approval before profile is published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Anchor</w:t>
            </w:r>
          </w:p>
        </w:tc>
      </w:tr>
      <w:tr>
        <w:tc>
          <w:tcPr>
            <w:tcW w:type="dxa" w:w="3360"/>
            <w:tcMar>
              <w:top w:type="dxa" w:w="80"/>
              <w:left w:type="dxa" w:w="100"/>
              <w:bottom w:type="dxa" w:w="80"/>
              <w:right w:type="dxa" w:w="100"/>
            </w:tcMar>
            <w:vAlign w:val="center"/>
          </w:tcPr>
          <w:p>
            <w:r>
              <w:rPr>
                <w:i w:val="false"/>
                <w:iCs w:val="false"/>
                <w:sz w:val="19"/>
                <w:szCs w:val="19"/>
              </w:rPr>
              <w:t xml:space="preserve">7</w:t>
            </w:r>
          </w:p>
        </w:tc>
        <w:tc>
          <w:tcPr>
            <w:tcW w:type="dxa" w:w="3360"/>
            <w:tcMar>
              <w:top w:type="dxa" w:w="80"/>
              <w:left w:type="dxa" w:w="100"/>
              <w:bottom w:type="dxa" w:w="80"/>
              <w:right w:type="dxa" w:w="100"/>
            </w:tcMar>
            <w:vAlign w:val="center"/>
          </w:tcPr>
          <w:p>
            <w:r>
              <w:rPr>
                <w:i w:val="false"/>
                <w:iCs w:val="false"/>
                <w:sz w:val="19"/>
                <w:szCs w:val="19"/>
              </w:rPr>
              <w:t xml:space="preserve">Profile published on platform (public or cohort-visible)</w:t>
            </w:r>
          </w:p>
        </w:tc>
        <w:tc>
          <w:tcPr>
            <w:tcW w:type="dxa" w:w="3360"/>
            <w:tcMar>
              <w:top w:type="dxa" w:w="80"/>
              <w:left w:type="dxa" w:w="100"/>
              <w:bottom w:type="dxa" w:w="80"/>
              <w:right w:type="dxa" w:w="100"/>
            </w:tcMar>
            <w:vAlign w:val="center"/>
          </w:tcPr>
          <w:p>
            <w:r>
              <w:rPr>
                <w:i w:val="false"/>
                <w:iCs w:val="false"/>
                <w:sz w:val="19"/>
                <w:szCs w:val="19"/>
              </w:rPr>
              <w:t xml:space="preserve">System</w:t>
            </w:r>
          </w:p>
        </w:tc>
      </w:tr>
    </w:tbl>
    <w:p>
      <w:pPr>
        <w:pBdr>
          <w:left w:val="single" w:color="BF9000" w:sz="12"/>
        </w:pBdr>
        <w:shd w:fill="FFF2CC" w:val="clear"/>
        <w:spacing w:after="160" w:before="80"/>
        <w:ind w:left="120"/>
      </w:pPr>
      <w:r>
        <w:rPr>
          <w:b/>
          <w:bCs/>
          <w:i/>
          <w:iCs/>
        </w:rPr>
        <w:t xml:space="preserve">Note: </w:t>
      </w:r>
      <w:r>
        <w:rPr>
          <w:i/>
          <w:iCs/>
        </w:rPr>
        <w:t xml:space="preserve">AI profile generation is currently enabled for </w:t>
      </w:r>
      <w:r>
        <w:rPr>
          <w:b/>
          <w:bCs/>
          <w:i/>
          <w:iCs/>
        </w:rPr>
        <w:t xml:space="preserve">Anchor-initiated</w:t>
      </w:r>
      <w:r>
        <w:rPr>
          <w:i/>
          <w:iCs/>
        </w:rPr>
        <w:t xml:space="preserve"> flows by default. A member-self-service AI generation path (a Member generating their own profile) was enabled on 08-Jul-2026 based on the agreed pricing model, but full Indeevar confirmation of that pricing model was still pending as of the latest walkthrough documentation — treat member self-service generation as </w:t>
      </w:r>
      <w:r>
        <w:rPr>
          <w:b/>
          <w:bCs/>
          <w:i/>
          <w:iCs/>
        </w:rPr>
        <w:t xml:space="preserve">conditionally available, pending final client confirmation</w:t>
      </w:r>
      <w:r>
        <w:rPr>
          <w:i/>
          <w:iCs/>
        </w:rPr>
        <w:t xml:space="preserve">.</w:t>
      </w:r>
    </w:p>
    <w:p>
      <w:pPr>
        <w:pStyle w:val="Heading2"/>
        <w:spacing w:after="160" w:before="300"/>
      </w:pPr>
      <w:r>
        <w:t xml:space="preserve">12.3 Profile Card Fields (Cohort Booklet)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Field</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Configurable?</w:t>
            </w:r>
          </w:p>
        </w:tc>
      </w:tr>
      <w:tr>
        <w:tc>
          <w:tcPr>
            <w:tcW w:type="dxa" w:w="3360"/>
            <w:tcMar>
              <w:top w:type="dxa" w:w="80"/>
              <w:left w:type="dxa" w:w="100"/>
              <w:bottom w:type="dxa" w:w="80"/>
              <w:right w:type="dxa" w:w="100"/>
            </w:tcMar>
            <w:vAlign w:val="center"/>
          </w:tcPr>
          <w:p>
            <w:r>
              <w:rPr>
                <w:i w:val="false"/>
                <w:iCs w:val="false"/>
                <w:sz w:val="19"/>
                <w:szCs w:val="19"/>
              </w:rPr>
              <w:t xml:space="preserve">Photo / Avatar</w:t>
            </w:r>
          </w:p>
        </w:tc>
        <w:tc>
          <w:tcPr>
            <w:tcW w:type="dxa" w:w="3360"/>
            <w:tcMar>
              <w:top w:type="dxa" w:w="80"/>
              <w:left w:type="dxa" w:w="100"/>
              <w:bottom w:type="dxa" w:w="80"/>
              <w:right w:type="dxa" w:w="100"/>
            </w:tcMar>
            <w:vAlign w:val="center"/>
          </w:tcPr>
          <w:p>
            <w:r>
              <w:rPr>
                <w:i w:val="false"/>
                <w:iCs w:val="false"/>
                <w:sz w:val="19"/>
                <w:szCs w:val="19"/>
              </w:rPr>
              <w:t xml:space="preserve">Profile image uploaded by Anchor or Member</w:t>
            </w:r>
          </w:p>
        </w:tc>
        <w:tc>
          <w:tcPr>
            <w:tcW w:type="dxa" w:w="3360"/>
            <w:tcMar>
              <w:top w:type="dxa" w:w="80"/>
              <w:left w:type="dxa" w:w="100"/>
              <w:bottom w:type="dxa" w:w="80"/>
              <w:right w:type="dxa" w:w="100"/>
            </w:tcMar>
            <w:vAlign w:val="center"/>
          </w:tcPr>
          <w:p>
            <w:r>
              <w:rPr>
                <w:i w:val="false"/>
                <w:iCs w:val="false"/>
                <w:sz w:val="19"/>
                <w:szCs w:val="19"/>
              </w:rPr>
              <w:t xml:space="preserve">Yes</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Name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Alumni full name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No</w:t>
            </w:r>
          </w:p>
        </w:tc>
      </w:tr>
      <w:tr>
        <w:tc>
          <w:tcPr>
            <w:tcW w:type="dxa" w:w="3360"/>
            <w:tcMar>
              <w:top w:type="dxa" w:w="80"/>
              <w:left w:type="dxa" w:w="100"/>
              <w:bottom w:type="dxa" w:w="80"/>
              <w:right w:type="dxa" w:w="100"/>
            </w:tcMar>
            <w:vAlign w:val="center"/>
          </w:tcPr>
          <w:p>
            <w:r>
              <w:rPr>
                <w:i w:val="false"/>
                <w:iCs w:val="false"/>
                <w:sz w:val="19"/>
                <w:szCs w:val="19"/>
              </w:rPr>
              <w:t xml:space="preserve">Title</w:t>
            </w:r>
          </w:p>
        </w:tc>
        <w:tc>
          <w:tcPr>
            <w:tcW w:type="dxa" w:w="3360"/>
            <w:tcMar>
              <w:top w:type="dxa" w:w="80"/>
              <w:left w:type="dxa" w:w="100"/>
              <w:bottom w:type="dxa" w:w="80"/>
              <w:right w:type="dxa" w:w="100"/>
            </w:tcMar>
            <w:vAlign w:val="center"/>
          </w:tcPr>
          <w:p>
            <w:r>
              <w:rPr>
                <w:i w:val="false"/>
                <w:iCs w:val="false"/>
                <w:sz w:val="19"/>
                <w:szCs w:val="19"/>
              </w:rPr>
              <w:t xml:space="preserve">Professional designation/role</w:t>
            </w:r>
          </w:p>
        </w:tc>
        <w:tc>
          <w:tcPr>
            <w:tcW w:type="dxa" w:w="3360"/>
            <w:tcMar>
              <w:top w:type="dxa" w:w="80"/>
              <w:left w:type="dxa" w:w="100"/>
              <w:bottom w:type="dxa" w:w="80"/>
              <w:right w:type="dxa" w:w="100"/>
            </w:tcMar>
            <w:vAlign w:val="center"/>
          </w:tcPr>
          <w:p>
            <w:r>
              <w:rPr>
                <w:i w:val="false"/>
                <w:iCs w:val="false"/>
                <w:sz w:val="19"/>
                <w:szCs w:val="19"/>
              </w:rPr>
              <w:t xml:space="preserve">Yes</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City / Contact</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Current city and contact location details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Yes</w:t>
            </w:r>
          </w:p>
        </w:tc>
      </w:tr>
      <w:tr>
        <w:tc>
          <w:tcPr>
            <w:tcW w:type="dxa" w:w="3360"/>
            <w:tcMar>
              <w:top w:type="dxa" w:w="80"/>
              <w:left w:type="dxa" w:w="100"/>
              <w:bottom w:type="dxa" w:w="80"/>
              <w:right w:type="dxa" w:w="100"/>
            </w:tcMar>
            <w:vAlign w:val="center"/>
          </w:tcPr>
          <w:p>
            <w:r>
              <w:rPr>
                <w:i w:val="false"/>
                <w:iCs w:val="false"/>
                <w:sz w:val="19"/>
                <w:szCs w:val="19"/>
              </w:rPr>
              <w:t xml:space="preserve">Configurable Fields</w:t>
            </w:r>
          </w:p>
        </w:tc>
        <w:tc>
          <w:tcPr>
            <w:tcW w:type="dxa" w:w="3360"/>
            <w:tcMar>
              <w:top w:type="dxa" w:w="80"/>
              <w:left w:type="dxa" w:w="100"/>
              <w:bottom w:type="dxa" w:w="80"/>
              <w:right w:type="dxa" w:w="100"/>
            </w:tcMar>
            <w:vAlign w:val="center"/>
          </w:tcPr>
          <w:p>
            <w:r>
              <w:rPr>
                <w:i w:val="false"/>
                <w:iCs w:val="false"/>
                <w:sz w:val="19"/>
                <w:szCs w:val="19"/>
              </w:rPr>
              <w:t xml:space="preserve">Custom attributes defined by Anchor</w:t>
            </w:r>
          </w:p>
        </w:tc>
        <w:tc>
          <w:tcPr>
            <w:tcW w:type="dxa" w:w="3360"/>
            <w:tcMar>
              <w:top w:type="dxa" w:w="80"/>
              <w:left w:type="dxa" w:w="100"/>
              <w:bottom w:type="dxa" w:w="80"/>
              <w:right w:type="dxa" w:w="100"/>
            </w:tcMar>
            <w:vAlign w:val="center"/>
          </w:tcPr>
          <w:p>
            <w:r>
              <w:rPr>
                <w:i w:val="false"/>
                <w:iCs w:val="false"/>
                <w:sz w:val="19"/>
                <w:szCs w:val="19"/>
              </w:rPr>
              <w:t xml:space="preserve">Yes</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AI Disclosure Note</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AI-generated content notification clearly displayed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No — Mandatory</w:t>
            </w:r>
          </w:p>
        </w:tc>
      </w:tr>
      <w:tr>
        <w:tc>
          <w:tcPr>
            <w:tcW w:type="dxa" w:w="3360"/>
            <w:tcMar>
              <w:top w:type="dxa" w:w="80"/>
              <w:left w:type="dxa" w:w="100"/>
              <w:bottom w:type="dxa" w:w="80"/>
              <w:right w:type="dxa" w:w="100"/>
            </w:tcMar>
            <w:vAlign w:val="center"/>
          </w:tcPr>
          <w:p>
            <w:r>
              <w:rPr>
                <w:i w:val="false"/>
                <w:iCs w:val="false"/>
                <w:sz w:val="19"/>
                <w:szCs w:val="19"/>
              </w:rPr>
              <w:t xml:space="preserve">Last Updated On</w:t>
            </w:r>
          </w:p>
        </w:tc>
        <w:tc>
          <w:tcPr>
            <w:tcW w:type="dxa" w:w="3360"/>
            <w:tcMar>
              <w:top w:type="dxa" w:w="80"/>
              <w:left w:type="dxa" w:w="100"/>
              <w:bottom w:type="dxa" w:w="80"/>
              <w:right w:type="dxa" w:w="100"/>
            </w:tcMar>
            <w:vAlign w:val="center"/>
          </w:tcPr>
          <w:p>
            <w:r>
              <w:rPr>
                <w:i w:val="false"/>
                <w:iCs w:val="false"/>
                <w:sz w:val="19"/>
                <w:szCs w:val="19"/>
              </w:rPr>
              <w:t xml:space="preserve">Timestamp of last profile update displayed below summary</w:t>
            </w:r>
          </w:p>
        </w:tc>
        <w:tc>
          <w:tcPr>
            <w:tcW w:type="dxa" w:w="3360"/>
            <w:tcMar>
              <w:top w:type="dxa" w:w="80"/>
              <w:left w:type="dxa" w:w="100"/>
              <w:bottom w:type="dxa" w:w="80"/>
              <w:right w:type="dxa" w:w="100"/>
            </w:tcMar>
            <w:vAlign w:val="center"/>
          </w:tcPr>
          <w:p>
            <w:r>
              <w:rPr>
                <w:i w:val="false"/>
                <w:iCs w:val="false"/>
                <w:sz w:val="19"/>
                <w:szCs w:val="19"/>
              </w:rPr>
              <w:t xml:space="preserve">No — Auto</w:t>
            </w:r>
          </w:p>
        </w:tc>
      </w:tr>
    </w:tbl>
    <w:p>
      <w:pPr>
        <w:pBdr>
          <w:left w:val="single" w:color="BF9000" w:sz="12"/>
        </w:pBdr>
        <w:shd w:fill="FFF2CC" w:val="clear"/>
        <w:spacing w:after="160" w:before="80"/>
        <w:ind w:left="120"/>
      </w:pPr>
      <w:r>
        <w:rPr>
          <w:b/>
          <w:bCs/>
          <w:i/>
          <w:iCs/>
        </w:rPr>
        <w:t xml:space="preserve">Note: </w:t>
      </w:r>
      <w:r>
        <w:rPr>
          <w:i/>
          <w:iCs/>
        </w:rPr>
        <w:t xml:space="preserve">A proposal to replace the "Experience"/"Education" fields with a "Preferences" field mix was raised on 18-Aug-2026 but is </w:t>
      </w:r>
      <w:r>
        <w:rPr>
          <w:b/>
          <w:bCs/>
          <w:i/>
          <w:iCs/>
        </w:rPr>
        <w:t xml:space="preserve">not yet a finalized decision</w:t>
      </w:r>
      <w:r>
        <w:rPr>
          <w:i/>
          <w:iCs/>
        </w:rPr>
        <w:t xml:space="preserve"> (OI-12) — do not treat this field set as final without reconfirmation.</w:t>
      </w:r>
    </w:p>
    <w:p>
      <w:pPr>
        <w:pStyle w:val="Heading2"/>
        <w:spacing w:after="160" w:before="300"/>
      </w:pPr>
      <w:r>
        <w:t xml:space="preserve">12.4 Cohort Booklet / Profile Aggregation</w:t>
      </w:r>
    </w:p>
    <w:p>
      <w:pPr>
        <w:spacing w:after="160"/>
      </w:pPr>
      <w:r>
        <w:rPr>
          <w:i w:val="false"/>
          <w:iCs w:val="false"/>
        </w:rPr>
        <w:t xml:space="preserve">This capability is </w:t>
      </w:r>
      <w:r>
        <w:rPr>
          <w:b/>
          <w:bCs/>
          <w:i w:val="false"/>
          <w:iCs w:val="false"/>
        </w:rPr>
        <w:t xml:space="preserve">deferred to Alpha and is not part of the mobile Delta build</w:t>
      </w:r>
      <w:r>
        <w:rPr>
          <w:i w:val="false"/>
          <w:iCs w:val="false"/>
        </w:rPr>
        <w:t xml:space="preserve"> (Mobile Product Walkthrough §18.3), consistent with this FSD's own §16 phasing table. When available:</w:t>
      </w:r>
    </w:p>
    <w:p>
      <w:pPr>
        <w:pStyle w:val="ListParagraph"/>
        <w:numPr>
          <w:ilvl w:val="0"/>
          <w:numId w:val="2"/>
        </w:numPr>
        <w:spacing w:after="100"/>
      </w:pPr>
      <w:r>
        <w:rPr>
          <w:i w:val="false"/>
          <w:iCs w:val="false"/>
        </w:rPr>
        <w:t xml:space="preserve">Anchor can aggregate all cohort profiles into a group-based PDF booklet format</w:t>
      </w:r>
    </w:p>
    <w:p>
      <w:pPr>
        <w:pStyle w:val="ListParagraph"/>
        <w:numPr>
          <w:ilvl w:val="0"/>
          <w:numId w:val="2"/>
        </w:numPr>
        <w:spacing w:after="100"/>
      </w:pPr>
      <w:r>
        <w:rPr>
          <w:i w:val="false"/>
          <w:iCs w:val="false"/>
        </w:rPr>
        <w:t xml:space="preserve">Increased profile image height and more space allocated for static content</w:t>
      </w:r>
    </w:p>
    <w:p>
      <w:pPr>
        <w:pStyle w:val="ListParagraph"/>
        <w:numPr>
          <w:ilvl w:val="0"/>
          <w:numId w:val="2"/>
        </w:numPr>
        <w:spacing w:after="100"/>
      </w:pPr>
      <w:r>
        <w:rPr>
          <w:i w:val="false"/>
          <w:iCs w:val="false"/>
        </w:rPr>
        <w:t xml:space="preserve">Real data to be used instead of sample placeholders in production</w:t>
      </w:r>
    </w:p>
    <w:p>
      <w:pPr>
        <w:pStyle w:val="ListParagraph"/>
        <w:numPr>
          <w:ilvl w:val="0"/>
          <w:numId w:val="2"/>
        </w:numPr>
        <w:spacing w:after="100"/>
      </w:pPr>
      <w:r>
        <w:rPr>
          <w:i w:val="false"/>
          <w:iCs w:val="false"/>
        </w:rPr>
        <w:t xml:space="preserve">Export options: PDF booklet / Digital coffee table book / Physical print version (premium)</w:t>
      </w:r>
    </w:p>
    <w:p>
      <w:pPr>
        <w:pStyle w:val="Heading2"/>
        <w:spacing w:after="160" w:before="300"/>
      </w:pPr>
      <w:r>
        <w:t xml:space="preserve">12.5 Profile Privacy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Privacy Option</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Description</w:t>
            </w:r>
          </w:p>
        </w:tc>
      </w:tr>
      <w:tr>
        <w:tc>
          <w:tcPr>
            <w:tcW w:type="dxa" w:w="5040"/>
            <w:tcMar>
              <w:top w:type="dxa" w:w="80"/>
              <w:left w:type="dxa" w:w="100"/>
              <w:bottom w:type="dxa" w:w="80"/>
              <w:right w:type="dxa" w:w="100"/>
            </w:tcMar>
            <w:vAlign w:val="center"/>
          </w:tcPr>
          <w:p>
            <w:r>
              <w:rPr>
                <w:i w:val="false"/>
                <w:iCs w:val="false"/>
                <w:sz w:val="19"/>
                <w:szCs w:val="19"/>
              </w:rPr>
              <w:t xml:space="preserve">Keep Private</w:t>
            </w:r>
          </w:p>
        </w:tc>
        <w:tc>
          <w:tcPr>
            <w:tcW w:type="dxa" w:w="5040"/>
            <w:tcMar>
              <w:top w:type="dxa" w:w="80"/>
              <w:left w:type="dxa" w:w="100"/>
              <w:bottom w:type="dxa" w:w="80"/>
              <w:right w:type="dxa" w:w="100"/>
            </w:tcMar>
            <w:vAlign w:val="center"/>
          </w:tcPr>
          <w:p>
            <w:r>
              <w:rPr>
                <w:i w:val="false"/>
                <w:iCs w:val="false"/>
                <w:sz w:val="19"/>
                <w:szCs w:val="19"/>
              </w:rPr>
              <w:t xml:space="preserve">Profile visible only to the member; not visible to group</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Edit / Update</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Member edits AI-generated data before publishing</w:t>
            </w:r>
          </w:p>
        </w:tc>
      </w:tr>
      <w:tr>
        <w:tc>
          <w:tcPr>
            <w:tcW w:type="dxa" w:w="5040"/>
            <w:tcMar>
              <w:top w:type="dxa" w:w="80"/>
              <w:left w:type="dxa" w:w="100"/>
              <w:bottom w:type="dxa" w:w="80"/>
              <w:right w:type="dxa" w:w="100"/>
            </w:tcMar>
            <w:vAlign w:val="center"/>
          </w:tcPr>
          <w:p>
            <w:r>
              <w:rPr>
                <w:i w:val="false"/>
                <w:iCs w:val="false"/>
                <w:sz w:val="19"/>
                <w:szCs w:val="19"/>
              </w:rPr>
              <w:t xml:space="preserve">Publish Full Profile</w:t>
            </w:r>
          </w:p>
        </w:tc>
        <w:tc>
          <w:tcPr>
            <w:tcW w:type="dxa" w:w="5040"/>
            <w:tcMar>
              <w:top w:type="dxa" w:w="80"/>
              <w:left w:type="dxa" w:w="100"/>
              <w:bottom w:type="dxa" w:w="80"/>
              <w:right w:type="dxa" w:w="100"/>
            </w:tcMar>
            <w:vAlign w:val="center"/>
          </w:tcPr>
          <w:p>
            <w:r>
              <w:rPr>
                <w:i w:val="false"/>
                <w:iCs w:val="false"/>
                <w:sz w:val="19"/>
                <w:szCs w:val="19"/>
              </w:rPr>
              <w:t xml:space="preserve">Full profile visible to the cohort/group</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Publish Selected Information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Member can hide certain details while publishing selected fields</w:t>
            </w:r>
          </w:p>
        </w:tc>
      </w:tr>
    </w:tbl>
    <w:p>
      <w:pPr>
        <w:pStyle w:val="Heading2"/>
        <w:spacing w:after="160" w:before="300"/>
      </w:pPr>
      <w:r>
        <w:t xml:space="preserve">12.6 Large Institutional Client Workflow</w:t>
      </w:r>
    </w:p>
    <w:p>
      <w:pPr>
        <w:pStyle w:val="ListParagraph"/>
        <w:numPr>
          <w:ilvl w:val="0"/>
          <w:numId w:val="2"/>
        </w:numPr>
        <w:spacing w:after="100"/>
      </w:pPr>
      <w:r>
        <w:rPr>
          <w:i w:val="false"/>
          <w:iCs w:val="false"/>
        </w:rPr>
        <w:t xml:space="preserve">Anchors managing 5,000+ alumni must use laptop/web interface</w:t>
      </w:r>
    </w:p>
    <w:p>
      <w:pPr>
        <w:pStyle w:val="ListParagraph"/>
        <w:numPr>
          <w:ilvl w:val="0"/>
          <w:numId w:val="2"/>
        </w:numPr>
        <w:spacing w:after="100"/>
      </w:pPr>
      <w:r>
        <w:rPr>
          <w:i w:val="false"/>
          <w:iCs w:val="false"/>
        </w:rPr>
        <w:t xml:space="preserve">Mobile app is not suitable for large-scale profile generation</w:t>
      </w:r>
    </w:p>
    <w:p>
      <w:pPr>
        <w:pStyle w:val="ListParagraph"/>
        <w:numPr>
          <w:ilvl w:val="0"/>
          <w:numId w:val="2"/>
        </w:numPr>
        <w:spacing w:after="100"/>
      </w:pPr>
      <w:r>
        <w:rPr>
          <w:i w:val="false"/>
          <w:iCs w:val="false"/>
        </w:rPr>
        <w:t xml:space="preserve">A website plugin will be developed to manufacture and display profiles at scale</w:t>
      </w:r>
    </w:p>
    <w:p>
      <w:pPr>
        <w:pStyle w:val="ListParagraph"/>
        <w:numPr>
          <w:ilvl w:val="0"/>
          <w:numId w:val="2"/>
        </w:numPr>
        <w:spacing w:after="100"/>
      </w:pPr>
      <w:r>
        <w:rPr>
          <w:i w:val="false"/>
          <w:iCs w:val="false"/>
        </w:rPr>
        <w:t xml:space="preserve">Profile display workflow: Generate → Member Review → Anchor Approval → Publish</w:t>
      </w:r>
    </w:p>
    <w:p>
      <w:pPr>
        <w:pStyle w:val="Heading2"/>
        <w:spacing w:after="160" w:before="300"/>
      </w:pPr>
      <w:r>
        <w:t xml:space="preserve">12.7 Preferences (New)</w:t>
      </w:r>
    </w:p>
    <w:p>
      <w:pPr>
        <w:spacing w:after="160"/>
      </w:pPr>
      <w:r>
        <w:rPr>
          <w:i w:val="false"/>
          <w:iCs w:val="false"/>
        </w:rPr>
        <w:t xml:space="preserve">A new profile data category, not present in the original April-2026 draft. Preferences captures dietary/event preferences plus free-text health and assistance fields — allergies, medical condition, disability, senior-citizen status, wheelchair assistance — used both in event planning (e.g. CostGPT food estimation) and for duty-of-care purposes (Mobile Product Walkthrough §7.5). Preferences data is strictly collection-based, sourced from profile updates or polls only.</w:t>
      </w:r>
    </w:p>
    <w:p>
      <w:pPr>
        <w:pStyle w:val="Heading2"/>
        <w:spacing w:after="160" w:before="300"/>
      </w:pPr>
      <w:r>
        <w:t xml:space="preserve">12.8 Nominee Management (New)</w:t>
      </w:r>
    </w:p>
    <w:p>
      <w:pPr>
        <w:spacing w:after="160"/>
      </w:pPr>
      <w:r>
        <w:rPr>
          <w:i w:val="false"/>
          <w:iCs w:val="false"/>
        </w:rPr>
        <w:t xml:space="preserve">A new onboarding-adjacent feature, not present in the original April-2026 draft. Members may optionally record nominee details as part of their profile, gated by its own explicit consent capture separate from the general profile-publishing consent (Mobile Product Walkthrough §6.4/§15.6).</w:t>
      </w:r>
    </w:p>
    <w:p>
      <w:pPr>
        <w:pStyle w:val="Heading1"/>
        <w:spacing w:after="200" w:before="400"/>
      </w:pPr>
      <w:r>
        <w:t xml:space="preserve">13. Analytics &amp; Reporting</w:t>
      </w:r>
    </w:p>
    <w:p>
      <w:pPr>
        <w:pStyle w:val="Heading2"/>
        <w:spacing w:after="160" w:before="300"/>
      </w:pPr>
      <w:r>
        <w:t xml:space="preserve">13.1 Anchor Analytics Dashboards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Dashboard</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Metrics</w:t>
            </w:r>
          </w:p>
        </w:tc>
        <w:tc>
          <w:tcPr>
            <w:tcW w:type="dxa" w:w="3360"/>
            <w:shd w:fill="1F3864" w:val="clear"/>
            <w:tcMar>
              <w:top w:type="dxa" w:w="80"/>
              <w:left w:type="dxa" w:w="100"/>
              <w:bottom w:type="dxa" w:w="80"/>
              <w:right w:type="dxa" w:w="100"/>
            </w:tcMar>
            <w:vAlign w:val="center"/>
          </w:tcPr>
          <w:p>
            <w:r>
              <w:rPr>
                <w:i w:val="false"/>
                <w:iCs w:val="false"/>
                <w:color w:val="FFFFFF"/>
                <w:sz w:val="19"/>
                <w:szCs w:val="19"/>
              </w:rPr>
              <w:t xml:space="preserve">Phase</w:t>
            </w:r>
          </w:p>
        </w:tc>
      </w:tr>
      <w:tr>
        <w:tc>
          <w:tcPr>
            <w:tcW w:type="dxa" w:w="3360"/>
            <w:tcMar>
              <w:top w:type="dxa" w:w="80"/>
              <w:left w:type="dxa" w:w="100"/>
              <w:bottom w:type="dxa" w:w="80"/>
              <w:right w:type="dxa" w:w="100"/>
            </w:tcMar>
            <w:vAlign w:val="center"/>
          </w:tcPr>
          <w:p>
            <w:r>
              <w:rPr>
                <w:i w:val="false"/>
                <w:iCs w:val="false"/>
                <w:sz w:val="19"/>
                <w:szCs w:val="19"/>
              </w:rPr>
              <w:t xml:space="preserve">RSVP Funnel Dashboard</w:t>
            </w:r>
          </w:p>
        </w:tc>
        <w:tc>
          <w:tcPr>
            <w:tcW w:type="dxa" w:w="3360"/>
            <w:tcMar>
              <w:top w:type="dxa" w:w="80"/>
              <w:left w:type="dxa" w:w="100"/>
              <w:bottom w:type="dxa" w:w="80"/>
              <w:right w:type="dxa" w:w="100"/>
            </w:tcMar>
            <w:vAlign w:val="center"/>
          </w:tcPr>
          <w:p>
            <w:r>
              <w:rPr>
                <w:i w:val="false"/>
                <w:iCs w:val="false"/>
                <w:sz w:val="19"/>
                <w:szCs w:val="19"/>
              </w:rPr>
              <w:t xml:space="preserve">Invited / Responded / Accepted / Thinking / Declined / Paid</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Payment Dashboard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Paid count, Unpaid count, Outstanding amount, Due dates, Paid On dates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Poll Analytics</w:t>
            </w:r>
          </w:p>
        </w:tc>
        <w:tc>
          <w:tcPr>
            <w:tcW w:type="dxa" w:w="3360"/>
            <w:tcMar>
              <w:top w:type="dxa" w:w="80"/>
              <w:left w:type="dxa" w:w="100"/>
              <w:bottom w:type="dxa" w:w="80"/>
              <w:right w:type="dxa" w:w="100"/>
            </w:tcMar>
            <w:vAlign w:val="center"/>
          </w:tcPr>
          <w:p>
            <w:r>
              <w:rPr>
                <w:i w:val="false"/>
                <w:iCs w:val="false"/>
                <w:sz w:val="19"/>
                <w:szCs w:val="19"/>
              </w:rPr>
              <w:t xml:space="preserve">Decision analytics, cost feasibility, participation readiness, aggregate vote counts (individual responses anonymized — §6.2)</w:t>
            </w:r>
          </w:p>
        </w:tc>
        <w:tc>
          <w:tcPr>
            <w:tcW w:type="dxa" w:w="3360"/>
            <w:tcMar>
              <w:top w:type="dxa" w:w="80"/>
              <w:left w:type="dxa" w:w="100"/>
              <w:bottom w:type="dxa" w:w="80"/>
              <w:right w:type="dxa" w:w="100"/>
            </w:tcMar>
            <w:vAlign w:val="center"/>
          </w:tcPr>
          <w:p>
            <w:r>
              <w:rPr>
                <w:i w:val="false"/>
                <w:iCs w:val="false"/>
                <w:sz w:val="19"/>
                <w:szCs w:val="19"/>
              </w:rPr>
              <w:t xml:space="preserve">Delta</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Event Planning Progress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Visual event state machine progress (Draft to Executed)</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Delta</w:t>
            </w:r>
          </w:p>
        </w:tc>
      </w:tr>
      <w:tr>
        <w:tc>
          <w:tcPr>
            <w:tcW w:type="dxa" w:w="3360"/>
            <w:tcMar>
              <w:top w:type="dxa" w:w="80"/>
              <w:left w:type="dxa" w:w="100"/>
              <w:bottom w:type="dxa" w:w="80"/>
              <w:right w:type="dxa" w:w="100"/>
            </w:tcMar>
            <w:vAlign w:val="center"/>
          </w:tcPr>
          <w:p>
            <w:r>
              <w:rPr>
                <w:i w:val="false"/>
                <w:iCs w:val="false"/>
                <w:sz w:val="19"/>
                <w:szCs w:val="19"/>
              </w:rPr>
              <w:t xml:space="preserve">Web KPI Dashboard</w:t>
            </w:r>
          </w:p>
        </w:tc>
        <w:tc>
          <w:tcPr>
            <w:tcW w:type="dxa" w:w="3360"/>
            <w:tcMar>
              <w:top w:type="dxa" w:w="80"/>
              <w:left w:type="dxa" w:w="100"/>
              <w:bottom w:type="dxa" w:w="80"/>
              <w:right w:type="dxa" w:w="100"/>
            </w:tcMar>
            <w:vAlign w:val="center"/>
          </w:tcPr>
          <w:p>
            <w:r>
              <w:rPr>
                <w:i w:val="false"/>
                <w:iCs w:val="false"/>
                <w:sz w:val="19"/>
                <w:szCs w:val="19"/>
              </w:rPr>
              <w:t xml:space="preserve">Dedicated web-only Anchor KPI dashboard covering dashboard &amp; navigation summary metrics across groups/events (per Web Product Walkthrough)</w:t>
            </w:r>
          </w:p>
        </w:tc>
        <w:tc>
          <w:tcPr>
            <w:tcW w:type="dxa" w:w="3360"/>
            <w:tcMar>
              <w:top w:type="dxa" w:w="80"/>
              <w:left w:type="dxa" w:w="100"/>
              <w:bottom w:type="dxa" w:w="80"/>
              <w:right w:type="dxa" w:w="100"/>
            </w:tcMar>
            <w:vAlign w:val="center"/>
          </w:tcPr>
          <w:p>
            <w:r>
              <w:rPr>
                <w:i w:val="false"/>
                <w:iCs w:val="false"/>
                <w:sz w:val="19"/>
                <w:szCs w:val="19"/>
              </w:rPr>
              <w:t xml:space="preserve">Delta (web)</w:t>
            </w:r>
          </w:p>
        </w:tc>
      </w:tr>
      <w:tr>
        <w:tc>
          <w:tcPr>
            <w:tcW w:type="dxa" w:w="3360"/>
            <w:shd w:fill="F2F2F2" w:val="clear"/>
            <w:tcMar>
              <w:top w:type="dxa" w:w="80"/>
              <w:left w:type="dxa" w:w="100"/>
              <w:bottom w:type="dxa" w:w="80"/>
              <w:right w:type="dxa" w:w="100"/>
            </w:tcMar>
            <w:vAlign w:val="center"/>
          </w:tcPr>
          <w:p>
            <w:r>
              <w:rPr>
                <w:i w:val="false"/>
                <w:iCs w:val="false"/>
                <w:sz w:val="19"/>
                <w:szCs w:val="19"/>
              </w:rPr>
              <w:t xml:space="preserve">Click Analytics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Track link clicks, identify high engagement areas, identify drop-offs</w:t>
            </w:r>
          </w:p>
        </w:tc>
        <w:tc>
          <w:tcPr>
            <w:tcW w:type="dxa" w:w="336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360"/>
            <w:tcMar>
              <w:top w:type="dxa" w:w="80"/>
              <w:left w:type="dxa" w:w="100"/>
              <w:bottom w:type="dxa" w:w="80"/>
              <w:right w:type="dxa" w:w="100"/>
            </w:tcMar>
            <w:vAlign w:val="center"/>
          </w:tcPr>
          <w:p>
            <w:r>
              <w:rPr>
                <w:i w:val="false"/>
                <w:iCs w:val="false"/>
                <w:sz w:val="19"/>
                <w:szCs w:val="19"/>
              </w:rPr>
              <w:t xml:space="preserve">Profile Enrichment Status</w:t>
            </w:r>
          </w:p>
        </w:tc>
        <w:tc>
          <w:tcPr>
            <w:tcW w:type="dxa" w:w="3360"/>
            <w:tcMar>
              <w:top w:type="dxa" w:w="80"/>
              <w:left w:type="dxa" w:w="100"/>
              <w:bottom w:type="dxa" w:w="80"/>
              <w:right w:type="dxa" w:w="100"/>
            </w:tcMar>
            <w:vAlign w:val="center"/>
          </w:tcPr>
          <w:p>
            <w:r>
              <w:rPr>
                <w:i w:val="false"/>
                <w:iCs w:val="false"/>
                <w:sz w:val="19"/>
                <w:szCs w:val="19"/>
              </w:rPr>
              <w:t xml:space="preserve">Count of generated / reviewed / published / pending profiles</w:t>
            </w:r>
          </w:p>
        </w:tc>
        <w:tc>
          <w:tcPr>
            <w:tcW w:type="dxa" w:w="3360"/>
            <w:tcMar>
              <w:top w:type="dxa" w:w="80"/>
              <w:left w:type="dxa" w:w="100"/>
              <w:bottom w:type="dxa" w:w="80"/>
              <w:right w:type="dxa" w:w="100"/>
            </w:tcMar>
            <w:vAlign w:val="center"/>
          </w:tcPr>
          <w:p>
            <w:r>
              <w:rPr>
                <w:i w:val="false"/>
                <w:iCs w:val="false"/>
                <w:sz w:val="19"/>
                <w:szCs w:val="19"/>
              </w:rPr>
              <w:t xml:space="preserve">Alpha</w:t>
            </w:r>
          </w:p>
        </w:tc>
      </w:tr>
    </w:tbl>
    <w:p>
      <w:pPr>
        <w:pStyle w:val="Heading2"/>
        <w:spacing w:after="160" w:before="300"/>
      </w:pPr>
      <w:r>
        <w:t xml:space="preserve">13.2 Experimentation Capabilities (Alpha)</w:t>
      </w:r>
    </w:p>
    <w:p>
      <w:pPr>
        <w:pStyle w:val="ListParagraph"/>
        <w:numPr>
          <w:ilvl w:val="0"/>
          <w:numId w:val="2"/>
        </w:numPr>
        <w:spacing w:after="100"/>
      </w:pPr>
      <w:r>
        <w:rPr>
          <w:i w:val="false"/>
          <w:iCs w:val="false"/>
        </w:rPr>
        <w:t xml:space="preserve">Ability to add or remove links dynamically</w:t>
      </w:r>
    </w:p>
    <w:p>
      <w:pPr>
        <w:pStyle w:val="ListParagraph"/>
        <w:numPr>
          <w:ilvl w:val="0"/>
          <w:numId w:val="2"/>
        </w:numPr>
        <w:spacing w:after="100"/>
      </w:pPr>
      <w:r>
        <w:rPr>
          <w:i w:val="false"/>
          <w:iCs w:val="false"/>
        </w:rPr>
        <w:t xml:space="preserve">Run A/B experiments on communication templates</w:t>
      </w:r>
    </w:p>
    <w:p>
      <w:pPr>
        <w:pStyle w:val="ListParagraph"/>
        <w:numPr>
          <w:ilvl w:val="0"/>
          <w:numId w:val="2"/>
        </w:numPr>
        <w:spacing w:after="100"/>
      </w:pPr>
      <w:r>
        <w:rPr>
          <w:i w:val="false"/>
          <w:iCs w:val="false"/>
        </w:rPr>
        <w:t xml:space="preserve">Track click analytics to identify high engagement areas</w:t>
      </w:r>
    </w:p>
    <w:p>
      <w:pPr>
        <w:pStyle w:val="ListParagraph"/>
        <w:numPr>
          <w:ilvl w:val="0"/>
          <w:numId w:val="2"/>
        </w:numPr>
        <w:spacing w:after="100"/>
      </w:pPr>
      <w:r>
        <w:rPr>
          <w:i w:val="false"/>
          <w:iCs w:val="false"/>
        </w:rPr>
        <w:t xml:space="preserve">Identify drop-offs and failures in user journeys</w:t>
      </w:r>
    </w:p>
    <w:p>
      <w:pPr>
        <w:pBdr>
          <w:left w:val="single" w:color="BF9000" w:sz="12"/>
        </w:pBdr>
        <w:shd w:fill="FFF2CC" w:val="clear"/>
        <w:spacing w:after="160" w:before="80"/>
        <w:ind w:left="120"/>
      </w:pPr>
      <w:r>
        <w:rPr>
          <w:b/>
          <w:bCs/>
          <w:i/>
          <w:iCs/>
        </w:rPr>
        <w:t xml:space="preserve">Note: </w:t>
      </w:r>
      <w:r>
        <w:rPr>
          <w:i/>
          <w:iCs/>
        </w:rPr>
        <w:t xml:space="preserve">Adjacent to analytics/reporting: a feature-flag and kill-switch strategy (including OTA flags for mobile) is being explored so that a single failing feature or partner integration can be disabled without a full application rollback — full-version rollback remains today's safety net (DR-095).</w:t>
      </w:r>
    </w:p>
    <w:p>
      <w:pPr>
        <w:pStyle w:val="Heading1"/>
        <w:spacing w:after="200" w:before="400"/>
      </w:pPr>
      <w:r>
        <w:t xml:space="preserve">14. UI / UX &amp; Branding</w:t>
      </w:r>
    </w:p>
    <w:p>
      <w:pPr>
        <w:pStyle w:val="Heading2"/>
        <w:spacing w:after="160" w:before="300"/>
      </w:pPr>
      <w:r>
        <w:t xml:space="preserve">14.1 Anchor-Specific UI</w:t>
      </w:r>
    </w:p>
    <w:p>
      <w:pPr>
        <w:pStyle w:val="ListParagraph"/>
        <w:numPr>
          <w:ilvl w:val="0"/>
          <w:numId w:val="2"/>
        </w:numPr>
        <w:spacing w:after="100"/>
      </w:pPr>
      <w:r>
        <w:rPr>
          <w:i w:val="false"/>
          <w:iCs w:val="false"/>
        </w:rPr>
        <w:t xml:space="preserve">Anchors have a separate and distinct UI/branding compared to regular Members</w:t>
      </w:r>
    </w:p>
    <w:p>
      <w:pPr>
        <w:pStyle w:val="ListParagraph"/>
        <w:numPr>
          <w:ilvl w:val="0"/>
          <w:numId w:val="2"/>
        </w:numPr>
        <w:spacing w:after="100"/>
      </w:pPr>
      <w:r>
        <w:rPr>
          <w:i w:val="false"/>
          <w:iCs w:val="false"/>
        </w:rPr>
        <w:t xml:space="preserve">Anchor Home updated to a consistent blue Anchor branding treatment, replacing previously inconsistent Alum colours; a first-time-Anchor welcome message was added (08-Jul-2026)</w:t>
      </w:r>
    </w:p>
    <w:p>
      <w:pPr>
        <w:pStyle w:val="ListParagraph"/>
        <w:numPr>
          <w:ilvl w:val="0"/>
          <w:numId w:val="2"/>
        </w:numPr>
        <w:spacing w:after="100"/>
      </w:pPr>
      <w:r>
        <w:rPr>
          <w:i w:val="false"/>
          <w:iCs w:val="false"/>
        </w:rPr>
        <w:t xml:space="preserve">Bottom navigation relabelled: </w:t>
      </w:r>
      <w:r>
        <w:rPr>
          <w:b/>
          <w:bCs/>
          <w:i w:val="false"/>
          <w:iCs w:val="false"/>
        </w:rPr>
        <w:t xml:space="preserve">My Groups</w:t>
      </w:r>
      <w:r>
        <w:rPr>
          <w:i w:val="false"/>
          <w:iCs w:val="false"/>
        </w:rPr>
        <w:t xml:space="preserve">, </w:t>
      </w:r>
      <w:r>
        <w:rPr>
          <w:b/>
          <w:bCs/>
          <w:i w:val="false"/>
          <w:iCs w:val="false"/>
        </w:rPr>
        <w:t xml:space="preserve">Library</w:t>
      </w:r>
      <w:r>
        <w:rPr>
          <w:i w:val="false"/>
          <w:iCs w:val="false"/>
        </w:rPr>
        <w:t xml:space="preserve">, </w:t>
      </w:r>
      <w:r>
        <w:rPr>
          <w:b/>
          <w:bCs/>
          <w:i w:val="false"/>
          <w:iCs w:val="false"/>
        </w:rPr>
        <w:t xml:space="preserve">Your Transactions</w:t>
      </w:r>
      <w:r>
        <w:rPr>
          <w:i w:val="false"/>
          <w:iCs w:val="false"/>
        </w:rPr>
        <w:t xml:space="preserve">; the standalone "Events" tab was removed — events are now reached through their parent group</w:t>
      </w:r>
    </w:p>
    <w:p>
      <w:pPr>
        <w:pStyle w:val="ListParagraph"/>
        <w:numPr>
          <w:ilvl w:val="0"/>
          <w:numId w:val="2"/>
        </w:numPr>
        <w:spacing w:after="100"/>
      </w:pPr>
      <w:r>
        <w:rPr>
          <w:i w:val="false"/>
          <w:iCs w:val="false"/>
        </w:rPr>
        <w:t xml:space="preserve">Design should be corporate-friendly and information-dense</w:t>
      </w:r>
    </w:p>
    <w:p>
      <w:pPr>
        <w:pStyle w:val="ListParagraph"/>
        <w:numPr>
          <w:ilvl w:val="0"/>
          <w:numId w:val="2"/>
        </w:numPr>
        <w:spacing w:after="100"/>
      </w:pPr>
      <w:r>
        <w:rPr>
          <w:i w:val="false"/>
          <w:iCs w:val="false"/>
        </w:rPr>
        <w:t xml:space="preserve">Avoid complex navigation — simple and aligned with Alumnye branding and logo</w:t>
      </w:r>
    </w:p>
    <w:p>
      <w:pPr>
        <w:pStyle w:val="ListParagraph"/>
        <w:numPr>
          <w:ilvl w:val="0"/>
          <w:numId w:val="2"/>
        </w:numPr>
        <w:spacing w:after="100"/>
      </w:pPr>
      <w:r>
        <w:rPr>
          <w:i w:val="false"/>
          <w:iCs w:val="false"/>
        </w:rPr>
        <w:t xml:space="preserve">Content should ideally fit within a single screen scroll</w:t>
      </w:r>
    </w:p>
    <w:p>
      <w:pPr>
        <w:pStyle w:val="ListParagraph"/>
        <w:numPr>
          <w:ilvl w:val="0"/>
          <w:numId w:val="2"/>
        </w:numPr>
        <w:spacing w:after="100"/>
      </w:pPr>
      <w:r>
        <w:rPr>
          <w:i w:val="false"/>
          <w:iCs w:val="false"/>
        </w:rPr>
        <w:t xml:space="preserve">New user registration should be clearly visible and prominently placed</w:t>
      </w:r>
    </w:p>
    <w:p>
      <w:pPr>
        <w:spacing w:after="160"/>
      </w:pPr>
      <w:r>
        <w:rPr>
          <w:i w:val="false"/>
          <w:iCs w:val="false"/>
        </w:rPr>
        <w:t xml:space="preserve">For cross-reference, the Member Home tile-based information architecture that Anchor screens route into is: </w:t>
      </w:r>
      <w:r>
        <w:rPr>
          <w:b/>
          <w:bCs/>
          <w:i w:val="false"/>
          <w:iCs w:val="false"/>
        </w:rPr>
        <w:t xml:space="preserve">Poll / Library / Payment / Itinerary / Member / RSVP / Chat (pending) / Golf</w:t>
      </w:r>
      <w:r>
        <w:rPr>
          <w:i w:val="false"/>
          <w:iCs w:val="false"/>
        </w:rPr>
        <w:t xml:space="preserve">.</w:t>
      </w:r>
    </w:p>
    <w:p>
      <w:pPr>
        <w:pStyle w:val="Heading2"/>
        <w:spacing w:after="160" w:before="300"/>
      </w:pPr>
      <w:r>
        <w:t xml:space="preserve">14.2 CostGPT Anchor Screen</w:t>
      </w:r>
    </w:p>
    <w:p>
      <w:pPr>
        <w:pStyle w:val="ListParagraph"/>
        <w:numPr>
          <w:ilvl w:val="0"/>
          <w:numId w:val="2"/>
        </w:numPr>
        <w:spacing w:after="100"/>
      </w:pPr>
      <w:r>
        <w:rPr>
          <w:i w:val="false"/>
          <w:iCs w:val="false"/>
        </w:rPr>
        <w:t xml:space="preserve">Output is a conversational chat format with numbered options (1, 2, 3…), PPT-style visual, replacing the earlier MCQ/Excel-style concept (DR-032)</w:t>
      </w:r>
    </w:p>
    <w:p>
      <w:pPr>
        <w:pStyle w:val="ListParagraph"/>
        <w:numPr>
          <w:ilvl w:val="0"/>
          <w:numId w:val="2"/>
        </w:numPr>
        <w:spacing w:after="100"/>
      </w:pPr>
      <w:r>
        <w:rPr>
          <w:i w:val="false"/>
          <w:iCs w:val="false"/>
        </w:rPr>
        <w:t xml:space="preserve">Initial cost estimation: Simple, Transparent, Anchor-verifiable</w:t>
      </w:r>
    </w:p>
    <w:p>
      <w:pPr>
        <w:pStyle w:val="ListParagraph"/>
        <w:numPr>
          <w:ilvl w:val="0"/>
          <w:numId w:val="2"/>
        </w:numPr>
        <w:spacing w:after="100"/>
      </w:pPr>
      <w:r>
        <w:rPr>
          <w:i w:val="false"/>
          <w:iCs w:val="false"/>
        </w:rPr>
        <w:t xml:space="preserve">CostGPT Mode A and Mode B, plus the EVE chat estimator and Cost Estimator List, are fully integrated on the Anchor dashboard</w:t>
      </w:r>
    </w:p>
    <w:p>
      <w:pPr>
        <w:pStyle w:val="Heading1"/>
        <w:spacing w:after="200" w:before="400"/>
      </w:pPr>
      <w:r>
        <w:t xml:space="preserve">15. Acceptance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5040"/>
            <w:shd w:fill="1F3864" w:val="clear"/>
            <w:tcMar>
              <w:top w:type="dxa" w:w="80"/>
              <w:left w:type="dxa" w:w="100"/>
              <w:bottom w:type="dxa" w:w="80"/>
              <w:right w:type="dxa" w:w="100"/>
            </w:tcMar>
            <w:vAlign w:val="center"/>
          </w:tcPr>
          <w:p>
            <w:r>
              <w:rPr>
                <w:i w:val="false"/>
                <w:iCs w:val="false"/>
                <w:color w:val="FFFFFF"/>
                <w:sz w:val="19"/>
                <w:szCs w:val="19"/>
              </w:rPr>
              <w:t xml:space="preserve">Acceptance Criteria</w:t>
            </w:r>
          </w:p>
        </w:tc>
      </w:tr>
      <w:tr>
        <w:tc>
          <w:tcPr>
            <w:tcW w:type="dxa" w:w="5040"/>
            <w:tcMar>
              <w:top w:type="dxa" w:w="80"/>
              <w:left w:type="dxa" w:w="100"/>
              <w:bottom w:type="dxa" w:w="80"/>
              <w:right w:type="dxa" w:w="100"/>
            </w:tcMar>
            <w:vAlign w:val="center"/>
          </w:tcPr>
          <w:p>
            <w:r>
              <w:rPr>
                <w:i w:val="false"/>
                <w:iCs w:val="false"/>
                <w:sz w:val="19"/>
                <w:szCs w:val="19"/>
              </w:rPr>
              <w:t xml:space="preserve">Authentication</w:t>
            </w:r>
          </w:p>
        </w:tc>
        <w:tc>
          <w:tcPr>
            <w:tcW w:type="dxa" w:w="5040"/>
            <w:tcMar>
              <w:top w:type="dxa" w:w="80"/>
              <w:left w:type="dxa" w:w="100"/>
              <w:bottom w:type="dxa" w:w="80"/>
              <w:right w:type="dxa" w:w="100"/>
            </w:tcMar>
            <w:vAlign w:val="center"/>
          </w:tcPr>
          <w:p>
            <w:r>
              <w:rPr>
                <w:i w:val="false"/>
                <w:iCs w:val="false"/>
                <w:sz w:val="19"/>
                <w:szCs w:val="19"/>
              </w:rPr>
              <w:t xml:space="preserve">Anchor can login via Google OAuth / Email / Phone OTP successfully (WhatsApp OTP is Alpha). Device binding is applied. JWT session maintained. Overseas members can log in via email ID.</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Group Creation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can create a group, invite members via email/SMS (multiple invite modes: Individual, Contacts, Existing Members, Bulk Upload) and view group landing page.</w:t>
            </w:r>
          </w:p>
        </w:tc>
      </w:tr>
      <w:tr>
        <w:tc>
          <w:tcPr>
            <w:tcW w:type="dxa" w:w="5040"/>
            <w:tcMar>
              <w:top w:type="dxa" w:w="80"/>
              <w:left w:type="dxa" w:w="100"/>
              <w:bottom w:type="dxa" w:w="80"/>
              <w:right w:type="dxa" w:w="100"/>
            </w:tcMar>
            <w:vAlign w:val="center"/>
          </w:tcPr>
          <w:p>
            <w:r>
              <w:rPr>
                <w:i w:val="false"/>
                <w:iCs w:val="false"/>
                <w:sz w:val="19"/>
                <w:szCs w:val="19"/>
              </w:rPr>
              <w:t xml:space="preserve">CSV / Excel Bulk Import</w:t>
            </w:r>
          </w:p>
        </w:tc>
        <w:tc>
          <w:tcPr>
            <w:tcW w:type="dxa" w:w="5040"/>
            <w:tcMar>
              <w:top w:type="dxa" w:w="80"/>
              <w:left w:type="dxa" w:w="100"/>
              <w:bottom w:type="dxa" w:w="80"/>
              <w:right w:type="dxa" w:w="100"/>
            </w:tcMar>
            <w:vAlign w:val="center"/>
          </w:tcPr>
          <w:p>
            <w:r>
              <w:rPr>
                <w:i w:val="false"/>
                <w:iCs w:val="false"/>
                <w:sz w:val="19"/>
                <w:szCs w:val="19"/>
              </w:rPr>
              <w:t xml:space="preserve">Anchor can upload a CSV/Excel file; system parses and imports alumni data into the cohort; raw file is stored as an AWS S3 audit record; template download works; Bulk Preview screen commits imported records correctly.</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Consent &amp; T&amp;C at First Login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New members are presented with, and must accept, Consent and T&amp;C covering Anchor data-usage rights before accessing the platform; acceptance is logged.</w:t>
            </w:r>
          </w:p>
        </w:tc>
      </w:tr>
      <w:tr>
        <w:tc>
          <w:tcPr>
            <w:tcW w:type="dxa" w:w="5040"/>
            <w:tcMar>
              <w:top w:type="dxa" w:w="80"/>
              <w:left w:type="dxa" w:w="100"/>
              <w:bottom w:type="dxa" w:w="80"/>
              <w:right w:type="dxa" w:w="100"/>
            </w:tcMar>
            <w:vAlign w:val="center"/>
          </w:tcPr>
          <w:p>
            <w:r>
              <w:rPr>
                <w:i w:val="false"/>
                <w:iCs w:val="false"/>
                <w:sz w:val="19"/>
                <w:szCs w:val="19"/>
              </w:rPr>
              <w:t xml:space="preserve">Multi-Anchor Entitlement</w:t>
            </w:r>
          </w:p>
        </w:tc>
        <w:tc>
          <w:tcPr>
            <w:tcW w:type="dxa" w:w="5040"/>
            <w:tcMar>
              <w:top w:type="dxa" w:w="80"/>
              <w:left w:type="dxa" w:w="100"/>
              <w:bottom w:type="dxa" w:w="80"/>
              <w:right w:type="dxa" w:w="100"/>
            </w:tcMar>
            <w:vAlign w:val="center"/>
          </w:tcPr>
          <w:p>
            <w:r>
              <w:rPr>
                <w:i w:val="false"/>
                <w:iCs w:val="false"/>
                <w:sz w:val="19"/>
                <w:szCs w:val="19"/>
              </w:rPr>
              <w:t xml:space="preserve">An existing Anchor can grant anchor rights to another group member; the newly-granted anchor's sensitive actions are subject to entitlement checks and are recorded in the audit trail.</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Event Creation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can create an event with D1–D4 parameters, select a Reunion/Social or Sports category, define slots and view event dashboard.</w:t>
            </w:r>
          </w:p>
        </w:tc>
      </w:tr>
      <w:tr>
        <w:tc>
          <w:tcPr>
            <w:tcW w:type="dxa" w:w="5040"/>
            <w:tcMar>
              <w:top w:type="dxa" w:w="80"/>
              <w:left w:type="dxa" w:w="100"/>
              <w:bottom w:type="dxa" w:w="80"/>
              <w:right w:type="dxa" w:w="100"/>
            </w:tcMar>
            <w:vAlign w:val="center"/>
          </w:tcPr>
          <w:p>
            <w:r>
              <w:rPr>
                <w:i w:val="false"/>
                <w:iCs w:val="false"/>
                <w:sz w:val="19"/>
                <w:szCs w:val="19"/>
              </w:rPr>
              <w:t xml:space="preserve">D1–D4 Poll Wizard</w:t>
            </w:r>
          </w:p>
        </w:tc>
        <w:tc>
          <w:tcPr>
            <w:tcW w:type="dxa" w:w="5040"/>
            <w:tcMar>
              <w:top w:type="dxa" w:w="80"/>
              <w:left w:type="dxa" w:w="100"/>
              <w:bottom w:type="dxa" w:w="80"/>
              <w:right w:type="dxa" w:w="100"/>
            </w:tcMar>
            <w:vAlign w:val="center"/>
          </w:tcPr>
          <w:p>
            <w:r>
              <w:rPr>
                <w:i w:val="false"/>
                <w:iCs w:val="false"/>
                <w:sz w:val="19"/>
                <w:szCs w:val="19"/>
              </w:rPr>
              <w:t xml:space="preserve">The 5-step guided wizard (Year, Dates, Duration, Destination, Budget) launches and collects responses; Review &amp; Launch, Live Tracking (aggregate-only) and Poll Output (2×2 layout) function correctly; a Confirmed Poll routes into CostGPT.</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CostGPT Mode A</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CostGPT returns Top 5 destination/approach advisory without web search, in conversational chat format; result is Anchor-verifiable.</w:t>
            </w:r>
          </w:p>
        </w:tc>
      </w:tr>
      <w:tr>
        <w:tc>
          <w:tcPr>
            <w:tcW w:type="dxa" w:w="5040"/>
            <w:tcMar>
              <w:top w:type="dxa" w:w="80"/>
              <w:left w:type="dxa" w:w="100"/>
              <w:bottom w:type="dxa" w:w="80"/>
              <w:right w:type="dxa" w:w="100"/>
            </w:tcMar>
            <w:vAlign w:val="center"/>
          </w:tcPr>
          <w:p>
            <w:r>
              <w:rPr>
                <w:i w:val="false"/>
                <w:iCs w:val="false"/>
                <w:sz w:val="19"/>
                <w:szCs w:val="19"/>
              </w:rPr>
              <w:t xml:space="preserve">CostGPT Mode B</w:t>
            </w:r>
          </w:p>
        </w:tc>
        <w:tc>
          <w:tcPr>
            <w:tcW w:type="dxa" w:w="5040"/>
            <w:tcMar>
              <w:top w:type="dxa" w:w="80"/>
              <w:left w:type="dxa" w:w="100"/>
              <w:bottom w:type="dxa" w:w="80"/>
              <w:right w:type="dxa" w:w="100"/>
            </w:tcMar>
            <w:vAlign w:val="center"/>
          </w:tcPr>
          <w:p>
            <w:r>
              <w:rPr>
                <w:i w:val="false"/>
                <w:iCs w:val="false"/>
                <w:sz w:val="19"/>
                <w:szCs w:val="19"/>
              </w:rPr>
              <w:t xml:space="preserve">CostGPT (Wizard and/or EVE chat) returns a full cost estimate based on hotel, F&amp;B, transfer inputs; alcohol is excluded from all estimates (RULE-001); session persists across app re-opens.</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RSVP Launch</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can trigger RSVP with comments; members receive invitations (SMS/Email); RSVP status is visible to all members; funnel dashboard updates in real time.</w:t>
            </w:r>
          </w:p>
        </w:tc>
      </w:tr>
      <w:tr>
        <w:tc>
          <w:tcPr>
            <w:tcW w:type="dxa" w:w="5040"/>
            <w:tcMar>
              <w:top w:type="dxa" w:w="80"/>
              <w:left w:type="dxa" w:w="100"/>
              <w:bottom w:type="dxa" w:w="80"/>
              <w:right w:type="dxa" w:w="100"/>
            </w:tcMar>
            <w:vAlign w:val="center"/>
          </w:tcPr>
          <w:p>
            <w:r>
              <w:rPr>
                <w:i w:val="false"/>
                <w:iCs w:val="false"/>
                <w:sz w:val="19"/>
                <w:szCs w:val="19"/>
              </w:rPr>
              <w:t xml:space="preserve">Manual Payment Tracking</w:t>
            </w:r>
          </w:p>
        </w:tc>
        <w:tc>
          <w:tcPr>
            <w:tcW w:type="dxa" w:w="5040"/>
            <w:tcMar>
              <w:top w:type="dxa" w:w="80"/>
              <w:left w:type="dxa" w:w="100"/>
              <w:bottom w:type="dxa" w:w="80"/>
              <w:right w:type="dxa" w:w="100"/>
            </w:tcMar>
            <w:vAlign w:val="center"/>
          </w:tcPr>
          <w:p>
            <w:r>
              <w:rPr>
                <w:i w:val="false"/>
                <w:iCs w:val="false"/>
                <w:sz w:val="19"/>
                <w:szCs w:val="19"/>
              </w:rPr>
              <w:t xml:space="preserve">Anchor can Mark as Paid against RSVP-Yes members only (RULE-PAY-003); expected amount defaults per RULE-PAY-002 and is Anchor-overridable; status set includes Paid/Not Paid/Partially Paid/Waived; summary card and transaction ledger reflect entries correctly.</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Payment Reminders</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can trigger payment reminders; members receive notification via SMS/Email.</w:t>
            </w:r>
          </w:p>
        </w:tc>
      </w:tr>
      <w:tr>
        <w:tc>
          <w:tcPr>
            <w:tcW w:type="dxa" w:w="5040"/>
            <w:tcMar>
              <w:top w:type="dxa" w:w="80"/>
              <w:left w:type="dxa" w:w="100"/>
              <w:bottom w:type="dxa" w:w="80"/>
              <w:right w:type="dxa" w:w="100"/>
            </w:tcMar>
            <w:vAlign w:val="center"/>
          </w:tcPr>
          <w:p>
            <w:r>
              <w:rPr>
                <w:i w:val="false"/>
                <w:iCs w:val="false"/>
                <w:sz w:val="19"/>
                <w:szCs w:val="19"/>
              </w:rPr>
              <w:t xml:space="preserve">Notice Board</w:t>
            </w:r>
          </w:p>
        </w:tc>
        <w:tc>
          <w:tcPr>
            <w:tcW w:type="dxa" w:w="5040"/>
            <w:tcMar>
              <w:top w:type="dxa" w:w="80"/>
              <w:left w:type="dxa" w:w="100"/>
              <w:bottom w:type="dxa" w:w="80"/>
              <w:right w:type="dxa" w:w="100"/>
            </w:tcMar>
            <w:vAlign w:val="center"/>
          </w:tcPr>
          <w:p>
            <w:r>
              <w:rPr>
                <w:i w:val="false"/>
                <w:iCs w:val="false"/>
                <w:sz w:val="19"/>
                <w:szCs w:val="19"/>
              </w:rPr>
              <w:t xml:space="preserve">Anchor can post a group/event notice with optional PNG/JPG attachment; notice is visible to group members; empty and active states render correctly.</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Travel Management</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can view and update per-member travel details and download a CSV of RSVP-confirmed members' travel information.</w:t>
            </w:r>
          </w:p>
        </w:tc>
      </w:tr>
      <w:tr>
        <w:tc>
          <w:tcPr>
            <w:tcW w:type="dxa" w:w="5040"/>
            <w:tcMar>
              <w:top w:type="dxa" w:w="80"/>
              <w:left w:type="dxa" w:w="100"/>
              <w:bottom w:type="dxa" w:w="80"/>
              <w:right w:type="dxa" w:w="100"/>
            </w:tcMar>
            <w:vAlign w:val="center"/>
          </w:tcPr>
          <w:p>
            <w:r>
              <w:rPr>
                <w:i w:val="false"/>
                <w:iCs w:val="false"/>
                <w:sz w:val="19"/>
                <w:szCs w:val="19"/>
              </w:rPr>
              <w:t xml:space="preserve">Nominee Management</w:t>
            </w:r>
          </w:p>
        </w:tc>
        <w:tc>
          <w:tcPr>
            <w:tcW w:type="dxa" w:w="5040"/>
            <w:tcMar>
              <w:top w:type="dxa" w:w="80"/>
              <w:left w:type="dxa" w:w="100"/>
              <w:bottom w:type="dxa" w:w="80"/>
              <w:right w:type="dxa" w:w="100"/>
            </w:tcMar>
            <w:vAlign w:val="center"/>
          </w:tcPr>
          <w:p>
            <w:r>
              <w:rPr>
                <w:i w:val="false"/>
                <w:iCs w:val="false"/>
                <w:sz w:val="19"/>
                <w:szCs w:val="19"/>
              </w:rPr>
              <w:t xml:space="preserve">Member can optionally record nominee details with a distinct consent step, separate from profile-publishing consent.</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Profile Generation</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System generates an AI profile using Firecrawl/DuckDuckGo sources (LinkedIn URL stored, never scraped); Anchor can discover and use the Edit/Review control, edit, and approve; member can publish selectively; generation is capped at 3 attempts.</w:t>
            </w:r>
          </w:p>
        </w:tc>
      </w:tr>
      <w:tr>
        <w:tc>
          <w:tcPr>
            <w:tcW w:type="dxa" w:w="5040"/>
            <w:tcMar>
              <w:top w:type="dxa" w:w="80"/>
              <w:left w:type="dxa" w:w="100"/>
              <w:bottom w:type="dxa" w:w="80"/>
              <w:right w:type="dxa" w:w="100"/>
            </w:tcMar>
            <w:vAlign w:val="center"/>
          </w:tcPr>
          <w:p>
            <w:r>
              <w:rPr>
                <w:i w:val="false"/>
                <w:iCs w:val="false"/>
                <w:sz w:val="19"/>
                <w:szCs w:val="19"/>
              </w:rPr>
              <w:t xml:space="preserve">File Upload Security</w:t>
            </w:r>
          </w:p>
        </w:tc>
        <w:tc>
          <w:tcPr>
            <w:tcW w:type="dxa" w:w="5040"/>
            <w:tcMar>
              <w:top w:type="dxa" w:w="80"/>
              <w:left w:type="dxa" w:w="100"/>
              <w:bottom w:type="dxa" w:w="80"/>
              <w:right w:type="dxa" w:w="100"/>
            </w:tcMar>
            <w:vAlign w:val="center"/>
          </w:tcPr>
          <w:p>
            <w:r>
              <w:rPr>
                <w:i w:val="false"/>
                <w:iCs w:val="false"/>
                <w:sz w:val="19"/>
                <w:szCs w:val="19"/>
              </w:rPr>
              <w:t xml:space="preserve">Uploads outside allowed file types/sizes are rejected; malware/auto-execute content is blocked; Anchor-only upload types are enforced correctly.</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Media Upload</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and Member can upload pictures/videos to the event library; media displays in reverse chronological order; delete is confirmed disabled for all roles in Delta.</w:t>
            </w:r>
          </w:p>
        </w:tc>
      </w:tr>
      <w:tr>
        <w:tc>
          <w:tcPr>
            <w:tcW w:type="dxa" w:w="5040"/>
            <w:tcMar>
              <w:top w:type="dxa" w:w="80"/>
              <w:left w:type="dxa" w:w="100"/>
              <w:bottom w:type="dxa" w:w="80"/>
              <w:right w:type="dxa" w:w="100"/>
            </w:tcMar>
            <w:vAlign w:val="center"/>
          </w:tcPr>
          <w:p>
            <w:r>
              <w:rPr>
                <w:i w:val="false"/>
                <w:iCs w:val="false"/>
                <w:sz w:val="19"/>
                <w:szCs w:val="19"/>
              </w:rPr>
              <w:t xml:space="preserve">Notifications</w:t>
            </w:r>
          </w:p>
        </w:tc>
        <w:tc>
          <w:tcPr>
            <w:tcW w:type="dxa" w:w="5040"/>
            <w:tcMar>
              <w:top w:type="dxa" w:w="80"/>
              <w:left w:type="dxa" w:w="100"/>
              <w:bottom w:type="dxa" w:w="80"/>
              <w:right w:type="dxa" w:w="100"/>
            </w:tcMar>
            <w:vAlign w:val="center"/>
          </w:tcPr>
          <w:p>
            <w:r>
              <w:rPr>
                <w:i w:val="false"/>
                <w:iCs w:val="false"/>
                <w:sz w:val="19"/>
                <w:szCs w:val="19"/>
              </w:rPr>
              <w:t xml:space="preserve">SMS, Email and In-App notification channels are operational and deliver messages reliably; sender identity is msg@alumnye.com with no "noreply" branding; no promotional SMS is sent.</w:t>
            </w:r>
          </w:p>
        </w:tc>
      </w:tr>
      <w:tr>
        <w:tc>
          <w:tcPr>
            <w:tcW w:type="dxa" w:w="5040"/>
            <w:shd w:fill="F2F2F2" w:val="clear"/>
            <w:tcMar>
              <w:top w:type="dxa" w:w="80"/>
              <w:left w:type="dxa" w:w="100"/>
              <w:bottom w:type="dxa" w:w="80"/>
              <w:right w:type="dxa" w:w="100"/>
            </w:tcMar>
            <w:vAlign w:val="center"/>
          </w:tcPr>
          <w:p>
            <w:r>
              <w:rPr>
                <w:i w:val="false"/>
                <w:iCs w:val="false"/>
                <w:sz w:val="19"/>
                <w:szCs w:val="19"/>
              </w:rPr>
              <w:t xml:space="preserve">RSVP Targeted Email</w:t>
            </w:r>
          </w:p>
        </w:tc>
        <w:tc>
          <w:tcPr>
            <w:tcW w:type="dxa" w:w="5040"/>
            <w:shd w:fill="F2F2F2" w:val="clear"/>
            <w:tcMar>
              <w:top w:type="dxa" w:w="80"/>
              <w:left w:type="dxa" w:w="100"/>
              <w:bottom w:type="dxa" w:w="80"/>
              <w:right w:type="dxa" w:w="100"/>
            </w:tcMar>
            <w:vAlign w:val="center"/>
          </w:tcPr>
          <w:p>
            <w:r>
              <w:rPr>
                <w:i w:val="false"/>
                <w:iCs w:val="false"/>
                <w:sz w:val="19"/>
                <w:szCs w:val="19"/>
              </w:rPr>
              <w:t xml:space="preserve">Anchor can send emails to specific groups (all / accepted / non-accepted) successfully.</w:t>
            </w:r>
          </w:p>
        </w:tc>
      </w:tr>
      <w:tr>
        <w:tc>
          <w:tcPr>
            <w:tcW w:type="dxa" w:w="5040"/>
            <w:tcMar>
              <w:top w:type="dxa" w:w="80"/>
              <w:left w:type="dxa" w:w="100"/>
              <w:bottom w:type="dxa" w:w="80"/>
              <w:right w:type="dxa" w:w="100"/>
            </w:tcMar>
            <w:vAlign w:val="center"/>
          </w:tcPr>
          <w:p>
            <w:r>
              <w:rPr>
                <w:i w:val="false"/>
                <w:iCs w:val="false"/>
                <w:sz w:val="19"/>
                <w:szCs w:val="19"/>
              </w:rPr>
              <w:t xml:space="preserve">AI Guardrails</w:t>
            </w:r>
          </w:p>
        </w:tc>
        <w:tc>
          <w:tcPr>
            <w:tcW w:type="dxa" w:w="5040"/>
            <w:tcMar>
              <w:top w:type="dxa" w:w="80"/>
              <w:left w:type="dxa" w:w="100"/>
              <w:bottom w:type="dxa" w:w="80"/>
              <w:right w:type="dxa" w:w="100"/>
            </w:tcMar>
            <w:vAlign w:val="center"/>
          </w:tcPr>
          <w:p>
            <w:r>
              <w:rPr>
                <w:i w:val="false"/>
                <w:iCs w:val="false"/>
                <w:sz w:val="19"/>
                <w:szCs w:val="19"/>
              </w:rPr>
              <w:t xml:space="preserve">CostGPT and Profile Builder do not expose company name, internal data, or sensitive references in any output; all AI calls are logged via the audited gateway.</w:t>
            </w:r>
          </w:p>
        </w:tc>
      </w:tr>
    </w:tbl>
    <w:p>
      <w:pPr>
        <w:pStyle w:val="Heading1"/>
        <w:spacing w:after="200" w:before="400"/>
      </w:pPr>
      <w:r>
        <w:t xml:space="preserve">16. Anchor Feature Phasing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600"/>
        <w:gridCol w:w="2680"/>
      </w:tblGrid>
      <w:tr>
        <w:trPr>
          <w:tblHeader/>
        </w:trPr>
        <w:tc>
          <w:tcPr>
            <w:tcW w:type="dxa" w:w="3400"/>
            <w:shd w:fill="1F3864" w:val="clear"/>
            <w:tcMar>
              <w:top w:type="dxa" w:w="80"/>
              <w:left w:type="dxa" w:w="100"/>
              <w:bottom w:type="dxa" w:w="80"/>
              <w:right w:type="dxa" w:w="100"/>
            </w:tcMar>
            <w:vAlign w:val="center"/>
          </w:tcPr>
          <w:p>
            <w:r>
              <w:rPr>
                <w:i w:val="false"/>
                <w:iCs w:val="false"/>
                <w:color w:val="FFFFFF"/>
                <w:sz w:val="19"/>
                <w:szCs w:val="19"/>
              </w:rPr>
              <w:t xml:space="preserve">Feature</w:t>
            </w:r>
          </w:p>
        </w:tc>
        <w:tc>
          <w:tcPr>
            <w:tcW w:type="dxa" w:w="1400"/>
            <w:shd w:fill="1F3864" w:val="clear"/>
            <w:tcMar>
              <w:top w:type="dxa" w:w="80"/>
              <w:left w:type="dxa" w:w="100"/>
              <w:bottom w:type="dxa" w:w="80"/>
              <w:right w:type="dxa" w:w="100"/>
            </w:tcMar>
            <w:vAlign w:val="center"/>
          </w:tcPr>
          <w:p>
            <w:r>
              <w:rPr>
                <w:i w:val="false"/>
                <w:iCs w:val="false"/>
                <w:color w:val="FFFFFF"/>
                <w:sz w:val="19"/>
                <w:szCs w:val="19"/>
              </w:rPr>
              <w:t xml:space="preserve">Quick Launch</w:t>
            </w:r>
          </w:p>
        </w:tc>
        <w:tc>
          <w:tcPr>
            <w:tcW w:type="dxa" w:w="2600"/>
            <w:shd w:fill="1F3864" w:val="clear"/>
            <w:tcMar>
              <w:top w:type="dxa" w:w="80"/>
              <w:left w:type="dxa" w:w="100"/>
              <w:bottom w:type="dxa" w:w="80"/>
              <w:right w:type="dxa" w:w="100"/>
            </w:tcMar>
            <w:vAlign w:val="center"/>
          </w:tcPr>
          <w:p>
            <w:r>
              <w:rPr>
                <w:i w:val="false"/>
                <w:iCs w:val="false"/>
                <w:color w:val="FFFFFF"/>
                <w:sz w:val="19"/>
                <w:szCs w:val="19"/>
              </w:rPr>
              <w:t xml:space="preserve">Delta</w:t>
            </w:r>
          </w:p>
        </w:tc>
        <w:tc>
          <w:tcPr>
            <w:tcW w:type="dxa" w:w="2680"/>
            <w:shd w:fill="1F3864" w:val="clear"/>
            <w:tcMar>
              <w:top w:type="dxa" w:w="80"/>
              <w:left w:type="dxa" w:w="100"/>
              <w:bottom w:type="dxa" w:w="80"/>
              <w:right w:type="dxa" w:w="100"/>
            </w:tcMar>
            <w:vAlign w:val="center"/>
          </w:tcPr>
          <w:p>
            <w:r>
              <w:rPr>
                <w:i w:val="false"/>
                <w:iCs w:val="false"/>
                <w:color w:val="FFFFFF"/>
                <w:sz w:val="19"/>
                <w:szCs w:val="19"/>
              </w:rPr>
              <w:t xml:space="preserve">Alpha / Future</w:t>
            </w:r>
          </w:p>
        </w:tc>
      </w:tr>
      <w:tr>
        <w:tc>
          <w:tcPr>
            <w:tcW w:type="dxa" w:w="3400"/>
            <w:tcMar>
              <w:top w:type="dxa" w:w="80"/>
              <w:left w:type="dxa" w:w="100"/>
              <w:bottom w:type="dxa" w:w="80"/>
              <w:right w:type="dxa" w:w="100"/>
            </w:tcMar>
            <w:vAlign w:val="center"/>
          </w:tcPr>
          <w:p>
            <w:r>
              <w:rPr>
                <w:i w:val="false"/>
                <w:iCs w:val="false"/>
                <w:sz w:val="19"/>
                <w:szCs w:val="19"/>
              </w:rPr>
              <w:t xml:space="preserve">Login (Email/Google OAuth, Phone OTP, Device Binding)</w:t>
            </w:r>
          </w:p>
        </w:tc>
        <w:tc>
          <w:tcPr>
            <w:tcW w:type="dxa" w:w="1400"/>
            <w:tcMar>
              <w:top w:type="dxa" w:w="80"/>
              <w:left w:type="dxa" w:w="100"/>
              <w:bottom w:type="dxa" w:w="80"/>
              <w:right w:type="dxa" w:w="100"/>
            </w:tcMar>
            <w:vAlign w:val="center"/>
          </w:tcPr>
          <w:p>
            <w:r>
              <w:rPr>
                <w:i w:val="false"/>
                <w:iCs w:val="false"/>
                <w:sz w:val="19"/>
                <w:szCs w:val="19"/>
              </w:rPr>
              <w:t xml:space="preserve">Yes (Email OTP only)</w:t>
            </w: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Manual Profile Creation</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Create Alumni Group</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Invite Members (multiple modes incl. Bulk Upload)</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CSV Import / Bulk Profile Upload</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 (shipped)</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Backend Data Upload (large-cohort onboarding)</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Consent &amp; T&amp;C at First Login</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Anchor Edits Member Core Profile (name, image)</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 (v1.3.0)</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Multi-Anchor Entitlement Model</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 (pulled in); full rollout post-v1.3</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Create Event</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Reunion/Social vs. Sports Event Categories</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 (v1.3+)</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D1–D4 Poll Wizard (5-step, all dimensions)</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CostGPT Mode A (Top 5)</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CostGPT Mode B (Full Estimate, chat format)</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RSVP Management + Funnel Dashboard</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RSVP Peer Visibility ("who else is coming")</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Manual Payment Tracking (Mark-as-Paid + Expense Tracking)</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Payment via Razorpay (live gateway)</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400"/>
            <w:tcMar>
              <w:top w:type="dxa" w:w="80"/>
              <w:left w:type="dxa" w:w="100"/>
              <w:bottom w:type="dxa" w:w="80"/>
              <w:right w:type="dxa" w:w="100"/>
            </w:tcMar>
            <w:vAlign w:val="center"/>
          </w:tcPr>
          <w:p>
            <w:r>
              <w:rPr>
                <w:i w:val="false"/>
                <w:iCs w:val="false"/>
                <w:sz w:val="19"/>
                <w:szCs w:val="19"/>
              </w:rPr>
              <w:t xml:space="preserve">Payment Custody / Escrow Model</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tc>
        <w:tc>
          <w:tcPr>
            <w:tcW w:type="dxa" w:w="2680"/>
            <w:tcMar>
              <w:top w:type="dxa" w:w="80"/>
              <w:left w:type="dxa" w:w="100"/>
              <w:bottom w:type="dxa" w:w="80"/>
              <w:right w:type="dxa" w:w="100"/>
            </w:tcMar>
            <w:vAlign w:val="center"/>
          </w:tcPr>
          <w:p>
            <w:r>
              <w:rPr>
                <w:i w:val="false"/>
                <w:iCs w:val="false"/>
                <w:sz w:val="19"/>
                <w:szCs w:val="19"/>
              </w:rPr>
              <w:t xml:space="preserve">Open — pending legal/RBI input (OI-01, OI-02)</w:t>
            </w: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Billing Module</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r>
              <w:rPr>
                <w:i w:val="false"/>
                <w:iCs w:val="false"/>
                <w:sz w:val="19"/>
                <w:szCs w:val="19"/>
              </w:rPr>
              <w:t xml:space="preserve">Open — scope not yet defined (OI-13)</w:t>
            </w:r>
          </w:p>
        </w:tc>
      </w:tr>
      <w:tr>
        <w:tc>
          <w:tcPr>
            <w:tcW w:type="dxa" w:w="3400"/>
            <w:tcMar>
              <w:top w:type="dxa" w:w="80"/>
              <w:left w:type="dxa" w:w="100"/>
              <w:bottom w:type="dxa" w:w="80"/>
              <w:right w:type="dxa" w:w="100"/>
            </w:tcMar>
            <w:vAlign w:val="center"/>
          </w:tcPr>
          <w:p>
            <w:r>
              <w:rPr>
                <w:i w:val="false"/>
                <w:iCs w:val="false"/>
                <w:sz w:val="19"/>
                <w:szCs w:val="19"/>
              </w:rPr>
              <w:t xml:space="preserve">OCR Payment-Screenshot Extraction</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tc>
        <w:tc>
          <w:tcPr>
            <w:tcW w:type="dxa" w:w="2680"/>
            <w:tcMar>
              <w:top w:type="dxa" w:w="80"/>
              <w:left w:type="dxa" w:w="100"/>
              <w:bottom w:type="dxa" w:w="80"/>
              <w:right w:type="dxa" w:w="100"/>
            </w:tcMar>
            <w:vAlign w:val="center"/>
          </w:tcPr>
          <w:p>
            <w:r>
              <w:rPr>
                <w:i w:val="false"/>
                <w:iCs w:val="false"/>
                <w:sz w:val="19"/>
                <w:szCs w:val="19"/>
              </w:rPr>
              <w:t xml:space="preserve">Targeted v1.5 (OI-15)</w:t>
            </w: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In-App + Email Notifications</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SMS Notifications (Karix)</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 — vendor under SLA review (OI-05)</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WhatsApp Integration (Karix)</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400"/>
            <w:tcMar>
              <w:top w:type="dxa" w:w="80"/>
              <w:left w:type="dxa" w:w="100"/>
              <w:bottom w:type="dxa" w:w="80"/>
              <w:right w:type="dxa" w:w="100"/>
            </w:tcMar>
            <w:vAlign w:val="center"/>
          </w:tcPr>
          <w:p>
            <w:r>
              <w:rPr>
                <w:i w:val="false"/>
                <w:iCs w:val="false"/>
                <w:sz w:val="19"/>
                <w:szCs w:val="19"/>
              </w:rPr>
              <w:t xml:space="preserve">Notice Board</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Travel Management (per-member, CSV download)</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Nominee Management</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Preferences (dietary + accessibility fields)</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AI Profile Builder (Claude Sonnet 4.6, Firecrawl+DuckDuckGo)</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Profile Story Generator</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400"/>
            <w:tcMar>
              <w:top w:type="dxa" w:w="80"/>
              <w:left w:type="dxa" w:w="100"/>
              <w:bottom w:type="dxa" w:w="80"/>
              <w:right w:type="dxa" w:w="100"/>
            </w:tcMar>
            <w:vAlign w:val="center"/>
          </w:tcPr>
          <w:p>
            <w:r>
              <w:rPr>
                <w:i w:val="false"/>
                <w:iCs w:val="false"/>
                <w:sz w:val="19"/>
                <w:szCs w:val="19"/>
              </w:rPr>
              <w:t xml:space="preserve">Hybrid Payment Flow</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tc>
        <w:tc>
          <w:tcPr>
            <w:tcW w:type="dxa" w:w="2680"/>
            <w:tcMar>
              <w:top w:type="dxa" w:w="80"/>
              <w:left w:type="dxa" w:w="100"/>
              <w:bottom w:type="dxa" w:w="80"/>
              <w:right w:type="dxa" w:w="100"/>
            </w:tcMar>
            <w:vAlign w:val="center"/>
          </w:tcPr>
          <w:p>
            <w:r>
              <w:rPr>
                <w:i w:val="false"/>
                <w:iCs w:val="false"/>
                <w:sz w:val="19"/>
                <w:szCs w:val="19"/>
              </w:rPr>
              <w:t xml:space="preserve">Alpha/Future</w:t>
            </w: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Cohort Booklet / PDF Aggregation</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400"/>
            <w:tcMar>
              <w:top w:type="dxa" w:w="80"/>
              <w:left w:type="dxa" w:w="100"/>
              <w:bottom w:type="dxa" w:w="80"/>
              <w:right w:type="dxa" w:w="100"/>
            </w:tcMar>
            <w:vAlign w:val="center"/>
          </w:tcPr>
          <w:p>
            <w:r>
              <w:rPr>
                <w:i w:val="false"/>
                <w:iCs w:val="false"/>
                <w:sz w:val="19"/>
                <w:szCs w:val="19"/>
              </w:rPr>
              <w:t xml:space="preserve">Logo Generation Bot (Paid)</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tc>
        <w:tc>
          <w:tcPr>
            <w:tcW w:type="dxa" w:w="2680"/>
            <w:tcMar>
              <w:top w:type="dxa" w:w="80"/>
              <w:left w:type="dxa" w:w="100"/>
              <w:bottom w:type="dxa" w:w="80"/>
              <w:right w:type="dxa" w:w="100"/>
            </w:tcMar>
            <w:vAlign w:val="center"/>
          </w:tcPr>
          <w:p>
            <w:r>
              <w:rPr>
                <w:i w:val="false"/>
                <w:iCs w:val="false"/>
                <w:sz w:val="19"/>
                <w:szCs w:val="19"/>
              </w:rPr>
              <w:t xml:space="preserve">Alpha</w:t>
            </w: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Coffee Table Book Bot (Paid)</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r>
              <w:rPr>
                <w:i w:val="false"/>
                <w:iCs w:val="false"/>
                <w:sz w:val="19"/>
                <w:szCs w:val="19"/>
              </w:rPr>
              <w:t xml:space="preserve">Alpha</w:t>
            </w:r>
          </w:p>
        </w:tc>
      </w:tr>
      <w:tr>
        <w:tc>
          <w:tcPr>
            <w:tcW w:type="dxa" w:w="3400"/>
            <w:tcMar>
              <w:top w:type="dxa" w:w="80"/>
              <w:left w:type="dxa" w:w="100"/>
              <w:bottom w:type="dxa" w:w="80"/>
              <w:right w:type="dxa" w:w="100"/>
            </w:tcMar>
            <w:vAlign w:val="center"/>
          </w:tcPr>
          <w:p>
            <w:r>
              <w:rPr>
                <w:i w:val="false"/>
                <w:iCs w:val="false"/>
                <w:sz w:val="19"/>
                <w:szCs w:val="19"/>
              </w:rPr>
              <w:t xml:space="preserve">Photo-to-Video Montage Bot</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tc>
        <w:tc>
          <w:tcPr>
            <w:tcW w:type="dxa" w:w="2680"/>
            <w:tcMar>
              <w:top w:type="dxa" w:w="80"/>
              <w:left w:type="dxa" w:w="100"/>
              <w:bottom w:type="dxa" w:w="80"/>
              <w:right w:type="dxa" w:w="100"/>
            </w:tcMar>
            <w:vAlign w:val="center"/>
          </w:tcPr>
          <w:p>
            <w:r>
              <w:rPr>
                <w:i w:val="false"/>
                <w:iCs w:val="false"/>
                <w:sz w:val="19"/>
                <w:szCs w:val="19"/>
              </w:rPr>
              <w:t xml:space="preserve">Future</w:t>
            </w: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Companion Feature</w:t>
            </w:r>
          </w:p>
        </w:tc>
        <w:tc>
          <w:tcPr>
            <w:tcW w:type="dxa" w:w="1400"/>
            <w:shd w:fill="F2F2F2" w:val="clear"/>
            <w:tcMar>
              <w:top w:type="dxa" w:w="80"/>
              <w:left w:type="dxa" w:w="100"/>
              <w:bottom w:type="dxa" w:w="80"/>
              <w:right w:type="dxa" w:w="100"/>
            </w:tcMar>
            <w:vAlign w:val="center"/>
          </w:tcP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r>
              <w:rPr>
                <w:i w:val="false"/>
                <w:iCs w:val="false"/>
                <w:sz w:val="19"/>
                <w:szCs w:val="19"/>
              </w:rPr>
              <w:t xml:space="preserve">Future</w:t>
            </w:r>
          </w:p>
        </w:tc>
      </w:tr>
      <w:tr>
        <w:tc>
          <w:tcPr>
            <w:tcW w:type="dxa" w:w="3400"/>
            <w:tcMar>
              <w:top w:type="dxa" w:w="80"/>
              <w:left w:type="dxa" w:w="100"/>
              <w:bottom w:type="dxa" w:w="80"/>
              <w:right w:type="dxa" w:w="100"/>
            </w:tcMar>
            <w:vAlign w:val="center"/>
          </w:tcPr>
          <w:p>
            <w:r>
              <w:rPr>
                <w:i w:val="false"/>
                <w:iCs w:val="false"/>
                <w:sz w:val="19"/>
                <w:szCs w:val="19"/>
              </w:rPr>
              <w:t xml:space="preserve">File Upload Security Controls</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Media Upload (event library)</w:t>
            </w:r>
          </w:p>
        </w:tc>
        <w:tc>
          <w:tcPr>
            <w:tcW w:type="dxa" w:w="1400"/>
            <w:shd w:fill="F2F2F2" w:val="clear"/>
            <w:tcMar>
              <w:top w:type="dxa" w:w="80"/>
              <w:left w:type="dxa" w:w="100"/>
              <w:bottom w:type="dxa" w:w="80"/>
              <w:right w:type="dxa" w:w="100"/>
            </w:tcMar>
            <w:vAlign w:val="center"/>
          </w:tcPr>
          <w:p>
            <w:r>
              <w:rPr>
                <w:i w:val="false"/>
                <w:iCs w:val="false"/>
                <w:sz w:val="19"/>
                <w:szCs w:val="19"/>
              </w:rPr>
              <w:t xml:space="preserve">Yes</w:t>
            </w:r>
          </w:p>
        </w:tc>
        <w:tc>
          <w:tcPr>
            <w:tcW w:type="dxa" w:w="2600"/>
            <w:shd w:fill="F2F2F2" w:val="clear"/>
            <w:tcMar>
              <w:top w:type="dxa" w:w="80"/>
              <w:left w:type="dxa" w:w="100"/>
              <w:bottom w:type="dxa" w:w="80"/>
              <w:right w:type="dxa" w:w="100"/>
            </w:tcMar>
            <w:vAlign w:val="center"/>
          </w:tcPr>
          <w:p>
            <w:r>
              <w:rPr>
                <w:i w:val="false"/>
                <w:iCs w:val="false"/>
                <w:sz w:val="19"/>
                <w:szCs w:val="19"/>
              </w:rPr>
              <w:t xml:space="preserve">Delta</w:t>
            </w: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Itinerary Upload</w:t>
            </w:r>
          </w:p>
        </w:tc>
        <w:tc>
          <w:tcPr>
            <w:tcW w:type="dxa" w:w="1400"/>
            <w:tcMar>
              <w:top w:type="dxa" w:w="80"/>
              <w:left w:type="dxa" w:w="100"/>
              <w:bottom w:type="dxa" w:w="80"/>
              <w:right w:type="dxa" w:w="100"/>
            </w:tcMar>
            <w:vAlign w:val="center"/>
          </w:tcPr>
          <w:p>
            <w:r>
              <w:rPr>
                <w:i w:val="false"/>
                <w:iCs w:val="false"/>
                <w:sz w:val="19"/>
                <w:szCs w:val="19"/>
              </w:rPr>
              <w:t xml:space="preserve">Yes</w:t>
            </w:r>
          </w:p>
        </w:tc>
        <w:tc>
          <w:tcPr>
            <w:tcW w:type="dxa" w:w="2600"/>
            <w:tcMar>
              <w:top w:type="dxa" w:w="80"/>
              <w:left w:type="dxa" w:w="100"/>
              <w:bottom w:type="dxa" w:w="80"/>
              <w:right w:type="dxa" w:w="100"/>
            </w:tcMar>
            <w:vAlign w:val="center"/>
          </w:tcPr>
          <w:p>
            <w:r>
              <w:rPr>
                <w:i w:val="false"/>
                <w:iCs w:val="false"/>
                <w:sz w:val="19"/>
                <w:szCs w:val="19"/>
              </w:rPr>
              <w:t xml:space="preserve">Delta</w:t>
            </w:r>
          </w:p>
        </w:tc>
        <w:tc>
          <w:tcPr>
            <w:tcW w:type="dxa" w:w="2680"/>
            <w:tcMar>
              <w:top w:type="dxa" w:w="80"/>
              <w:left w:type="dxa" w:w="100"/>
              <w:bottom w:type="dxa" w:w="80"/>
              <w:right w:type="dxa" w:w="100"/>
            </w:tcMar>
            <w:vAlign w:val="center"/>
          </w:tcPr>
          <w:p/>
        </w:tc>
      </w:tr>
      <w:tr>
        <w:tc>
          <w:tcPr>
            <w:tcW w:type="dxa" w:w="3400"/>
            <w:shd w:fill="F2F2F2" w:val="clear"/>
            <w:tcMar>
              <w:top w:type="dxa" w:w="80"/>
              <w:left w:type="dxa" w:w="100"/>
              <w:bottom w:type="dxa" w:w="80"/>
              <w:right w:type="dxa" w:w="100"/>
            </w:tcMar>
            <w:vAlign w:val="center"/>
          </w:tcPr>
          <w:p>
            <w:r>
              <w:rPr>
                <w:i w:val="false"/>
                <w:iCs w:val="false"/>
                <w:sz w:val="19"/>
                <w:szCs w:val="19"/>
              </w:rPr>
              <w:t xml:space="preserve">Static Event View</w:t>
            </w:r>
          </w:p>
        </w:tc>
        <w:tc>
          <w:tcPr>
            <w:tcW w:type="dxa" w:w="1400"/>
            <w:shd w:fill="F2F2F2" w:val="clear"/>
            <w:tcMar>
              <w:top w:type="dxa" w:w="80"/>
              <w:left w:type="dxa" w:w="100"/>
              <w:bottom w:type="dxa" w:w="80"/>
              <w:right w:type="dxa" w:w="100"/>
            </w:tcMar>
            <w:vAlign w:val="center"/>
          </w:tcPr>
          <w:p>
            <w:r>
              <w:rPr>
                <w:i w:val="false"/>
                <w:iCs w:val="false"/>
                <w:sz w:val="19"/>
                <w:szCs w:val="19"/>
              </w:rPr>
              <w:t xml:space="preserve">Yes</w:t>
            </w:r>
          </w:p>
        </w:tc>
        <w:tc>
          <w:tcPr>
            <w:tcW w:type="dxa" w:w="2600"/>
            <w:shd w:fill="F2F2F2" w:val="clear"/>
            <w:tcMar>
              <w:top w:type="dxa" w:w="80"/>
              <w:left w:type="dxa" w:w="100"/>
              <w:bottom w:type="dxa" w:w="80"/>
              <w:right w:type="dxa" w:w="100"/>
            </w:tcMar>
            <w:vAlign w:val="center"/>
          </w:tcPr>
          <w:p/>
        </w:tc>
        <w:tc>
          <w:tcPr>
            <w:tcW w:type="dxa" w:w="2680"/>
            <w:shd w:fill="F2F2F2" w:val="clear"/>
            <w:tcMar>
              <w:top w:type="dxa" w:w="80"/>
              <w:left w:type="dxa" w:w="100"/>
              <w:bottom w:type="dxa" w:w="80"/>
              <w:right w:type="dxa" w:w="100"/>
            </w:tcMar>
            <w:vAlign w:val="center"/>
          </w:tcPr>
          <w:p/>
        </w:tc>
      </w:tr>
      <w:tr>
        <w:tc>
          <w:tcPr>
            <w:tcW w:type="dxa" w:w="3400"/>
            <w:tcMar>
              <w:top w:type="dxa" w:w="80"/>
              <w:left w:type="dxa" w:w="100"/>
              <w:bottom w:type="dxa" w:w="80"/>
              <w:right w:type="dxa" w:w="100"/>
            </w:tcMar>
            <w:vAlign w:val="center"/>
          </w:tcPr>
          <w:p>
            <w:r>
              <w:rPr>
                <w:i w:val="false"/>
                <w:iCs w:val="false"/>
                <w:sz w:val="19"/>
                <w:szCs w:val="19"/>
              </w:rPr>
              <w:t xml:space="preserve">Golf Tournament Scoring &amp; Management</w:t>
            </w:r>
          </w:p>
        </w:tc>
        <w:tc>
          <w:tcPr>
            <w:tcW w:type="dxa" w:w="1400"/>
            <w:tcMar>
              <w:top w:type="dxa" w:w="80"/>
              <w:left w:type="dxa" w:w="100"/>
              <w:bottom w:type="dxa" w:w="80"/>
              <w:right w:type="dxa" w:w="100"/>
            </w:tcMar>
            <w:vAlign w:val="center"/>
          </w:tcPr>
          <w:p/>
        </w:tc>
        <w:tc>
          <w:tcPr>
            <w:tcW w:type="dxa" w:w="2600"/>
            <w:tcMar>
              <w:top w:type="dxa" w:w="80"/>
              <w:left w:type="dxa" w:w="100"/>
              <w:bottom w:type="dxa" w:w="80"/>
              <w:right w:type="dxa" w:w="100"/>
            </w:tcMar>
            <w:vAlign w:val="center"/>
          </w:tcPr>
          <w:p>
            <w:r>
              <w:rPr>
                <w:i w:val="false"/>
                <w:iCs w:val="false"/>
                <w:sz w:val="19"/>
                <w:szCs w:val="19"/>
              </w:rPr>
              <w:t xml:space="preserve">Out of scope — see §2.5 (separate standalone module)</w:t>
            </w:r>
          </w:p>
        </w:tc>
        <w:tc>
          <w:tcPr>
            <w:tcW w:type="dxa" w:w="2680"/>
            <w:tcMar>
              <w:top w:type="dxa" w:w="80"/>
              <w:left w:type="dxa" w:w="100"/>
              <w:bottom w:type="dxa" w:w="80"/>
              <w:right w:type="dxa" w:w="100"/>
            </w:tcMar>
            <w:vAlign w:val="center"/>
          </w:tcP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05768A49BE51438E9C6EDE10D9AE6E" ma:contentTypeVersion="9" ma:contentTypeDescription="Create a new document." ma:contentTypeScope="" ma:versionID="8563f8f1e598188302a3178b05c207a4">
  <xsd:schema xmlns:xsd="http://www.w3.org/2001/XMLSchema" xmlns:xs="http://www.w3.org/2001/XMLSchema" xmlns:p="http://schemas.microsoft.com/office/2006/metadata/properties" xmlns:ns2="fa9fdff7-c306-49b8-91ba-962b4dc952cb" xmlns:ns3="fa2f4560-f118-4f61-a305-660cb9113c0b" targetNamespace="http://schemas.microsoft.com/office/2006/metadata/properties" ma:root="true" ma:fieldsID="cac954ef73a6335fbf5633bdbe80605f" ns2:_="" ns3:_="">
    <xsd:import namespace="fa9fdff7-c306-49b8-91ba-962b4dc952cb"/>
    <xsd:import namespace="fa2f4560-f118-4f61-a305-660cb9113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fdff7-c306-49b8-91ba-962b4dc95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34a40c-0e66-4f2b-abbe-eaf14f47cbc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2f4560-f118-4f61-a305-660cb9113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2ef27b-8165-4788-841c-c71c7b4f01b6}" ma:internalName="TaxCatchAll" ma:showField="CatchAllData" ma:web="fa2f4560-f118-4f61-a305-660cb9113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a2f4560-f118-4f61-a305-660cb9113c0b" xsi:nil="true"/>
    <lcf76f155ced4ddcb4097134ff3c332f xmlns="fa9fdff7-c306-49b8-91ba-962b4dc952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92945D-311A-458B-A847-A9BA7574F8B2}"/>
</file>

<file path=customXml/itemProps2.xml><?xml version="1.0" encoding="utf-8"?>
<ds:datastoreItem xmlns:ds="http://schemas.openxmlformats.org/officeDocument/2006/customXml" ds:itemID="{8855A273-0A4E-425B-BB6A-915D37A6804F}"/>
</file>

<file path=customXml/itemProps3.xml><?xml version="1.0" encoding="utf-8"?>
<ds:datastoreItem xmlns:ds="http://schemas.openxmlformats.org/officeDocument/2006/customXml" ds:itemID="{32C8F76D-9666-45AD-A60C-574485093AE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2026-09-02T17:51:53Z</dcterms:created>
  <dcterms:modified xsi:type="dcterms:W3CDTF">2026-09-02T17:51:53Z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0x010100E805768A49BE51438E9C6EDE10D9AE6E</vt:lpwstr>
  </property>
</Properties>
</file>