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0F172A"/>
          <w:sz w:val="52"/>
        </w:rPr>
        <w:t>CAHIER DES CHARGES</w:t>
      </w:r>
    </w:p>
    <w:p>
      <w:pPr>
        <w:jc w:val="center"/>
      </w:pPr>
      <w:r>
        <w:rPr>
          <w:rFonts w:ascii="Calibri" w:hAnsi="Calibri" w:eastAsia="Calibri"/>
          <w:b w:val="0"/>
          <w:i/>
          <w:color w:val="475569"/>
          <w:sz w:val="26"/>
        </w:rPr>
        <w:t>Plateforme UniPath</w:t>
      </w:r>
    </w:p>
    <w:p/>
    <w:p>
      <w:pPr>
        <w:jc w:val="center"/>
      </w:pPr>
      <w:r>
        <w:rPr>
          <w:rFonts w:ascii="Calibri" w:hAnsi="Calibri" w:eastAsia="Calibri"/>
          <w:b w:val="0"/>
          <w:i/>
          <w:color w:val="475569"/>
          <w:sz w:val="26"/>
        </w:rPr>
        <w:t>Gestion des concours universitaires et du parcours académique</w:t>
      </w:r>
    </w:p>
    <w:p>
      <w:pPr>
        <w:jc w:val="center"/>
      </w:pPr>
      <w:r>
        <w:rPr>
          <w:rFonts w:ascii="Calibri" w:hAnsi="Calibri" w:eastAsia="Calibri"/>
          <w:b w:val="0"/>
          <w:i/>
          <w:color w:val="475569"/>
          <w:sz w:val="26"/>
        </w:rPr>
        <w:t>dans les établissements d’enseignement supérieur privés</w:t>
      </w:r>
    </w:p>
    <w:p/>
    <w:p>
      <w:pPr>
        <w:spacing w:after="160" w:line="240" w:lineRule="auto"/>
        <w:jc w:val="center"/>
      </w:pPr>
      <w:r>
        <w:rPr>
          <w:rFonts w:ascii="Calibri" w:hAnsi="Calibri" w:eastAsia="Calibri"/>
          <w:b/>
          <w:i w:val="0"/>
          <w:sz w:val="22"/>
        </w:rPr>
        <w:t>Projet MVP — Module SGBD / GIT</w:t>
      </w:r>
    </w:p>
    <w:p>
      <w:pPr>
        <w:spacing w:after="160" w:line="240" w:lineRule="auto"/>
        <w:jc w:val="center"/>
      </w:pPr>
      <w:r>
        <w:rPr>
          <w:rFonts w:ascii="Calibri" w:hAnsi="Calibri" w:eastAsia="Calibri"/>
          <w:b w:val="0"/>
          <w:i w:val="0"/>
          <w:sz w:val="22"/>
        </w:rPr>
        <w:t>EPAC — Année académique 2025-2026</w:t>
      </w:r>
    </w:p>
    <w:p>
      <w:pPr>
        <w:spacing w:after="160" w:line="240" w:lineRule="auto"/>
        <w:jc w:val="center"/>
      </w:pPr>
      <w:r>
        <w:rPr>
          <w:rFonts w:ascii="Calibri" w:hAnsi="Calibri" w:eastAsia="Calibri"/>
          <w:b w:val="0"/>
          <w:i w:val="0"/>
          <w:sz w:val="22"/>
        </w:rPr>
        <w:t>Document généré le 20/07/2026</w:t>
      </w:r>
    </w:p>
    <w:p>
      <w:pPr>
        <w:spacing w:after="160" w:line="240" w:lineRule="auto"/>
        <w:jc w:val="center"/>
      </w:pPr>
      <w:r>
        <w:rPr>
          <w:rFonts w:ascii="Calibri" w:hAnsi="Calibri" w:eastAsia="Calibri"/>
          <w:b w:val="0"/>
          <w:i w:val="0"/>
          <w:sz w:val="22"/>
        </w:rPr>
        <w:t>Version 1.0</w:t>
      </w:r>
    </w:p>
    <w:p>
      <w:r>
        <w:br w:type="page"/>
      </w:r>
    </w:p>
    <w:p>
      <w:pPr>
        <w:pStyle w:val="Heading1"/>
      </w:pPr>
      <w:r>
        <w:t>Table des matières</w:t>
      </w:r>
    </w:p>
    <w:p>
      <w:pPr>
        <w:pStyle w:val="ListBullet"/>
      </w:pPr>
      <w:r>
        <w:rPr>
          <w:rFonts w:ascii="Calibri" w:hAnsi="Calibri" w:eastAsia="Calibri"/>
          <w:b w:val="0"/>
          <w:i w:val="0"/>
          <w:sz w:val="22"/>
        </w:rPr>
        <w:t>1. Présentation du projet</w:t>
      </w:r>
    </w:p>
    <w:p>
      <w:pPr>
        <w:pStyle w:val="ListBullet"/>
      </w:pPr>
      <w:r>
        <w:rPr>
          <w:rFonts w:ascii="Calibri" w:hAnsi="Calibri" w:eastAsia="Calibri"/>
          <w:b w:val="0"/>
          <w:i w:val="0"/>
          <w:sz w:val="22"/>
        </w:rPr>
        <w:t>2. Objectifs</w:t>
      </w:r>
    </w:p>
    <w:p>
      <w:pPr>
        <w:pStyle w:val="ListBullet"/>
      </w:pPr>
      <w:r>
        <w:rPr>
          <w:rFonts w:ascii="Calibri" w:hAnsi="Calibri" w:eastAsia="Calibri"/>
          <w:b w:val="0"/>
          <w:i w:val="0"/>
          <w:sz w:val="22"/>
        </w:rPr>
        <w:t>3. Périmètre et hors périmètre</w:t>
      </w:r>
    </w:p>
    <w:p>
      <w:pPr>
        <w:pStyle w:val="ListBullet"/>
      </w:pPr>
      <w:r>
        <w:rPr>
          <w:rFonts w:ascii="Calibri" w:hAnsi="Calibri" w:eastAsia="Calibri"/>
          <w:b w:val="0"/>
          <w:i w:val="0"/>
          <w:sz w:val="22"/>
        </w:rPr>
        <w:t>4. Acteurs et rôles</w:t>
      </w:r>
    </w:p>
    <w:p>
      <w:pPr>
        <w:pStyle w:val="ListBullet"/>
      </w:pPr>
      <w:r>
        <w:rPr>
          <w:rFonts w:ascii="Calibri" w:hAnsi="Calibri" w:eastAsia="Calibri"/>
          <w:b w:val="0"/>
          <w:i w:val="0"/>
          <w:sz w:val="22"/>
        </w:rPr>
        <w:t>5. Architecture fonctionnelle</w:t>
      </w:r>
    </w:p>
    <w:p>
      <w:pPr>
        <w:pStyle w:val="ListBullet"/>
      </w:pPr>
      <w:r>
        <w:rPr>
          <w:rFonts w:ascii="Calibri" w:hAnsi="Calibri" w:eastAsia="Calibri"/>
          <w:b w:val="0"/>
          <w:i w:val="0"/>
          <w:sz w:val="22"/>
        </w:rPr>
        <w:t>6. Exigences fonctionnelles</w:t>
      </w:r>
    </w:p>
    <w:p>
      <w:pPr>
        <w:pStyle w:val="ListBullet"/>
      </w:pPr>
      <w:r>
        <w:rPr>
          <w:rFonts w:ascii="Calibri" w:hAnsi="Calibri" w:eastAsia="Calibri"/>
          <w:b w:val="0"/>
          <w:i w:val="0"/>
          <w:sz w:val="22"/>
        </w:rPr>
        <w:t>7. Exigences non fonctionnelles</w:t>
      </w:r>
    </w:p>
    <w:p>
      <w:pPr>
        <w:pStyle w:val="ListBullet"/>
      </w:pPr>
      <w:r>
        <w:rPr>
          <w:rFonts w:ascii="Calibri" w:hAnsi="Calibri" w:eastAsia="Calibri"/>
          <w:b w:val="0"/>
          <w:i w:val="0"/>
          <w:sz w:val="22"/>
        </w:rPr>
        <w:t>8. Modélisation UML</w:t>
      </w:r>
    </w:p>
    <w:p>
      <w:pPr>
        <w:pStyle w:val="ListBullet"/>
      </w:pPr>
      <w:r>
        <w:rPr>
          <w:rFonts w:ascii="Calibri" w:hAnsi="Calibri" w:eastAsia="Calibri"/>
          <w:b w:val="0"/>
          <w:i w:val="0"/>
          <w:sz w:val="22"/>
        </w:rPr>
        <w:t>9. Architecture technique et outils de réalisation</w:t>
      </w:r>
    </w:p>
    <w:p>
      <w:pPr>
        <w:pStyle w:val="ListBullet"/>
      </w:pPr>
      <w:r>
        <w:rPr>
          <w:rFonts w:ascii="Calibri" w:hAnsi="Calibri" w:eastAsia="Calibri"/>
          <w:b w:val="0"/>
          <w:i w:val="0"/>
          <w:sz w:val="22"/>
        </w:rPr>
        <w:t>10. Base de données</w:t>
      </w:r>
    </w:p>
    <w:p>
      <w:pPr>
        <w:pStyle w:val="ListBullet"/>
      </w:pPr>
      <w:r>
        <w:rPr>
          <w:rFonts w:ascii="Calibri" w:hAnsi="Calibri" w:eastAsia="Calibri"/>
          <w:b w:val="0"/>
          <w:i w:val="0"/>
          <w:sz w:val="22"/>
        </w:rPr>
        <w:t>11. Interfaces, documents et exports</w:t>
      </w:r>
    </w:p>
    <w:p>
      <w:pPr>
        <w:pStyle w:val="ListBullet"/>
      </w:pPr>
      <w:r>
        <w:rPr>
          <w:rFonts w:ascii="Calibri" w:hAnsi="Calibri" w:eastAsia="Calibri"/>
          <w:b w:val="0"/>
          <w:i w:val="0"/>
          <w:sz w:val="22"/>
        </w:rPr>
        <w:t>12. Critères d’acceptation et recette</w:t>
      </w:r>
    </w:p>
    <w:p>
      <w:pPr>
        <w:pStyle w:val="ListBullet"/>
      </w:pPr>
      <w:r>
        <w:rPr>
          <w:rFonts w:ascii="Calibri" w:hAnsi="Calibri" w:eastAsia="Calibri"/>
          <w:b w:val="0"/>
          <w:i w:val="0"/>
          <w:sz w:val="22"/>
        </w:rPr>
        <w:t>13. Glossaire</w:t>
      </w:r>
    </w:p>
    <w:p>
      <w:pPr>
        <w:pStyle w:val="ListBullet"/>
      </w:pPr>
      <w:r>
        <w:rPr>
          <w:rFonts w:ascii="Calibri" w:hAnsi="Calibri" w:eastAsia="Calibri"/>
          <w:b w:val="0"/>
          <w:i w:val="0"/>
          <w:sz w:val="22"/>
        </w:rPr>
        <w:t>14. Annexes</w:t>
      </w:r>
    </w:p>
    <w:p>
      <w:r>
        <w:br w:type="page"/>
      </w:r>
    </w:p>
    <w:p>
      <w:pPr>
        <w:pStyle w:val="Heading1"/>
      </w:pPr>
      <w:r>
        <w:t>1. Présentation du projet</w:t>
      </w:r>
    </w:p>
    <w:p>
      <w:pPr>
        <w:pStyle w:val="Heading2"/>
      </w:pPr>
      <w:r>
        <w:t>1.1 Contexte</w:t>
      </w:r>
    </w:p>
    <w:p>
      <w:pPr>
        <w:spacing w:after="160" w:line="240" w:lineRule="auto"/>
      </w:pPr>
      <w:r>
        <w:rPr>
          <w:rFonts w:ascii="Calibri" w:hAnsi="Calibri" w:eastAsia="Calibri"/>
          <w:b w:val="0"/>
          <w:i w:val="0"/>
          <w:sz w:val="22"/>
        </w:rPr>
        <w:t>UniPath est une plateforme numérique destinée à moderniser et centraliser deux processus majeurs de l’enseignement supérieur au Bénin : d’une part l’organisation des concours d’entrée dans les établissements publics (pilotés par la Direction des Examens et Concours — DEC), d’autre part le parcours académique dans les établissements privés (pilotés par la Direction Générale de l’Enseignement Supérieur — DGES).</w:t>
      </w:r>
    </w:p>
    <w:p>
      <w:pPr>
        <w:spacing w:after="160" w:line="240" w:lineRule="auto"/>
      </w:pPr>
      <w:r>
        <w:rPr>
          <w:rFonts w:ascii="Calibri" w:hAnsi="Calibri" w:eastAsia="Calibri"/>
          <w:b w:val="0"/>
          <w:i w:val="0"/>
          <w:sz w:val="22"/>
        </w:rPr>
        <w:t>Historiquement, ces processus reposent sur des échanges fragmentés (dossiers papier, fichiers dispersés, validations manuelles). UniPath propose un espace unique où chaque acteur dispose d’un compte adapté à ses responsabilités, avec traçabilité des décisions, génération de documents officiels et suivi des candidatures.</w:t>
      </w:r>
    </w:p>
    <w:p>
      <w:pPr>
        <w:pStyle w:val="Heading2"/>
      </w:pPr>
      <w:r>
        <w:t>1.2 Vision produit</w:t>
      </w:r>
    </w:p>
    <w:p>
      <w:pPr>
        <w:spacing w:after="160" w:line="240" w:lineRule="auto"/>
      </w:pPr>
      <w:r>
        <w:rPr>
          <w:rFonts w:ascii="Calibri" w:hAnsi="Calibri" w:eastAsia="Calibri"/>
          <w:b w:val="0"/>
          <w:i w:val="0"/>
          <w:sz w:val="22"/>
        </w:rPr>
        <w:t>Un candidat / étudiant possède un compte unique. Il complète un dossier personnel, puis accède selon ses besoins au Module 1 (concours universitaires) et/ou au Module 2 (parcours académique en établissement privé). Les autorités (DEC, DGES, commissions, administrateurs d’établissement) pilotent leurs processus depuis des espaces dédiés.</w:t>
      </w:r>
    </w:p>
    <w:p>
      <w:pPr>
        <w:pStyle w:val="Heading2"/>
      </w:pPr>
      <w:r>
        <w:t>1.3 Bénéfices attendus</w:t>
      </w:r>
    </w:p>
    <w:p>
      <w:pPr>
        <w:pStyle w:val="ListBullet"/>
      </w:pPr>
      <w:r>
        <w:rPr>
          <w:rFonts w:ascii="Calibri" w:hAnsi="Calibri" w:eastAsia="Calibri"/>
          <w:b w:val="0"/>
          <w:i w:val="0"/>
          <w:sz w:val="22"/>
        </w:rPr>
        <w:t>Réduction des délais de traitement des dossiers et des erreurs de saisie</w:t>
      </w:r>
    </w:p>
    <w:p>
      <w:pPr>
        <w:pStyle w:val="ListBullet"/>
      </w:pPr>
      <w:r>
        <w:rPr>
          <w:rFonts w:ascii="Calibri" w:hAnsi="Calibri" w:eastAsia="Calibri"/>
          <w:b w:val="0"/>
          <w:i w:val="0"/>
          <w:sz w:val="22"/>
        </w:rPr>
        <w:t>Traçabilité des verdicts (examinateur, contrôleur) et des décisions post-composition</w:t>
      </w:r>
    </w:p>
    <w:p>
      <w:pPr>
        <w:pStyle w:val="ListBullet"/>
      </w:pPr>
      <w:r>
        <w:rPr>
          <w:rFonts w:ascii="Calibri" w:hAnsi="Calibri" w:eastAsia="Calibri"/>
          <w:b w:val="0"/>
          <w:i w:val="0"/>
          <w:sz w:val="22"/>
        </w:rPr>
        <w:t>Accès distant aux informations et documents (convocations, fiches, relevés)</w:t>
      </w:r>
    </w:p>
    <w:p>
      <w:pPr>
        <w:pStyle w:val="ListBullet"/>
      </w:pPr>
      <w:r>
        <w:rPr>
          <w:rFonts w:ascii="Calibri" w:hAnsi="Calibri" w:eastAsia="Calibri"/>
          <w:b w:val="0"/>
          <w:i w:val="0"/>
          <w:sz w:val="22"/>
        </w:rPr>
        <w:t>Pilotage par tableaux de bord et exports Excel / PDF</w:t>
      </w:r>
    </w:p>
    <w:p>
      <w:pPr>
        <w:pStyle w:val="ListBullet"/>
      </w:pPr>
      <w:r>
        <w:rPr>
          <w:rFonts w:ascii="Calibri" w:hAnsi="Calibri" w:eastAsia="Calibri"/>
          <w:b w:val="0"/>
          <w:i w:val="0"/>
          <w:sz w:val="22"/>
        </w:rPr>
        <w:t>Séparation claire des responsabilités par type de compte</w:t>
      </w:r>
    </w:p>
    <w:p>
      <w:pPr>
        <w:pStyle w:val="Heading1"/>
      </w:pPr>
      <w:r>
        <w:t>2. Objectifs</w:t>
      </w:r>
    </w:p>
    <w:p>
      <w:pPr>
        <w:pStyle w:val="Heading2"/>
      </w:pPr>
      <w:r>
        <w:t>2.1 Objectifs généraux</w:t>
      </w:r>
    </w:p>
    <w:p>
      <w:pPr>
        <w:pStyle w:val="ListBullet"/>
      </w:pPr>
      <w:r>
        <w:rPr>
          <w:rFonts w:ascii="Calibri" w:hAnsi="Calibri" w:eastAsia="Calibri"/>
          <w:b w:val="0"/>
          <w:i w:val="0"/>
          <w:sz w:val="22"/>
        </w:rPr>
        <w:t>Digitaliser le cycle complet d’un concours : ouverture, dépôt, étude, composition, résultats</w:t>
      </w:r>
    </w:p>
    <w:p>
      <w:pPr>
        <w:pStyle w:val="ListBullet"/>
      </w:pPr>
      <w:r>
        <w:rPr>
          <w:rFonts w:ascii="Calibri" w:hAnsi="Calibri" w:eastAsia="Calibri"/>
          <w:b w:val="0"/>
          <w:i w:val="0"/>
          <w:sz w:val="22"/>
        </w:rPr>
        <w:t>Digitaliser le parcours établissement privé : campagnes, candidatures, quittances, inscriptions, scolarité</w:t>
      </w:r>
    </w:p>
    <w:p>
      <w:pPr>
        <w:pStyle w:val="ListBullet"/>
      </w:pPr>
      <w:r>
        <w:rPr>
          <w:rFonts w:ascii="Calibri" w:hAnsi="Calibri" w:eastAsia="Calibri"/>
          <w:b w:val="0"/>
          <w:i w:val="0"/>
          <w:sz w:val="22"/>
        </w:rPr>
        <w:t>Garantir un contrôle d’accès strict selon le profil utilisateur</w:t>
      </w:r>
    </w:p>
    <w:p>
      <w:pPr>
        <w:pStyle w:val="ListBullet"/>
      </w:pPr>
      <w:r>
        <w:rPr>
          <w:rFonts w:ascii="Calibri" w:hAnsi="Calibri" w:eastAsia="Calibri"/>
          <w:b w:val="0"/>
          <w:i w:val="0"/>
          <w:sz w:val="22"/>
        </w:rPr>
        <w:t>Produire des documents PDF conformes aux besoins institutionnels</w:t>
      </w:r>
    </w:p>
    <w:p>
      <w:pPr>
        <w:pStyle w:val="Heading2"/>
      </w:pPr>
      <w:r>
        <w:t>2.2 Objectifs spécifiques (MVP)</w:t>
      </w:r>
    </w:p>
    <w:p>
      <w:pPr>
        <w:pStyle w:val="ListNumber"/>
      </w:pPr>
      <w:r>
        <w:rPr>
          <w:rFonts w:ascii="Calibri" w:hAnsi="Calibri" w:eastAsia="Calibri"/>
          <w:b w:val="0"/>
          <w:i w:val="0"/>
          <w:sz w:val="22"/>
        </w:rPr>
        <w:t>Authentification locale sécurisée (JWT) avec gestion des mots de passe temporaires et réinitialisations</w:t>
      </w:r>
    </w:p>
    <w:p>
      <w:pPr>
        <w:pStyle w:val="ListNumber"/>
      </w:pPr>
      <w:r>
        <w:rPr>
          <w:rFonts w:ascii="Calibri" w:hAnsi="Calibri" w:eastAsia="Calibri"/>
          <w:b w:val="0"/>
          <w:i w:val="0"/>
          <w:sz w:val="22"/>
        </w:rPr>
        <w:t>Gestion du dossier candidat (pièces d’identité et scolaires)</w:t>
      </w:r>
    </w:p>
    <w:p>
      <w:pPr>
        <w:pStyle w:val="ListNumber"/>
      </w:pPr>
      <w:r>
        <w:rPr>
          <w:rFonts w:ascii="Calibri" w:hAnsi="Calibri" w:eastAsia="Calibri"/>
          <w:b w:val="0"/>
          <w:i w:val="0"/>
          <w:sz w:val="22"/>
        </w:rPr>
        <w:t>Gestion des concours, centres de composition, communes, commissions</w:t>
      </w:r>
    </w:p>
    <w:p>
      <w:pPr>
        <w:pStyle w:val="ListNumber"/>
      </w:pPr>
      <w:r>
        <w:rPr>
          <w:rFonts w:ascii="Calibri" w:hAnsi="Calibri" w:eastAsia="Calibri"/>
          <w:b w:val="0"/>
          <w:i w:val="0"/>
          <w:sz w:val="22"/>
        </w:rPr>
        <w:t>Workflow d’étude des dossiers (verdicts, motifs, sous réserve, clôture)</w:t>
      </w:r>
    </w:p>
    <w:p>
      <w:pPr>
        <w:pStyle w:val="ListNumber"/>
      </w:pPr>
      <w:r>
        <w:rPr>
          <w:rFonts w:ascii="Calibri" w:hAnsi="Calibri" w:eastAsia="Calibri"/>
          <w:b w:val="0"/>
          <w:i w:val="0"/>
          <w:sz w:val="22"/>
        </w:rPr>
        <w:t>Attribution des numéros de table et génération des convocations</w:t>
      </w:r>
    </w:p>
    <w:p>
      <w:pPr>
        <w:pStyle w:val="ListNumber"/>
      </w:pPr>
      <w:r>
        <w:rPr>
          <w:rFonts w:ascii="Calibri" w:hAnsi="Calibri" w:eastAsia="Calibri"/>
          <w:b w:val="0"/>
          <w:i w:val="0"/>
          <w:sz w:val="22"/>
        </w:rPr>
        <w:t>Import des admis et publication des résultats de composition</w:t>
      </w:r>
    </w:p>
    <w:p>
      <w:pPr>
        <w:pStyle w:val="ListNumber"/>
      </w:pPr>
      <w:r>
        <w:rPr>
          <w:rFonts w:ascii="Calibri" w:hAnsi="Calibri" w:eastAsia="Calibri"/>
          <w:b w:val="0"/>
          <w:i w:val="0"/>
          <w:sz w:val="22"/>
        </w:rPr>
        <w:t>Gestion DGES des établissements, années académiques et filières</w:t>
      </w:r>
    </w:p>
    <w:p>
      <w:pPr>
        <w:pStyle w:val="ListNumber"/>
      </w:pPr>
      <w:r>
        <w:rPr>
          <w:rFonts w:ascii="Calibri" w:hAnsi="Calibri" w:eastAsia="Calibri"/>
          <w:b w:val="0"/>
          <w:i w:val="0"/>
          <w:sz w:val="22"/>
        </w:rPr>
        <w:t>Campagnes d’inscription côté établissements et traitement des candidatures</w:t>
      </w:r>
    </w:p>
    <w:p>
      <w:pPr>
        <w:pStyle w:val="ListNumber"/>
      </w:pPr>
      <w:r>
        <w:rPr>
          <w:rFonts w:ascii="Calibri" w:hAnsi="Calibri" w:eastAsia="Calibri"/>
          <w:b w:val="0"/>
          <w:i w:val="0"/>
          <w:sz w:val="22"/>
        </w:rPr>
        <w:t>Exports statistiques et listes (Excel, PDF)</w:t>
      </w:r>
    </w:p>
    <w:p>
      <w:pPr>
        <w:pStyle w:val="ListNumber"/>
      </w:pPr>
      <w:r>
        <w:rPr>
          <w:rFonts w:ascii="Calibri" w:hAnsi="Calibri" w:eastAsia="Calibri"/>
          <w:b w:val="0"/>
          <w:i w:val="0"/>
          <w:sz w:val="22"/>
        </w:rPr>
        <w:t>Guide d’utilisation adapté au type de compte</w:t>
      </w:r>
    </w:p>
    <w:p>
      <w:pPr>
        <w:pStyle w:val="Heading1"/>
      </w:pPr>
      <w:r>
        <w:t>3. Périmètre et hors périmètre</w:t>
      </w:r>
    </w:p>
    <w:p>
      <w:pPr>
        <w:pStyle w:val="Heading2"/>
      </w:pPr>
      <w:r>
        <w:t>3.1 Dans le périmètre MVP</w:t>
      </w:r>
    </w:p>
    <w:p>
      <w:pPr>
        <w:pStyle w:val="ListBullet"/>
      </w:pPr>
      <w:r>
        <w:rPr>
          <w:rFonts w:ascii="Calibri" w:hAnsi="Calibri" w:eastAsia="Calibri"/>
          <w:b w:val="0"/>
          <w:i w:val="0"/>
          <w:sz w:val="22"/>
        </w:rPr>
        <w:t>Module 1 — Concours universitaires (DEC + Commission + Candidat)</w:t>
      </w:r>
    </w:p>
    <w:p>
      <w:pPr>
        <w:pStyle w:val="ListBullet"/>
      </w:pPr>
      <w:r>
        <w:rPr>
          <w:rFonts w:ascii="Calibri" w:hAnsi="Calibri" w:eastAsia="Calibri"/>
          <w:b w:val="0"/>
          <w:i w:val="0"/>
          <w:sz w:val="22"/>
        </w:rPr>
        <w:t>Module 2 — Parcours académique établissements privés (DGES + Admin établissement + Candidat)</w:t>
      </w:r>
    </w:p>
    <w:p>
      <w:pPr>
        <w:pStyle w:val="ListBullet"/>
      </w:pPr>
      <w:r>
        <w:rPr>
          <w:rFonts w:ascii="Calibri" w:hAnsi="Calibri" w:eastAsia="Calibri"/>
          <w:b w:val="0"/>
          <w:i w:val="0"/>
          <w:sz w:val="22"/>
        </w:rPr>
        <w:t>API REST, interface web responsive, base MySQL, génération PDF, envoi d’e-mails</w:t>
      </w:r>
    </w:p>
    <w:p>
      <w:pPr>
        <w:pStyle w:val="ListBullet"/>
      </w:pPr>
      <w:r>
        <w:rPr>
          <w:rFonts w:ascii="Calibri" w:hAnsi="Calibri" w:eastAsia="Calibri"/>
          <w:b w:val="0"/>
          <w:i w:val="0"/>
          <w:sz w:val="22"/>
        </w:rPr>
        <w:t>Référentiels : communes du Bénin, centres, filières de référence, années académiques</w:t>
      </w:r>
    </w:p>
    <w:p>
      <w:pPr>
        <w:pStyle w:val="Heading2"/>
      </w:pPr>
      <w:r>
        <w:t>3.2 Hors périmètre (non couvert ou partiel)</w:t>
      </w:r>
    </w:p>
    <w:p>
      <w:pPr>
        <w:pStyle w:val="ListBullet"/>
      </w:pPr>
      <w:r>
        <w:rPr>
          <w:rFonts w:ascii="Calibri" w:hAnsi="Calibri" w:eastAsia="Calibri"/>
          <w:b w:val="0"/>
          <w:i w:val="0"/>
          <w:sz w:val="22"/>
        </w:rPr>
        <w:t>Paiement en ligne réel (les quittances sont gérées comme pièces justificatives / validation manuelle)</w:t>
      </w:r>
    </w:p>
    <w:p>
      <w:pPr>
        <w:pStyle w:val="ListBullet"/>
      </w:pPr>
      <w:r>
        <w:rPr>
          <w:rFonts w:ascii="Calibri" w:hAnsi="Calibri" w:eastAsia="Calibri"/>
          <w:b w:val="0"/>
          <w:i w:val="0"/>
          <w:sz w:val="22"/>
        </w:rPr>
        <w:t>Application mobile native</w:t>
      </w:r>
    </w:p>
    <w:p>
      <w:pPr>
        <w:pStyle w:val="ListBullet"/>
      </w:pPr>
      <w:r>
        <w:rPr>
          <w:rFonts w:ascii="Calibri" w:hAnsi="Calibri" w:eastAsia="Calibri"/>
          <w:b w:val="0"/>
          <w:i w:val="0"/>
          <w:sz w:val="22"/>
        </w:rPr>
        <w:t>Interopérabilité complète avec d’autres systèmes nationaux (ANIP, etc.) au-delà des champs saisis</w:t>
      </w:r>
    </w:p>
    <w:p>
      <w:pPr>
        <w:pStyle w:val="ListBullet"/>
      </w:pPr>
      <w:r>
        <w:rPr>
          <w:rFonts w:ascii="Calibri" w:hAnsi="Calibri" w:eastAsia="Calibri"/>
          <w:b w:val="0"/>
          <w:i w:val="0"/>
          <w:sz w:val="22"/>
        </w:rPr>
        <w:t>Intelligence artificielle de scoring des dossiers</w:t>
      </w:r>
    </w:p>
    <w:p>
      <w:pPr>
        <w:pStyle w:val="ListBullet"/>
      </w:pPr>
      <w:r>
        <w:rPr>
          <w:rFonts w:ascii="Calibri" w:hAnsi="Calibri" w:eastAsia="Calibri"/>
          <w:b w:val="0"/>
          <w:i w:val="0"/>
          <w:sz w:val="22"/>
        </w:rPr>
        <w:t>Hébergement cloud production institutionnel figé (dépend de l’environnement de déploiement choisi)</w:t>
      </w:r>
    </w:p>
    <w:p>
      <w:pPr>
        <w:pStyle w:val="Heading1"/>
      </w:pPr>
      <w:r>
        <w:t>4. Acteurs et rôles</w:t>
      </w:r>
    </w:p>
    <w:p>
      <w:pPr>
        <w:spacing w:after="160" w:line="240" w:lineRule="auto"/>
      </w:pPr>
      <w:r>
        <w:rPr>
          <w:rFonts w:ascii="Calibri" w:hAnsi="Calibri" w:eastAsia="Calibri"/>
          <w:b w:val="0"/>
          <w:i w:val="0"/>
          <w:sz w:val="22"/>
        </w:rPr>
        <w:t>Chaque utilisateur se connecte avec un compte lié à un profil. L’interface et les droits sont adaptés automatiquement.</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i w:val="0"/>
                <w:sz w:val="20"/>
              </w:rPr>
              <w:t>Acteur</w:t>
            </w:r>
          </w:p>
        </w:tc>
        <w:tc>
          <w:tcPr>
            <w:tcW w:type="dxa" w:w="3249"/>
          </w:tcPr>
          <w:p>
            <w:r>
              <w:rPr>
                <w:rFonts w:ascii="Calibri" w:hAnsi="Calibri" w:eastAsia="Calibri"/>
                <w:b/>
                <w:i w:val="0"/>
                <w:sz w:val="20"/>
              </w:rPr>
              <w:t>Responsabilités principales</w:t>
            </w:r>
          </w:p>
        </w:tc>
        <w:tc>
          <w:tcPr>
            <w:tcW w:type="dxa" w:w="3249"/>
          </w:tcPr>
          <w:p>
            <w:r>
              <w:rPr>
                <w:rFonts w:ascii="Calibri" w:hAnsi="Calibri" w:eastAsia="Calibri"/>
                <w:b/>
                <w:i w:val="0"/>
                <w:sz w:val="20"/>
              </w:rPr>
              <w:t>Espace</w:t>
            </w:r>
          </w:p>
        </w:tc>
      </w:tr>
      <w:tr>
        <w:tc>
          <w:tcPr>
            <w:tcW w:type="dxa" w:w="3249"/>
          </w:tcPr>
          <w:p>
            <w:r>
              <w:rPr>
                <w:rFonts w:ascii="Calibri" w:hAnsi="Calibri" w:eastAsia="Calibri"/>
                <w:b w:val="0"/>
                <w:i w:val="0"/>
                <w:sz w:val="18"/>
              </w:rPr>
              <w:t>Candidat / Étudiant</w:t>
            </w:r>
          </w:p>
        </w:tc>
        <w:tc>
          <w:tcPr>
            <w:tcW w:type="dxa" w:w="3249"/>
          </w:tcPr>
          <w:p>
            <w:r>
              <w:rPr>
                <w:rFonts w:ascii="Calibri" w:hAnsi="Calibri" w:eastAsia="Calibri"/>
                <w:b w:val="0"/>
                <w:i w:val="0"/>
                <w:sz w:val="18"/>
              </w:rPr>
              <w:t>Dossier personnel, inscription aux concours, candidatures établissements, consultation résultats et documents</w:t>
            </w:r>
          </w:p>
        </w:tc>
        <w:tc>
          <w:tcPr>
            <w:tcW w:type="dxa" w:w="3249"/>
          </w:tcPr>
          <w:p>
            <w:r>
              <w:rPr>
                <w:rFonts w:ascii="Calibri" w:hAnsi="Calibri" w:eastAsia="Calibri"/>
                <w:b w:val="0"/>
                <w:i w:val="0"/>
                <w:sz w:val="18"/>
              </w:rPr>
              <w:t>Hub + Module 1 + Module 2</w:t>
            </w:r>
          </w:p>
        </w:tc>
      </w:tr>
      <w:tr>
        <w:tc>
          <w:tcPr>
            <w:tcW w:type="dxa" w:w="3249"/>
          </w:tcPr>
          <w:p>
            <w:r>
              <w:rPr>
                <w:rFonts w:ascii="Calibri" w:hAnsi="Calibri" w:eastAsia="Calibri"/>
                <w:b w:val="0"/>
                <w:i w:val="0"/>
                <w:sz w:val="18"/>
              </w:rPr>
              <w:t>DEC</w:t>
            </w:r>
          </w:p>
        </w:tc>
        <w:tc>
          <w:tcPr>
            <w:tcW w:type="dxa" w:w="3249"/>
          </w:tcPr>
          <w:p>
            <w:r>
              <w:rPr>
                <w:rFonts w:ascii="Calibri" w:hAnsi="Calibri" w:eastAsia="Calibri"/>
                <w:b w:val="0"/>
                <w:i w:val="0"/>
                <w:sz w:val="18"/>
              </w:rPr>
              <w:t>Paramétrage Module 1, concours, centres, commissions, post-étude, résultats, statistiques</w:t>
            </w:r>
          </w:p>
        </w:tc>
        <w:tc>
          <w:tcPr>
            <w:tcW w:type="dxa" w:w="3249"/>
          </w:tcPr>
          <w:p>
            <w:r>
              <w:rPr>
                <w:rFonts w:ascii="Calibri" w:hAnsi="Calibri" w:eastAsia="Calibri"/>
                <w:b w:val="0"/>
                <w:i w:val="0"/>
                <w:sz w:val="18"/>
              </w:rPr>
              <w:t>Espace DEC</w:t>
            </w:r>
          </w:p>
        </w:tc>
      </w:tr>
      <w:tr>
        <w:tc>
          <w:tcPr>
            <w:tcW w:type="dxa" w:w="3249"/>
          </w:tcPr>
          <w:p>
            <w:r>
              <w:rPr>
                <w:rFonts w:ascii="Calibri" w:hAnsi="Calibri" w:eastAsia="Calibri"/>
                <w:b w:val="0"/>
                <w:i w:val="0"/>
                <w:sz w:val="18"/>
              </w:rPr>
              <w:t>Commission — Examinateur</w:t>
            </w:r>
          </w:p>
        </w:tc>
        <w:tc>
          <w:tcPr>
            <w:tcW w:type="dxa" w:w="3249"/>
          </w:tcPr>
          <w:p>
            <w:r>
              <w:rPr>
                <w:rFonts w:ascii="Calibri" w:hAnsi="Calibri" w:eastAsia="Calibri"/>
                <w:b w:val="0"/>
                <w:i w:val="0"/>
                <w:sz w:val="18"/>
              </w:rPr>
              <w:t>Étude des dossiers affectés, premier / second verdict, motifs</w:t>
            </w:r>
          </w:p>
        </w:tc>
        <w:tc>
          <w:tcPr>
            <w:tcW w:type="dxa" w:w="3249"/>
          </w:tcPr>
          <w:p>
            <w:r>
              <w:rPr>
                <w:rFonts w:ascii="Calibri" w:hAnsi="Calibri" w:eastAsia="Calibri"/>
                <w:b w:val="0"/>
                <w:i w:val="0"/>
                <w:sz w:val="18"/>
              </w:rPr>
              <w:t>Espace Commission</w:t>
            </w:r>
          </w:p>
        </w:tc>
      </w:tr>
      <w:tr>
        <w:tc>
          <w:tcPr>
            <w:tcW w:type="dxa" w:w="3249"/>
          </w:tcPr>
          <w:p>
            <w:r>
              <w:rPr>
                <w:rFonts w:ascii="Calibri" w:hAnsi="Calibri" w:eastAsia="Calibri"/>
                <w:b w:val="0"/>
                <w:i w:val="0"/>
                <w:sz w:val="18"/>
              </w:rPr>
              <w:t>Commission — Contrôleur</w:t>
            </w:r>
          </w:p>
        </w:tc>
        <w:tc>
          <w:tcPr>
            <w:tcW w:type="dxa" w:w="3249"/>
          </w:tcPr>
          <w:p>
            <w:r>
              <w:rPr>
                <w:rFonts w:ascii="Calibri" w:hAnsi="Calibri" w:eastAsia="Calibri"/>
                <w:b w:val="0"/>
                <w:i w:val="0"/>
                <w:sz w:val="18"/>
              </w:rPr>
              <w:t>Contrôle / arbitrage des dossiers, décision de contrôle</w:t>
            </w:r>
          </w:p>
        </w:tc>
        <w:tc>
          <w:tcPr>
            <w:tcW w:type="dxa" w:w="3249"/>
          </w:tcPr>
          <w:p>
            <w:r>
              <w:rPr>
                <w:rFonts w:ascii="Calibri" w:hAnsi="Calibri" w:eastAsia="Calibri"/>
                <w:b w:val="0"/>
                <w:i w:val="0"/>
                <w:sz w:val="18"/>
              </w:rPr>
              <w:t>Espace Commission</w:t>
            </w:r>
          </w:p>
        </w:tc>
      </w:tr>
      <w:tr>
        <w:tc>
          <w:tcPr>
            <w:tcW w:type="dxa" w:w="3249"/>
          </w:tcPr>
          <w:p>
            <w:r>
              <w:rPr>
                <w:rFonts w:ascii="Calibri" w:hAnsi="Calibri" w:eastAsia="Calibri"/>
                <w:b w:val="0"/>
                <w:i w:val="0"/>
                <w:sz w:val="18"/>
              </w:rPr>
              <w:t>DGES</w:t>
            </w:r>
          </w:p>
        </w:tc>
        <w:tc>
          <w:tcPr>
            <w:tcW w:type="dxa" w:w="3249"/>
          </w:tcPr>
          <w:p>
            <w:r>
              <w:rPr>
                <w:rFonts w:ascii="Calibri" w:hAnsi="Calibri" w:eastAsia="Calibri"/>
                <w:b w:val="0"/>
                <w:i w:val="0"/>
                <w:sz w:val="18"/>
              </w:rPr>
              <w:t>Établissements, admins établissement, années académiques Module 2, filières, demandes d’ajout</w:t>
            </w:r>
          </w:p>
        </w:tc>
        <w:tc>
          <w:tcPr>
            <w:tcW w:type="dxa" w:w="3249"/>
          </w:tcPr>
          <w:p>
            <w:r>
              <w:rPr>
                <w:rFonts w:ascii="Calibri" w:hAnsi="Calibri" w:eastAsia="Calibri"/>
                <w:b w:val="0"/>
                <w:i w:val="0"/>
                <w:sz w:val="18"/>
              </w:rPr>
              <w:t>Espace DGES</w:t>
            </w:r>
          </w:p>
        </w:tc>
      </w:tr>
      <w:tr>
        <w:tc>
          <w:tcPr>
            <w:tcW w:type="dxa" w:w="3249"/>
          </w:tcPr>
          <w:p>
            <w:r>
              <w:rPr>
                <w:rFonts w:ascii="Calibri" w:hAnsi="Calibri" w:eastAsia="Calibri"/>
                <w:b w:val="0"/>
                <w:i w:val="0"/>
                <w:sz w:val="18"/>
              </w:rPr>
              <w:t>Admin établissement</w:t>
            </w:r>
          </w:p>
        </w:tc>
        <w:tc>
          <w:tcPr>
            <w:tcW w:type="dxa" w:w="3249"/>
          </w:tcPr>
          <w:p>
            <w:r>
              <w:rPr>
                <w:rFonts w:ascii="Calibri" w:hAnsi="Calibri" w:eastAsia="Calibri"/>
                <w:b w:val="0"/>
                <w:i w:val="0"/>
                <w:sz w:val="18"/>
              </w:rPr>
              <w:t>Campagnes, candidatures, validation quittances, scolarité / inscriptions académiques</w:t>
            </w:r>
          </w:p>
        </w:tc>
        <w:tc>
          <w:tcPr>
            <w:tcW w:type="dxa" w:w="3249"/>
          </w:tcPr>
          <w:p>
            <w:r>
              <w:rPr>
                <w:rFonts w:ascii="Calibri" w:hAnsi="Calibri" w:eastAsia="Calibri"/>
                <w:b w:val="0"/>
                <w:i w:val="0"/>
                <w:sz w:val="18"/>
              </w:rPr>
              <w:t>Espace établissement</w:t>
            </w:r>
          </w:p>
        </w:tc>
      </w:tr>
    </w:tbl>
    <w:p/>
    <w:p>
      <w:pPr>
        <w:pStyle w:val="Heading2"/>
      </w:pPr>
      <w:r>
        <w:t>4.1 Matrice des droits (synthèse)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rFonts w:ascii="Calibri" w:hAnsi="Calibri" w:eastAsia="Calibri"/>
                <w:b/>
                <w:i w:val="0"/>
                <w:sz w:val="20"/>
              </w:rPr>
              <w:t>Fonctionnalité</w:t>
            </w:r>
          </w:p>
        </w:tc>
        <w:tc>
          <w:tcPr>
            <w:tcW w:type="dxa" w:w="1624"/>
          </w:tcPr>
          <w:p>
            <w:r>
              <w:rPr>
                <w:rFonts w:ascii="Calibri" w:hAnsi="Calibri" w:eastAsia="Calibri"/>
                <w:b/>
                <w:i w:val="0"/>
                <w:sz w:val="20"/>
              </w:rPr>
              <w:t>Candidat</w:t>
            </w:r>
          </w:p>
        </w:tc>
        <w:tc>
          <w:tcPr>
            <w:tcW w:type="dxa" w:w="1624"/>
          </w:tcPr>
          <w:p>
            <w:r>
              <w:rPr>
                <w:rFonts w:ascii="Calibri" w:hAnsi="Calibri" w:eastAsia="Calibri"/>
                <w:b/>
                <w:i w:val="0"/>
                <w:sz w:val="20"/>
              </w:rPr>
              <w:t>DEC</w:t>
            </w:r>
          </w:p>
        </w:tc>
        <w:tc>
          <w:tcPr>
            <w:tcW w:type="dxa" w:w="1624"/>
          </w:tcPr>
          <w:p>
            <w:r>
              <w:rPr>
                <w:rFonts w:ascii="Calibri" w:hAnsi="Calibri" w:eastAsia="Calibri"/>
                <w:b/>
                <w:i w:val="0"/>
                <w:sz w:val="20"/>
              </w:rPr>
              <w:t>Commission</w:t>
            </w:r>
          </w:p>
        </w:tc>
        <w:tc>
          <w:tcPr>
            <w:tcW w:type="dxa" w:w="1624"/>
          </w:tcPr>
          <w:p>
            <w:r>
              <w:rPr>
                <w:rFonts w:ascii="Calibri" w:hAnsi="Calibri" w:eastAsia="Calibri"/>
                <w:b/>
                <w:i w:val="0"/>
                <w:sz w:val="20"/>
              </w:rPr>
              <w:t>DGES</w:t>
            </w:r>
          </w:p>
        </w:tc>
        <w:tc>
          <w:tcPr>
            <w:tcW w:type="dxa" w:w="1624"/>
          </w:tcPr>
          <w:p>
            <w:r>
              <w:rPr>
                <w:rFonts w:ascii="Calibri" w:hAnsi="Calibri" w:eastAsia="Calibri"/>
                <w:b/>
                <w:i w:val="0"/>
                <w:sz w:val="20"/>
              </w:rPr>
              <w:t>Admin étab.</w:t>
            </w:r>
          </w:p>
        </w:tc>
      </w:tr>
      <w:tr>
        <w:tc>
          <w:tcPr>
            <w:tcW w:type="dxa" w:w="1624"/>
          </w:tcPr>
          <w:p>
            <w:r>
              <w:rPr>
                <w:rFonts w:ascii="Calibri" w:hAnsi="Calibri" w:eastAsia="Calibri"/>
                <w:b w:val="0"/>
                <w:i w:val="0"/>
                <w:sz w:val="18"/>
              </w:rPr>
              <w:t>Gérer son dossier personnel</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r>
      <w:tr>
        <w:tc>
          <w:tcPr>
            <w:tcW w:type="dxa" w:w="1624"/>
          </w:tcPr>
          <w:p>
            <w:r>
              <w:rPr>
                <w:rFonts w:ascii="Calibri" w:hAnsi="Calibri" w:eastAsia="Calibri"/>
                <w:b w:val="0"/>
                <w:i w:val="0"/>
                <w:sz w:val="18"/>
              </w:rPr>
              <w:t>Créer / publier un concours</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r>
      <w:tr>
        <w:tc>
          <w:tcPr>
            <w:tcW w:type="dxa" w:w="1624"/>
          </w:tcPr>
          <w:p>
            <w:r>
              <w:rPr>
                <w:rFonts w:ascii="Calibri" w:hAnsi="Calibri" w:eastAsia="Calibri"/>
                <w:b w:val="0"/>
                <w:i w:val="0"/>
                <w:sz w:val="18"/>
              </w:rPr>
              <w:t>Étudier un dossier concours</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Pilotage</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r>
      <w:tr>
        <w:tc>
          <w:tcPr>
            <w:tcW w:type="dxa" w:w="1624"/>
          </w:tcPr>
          <w:p>
            <w:r>
              <w:rPr>
                <w:rFonts w:ascii="Calibri" w:hAnsi="Calibri" w:eastAsia="Calibri"/>
                <w:b w:val="0"/>
                <w:i w:val="0"/>
                <w:sz w:val="18"/>
              </w:rPr>
              <w:t>Générer convocations / N° table</w:t>
            </w:r>
          </w:p>
        </w:tc>
        <w:tc>
          <w:tcPr>
            <w:tcW w:type="dxa" w:w="1624"/>
          </w:tcPr>
          <w:p>
            <w:r>
              <w:rPr>
                <w:rFonts w:ascii="Calibri" w:hAnsi="Calibri" w:eastAsia="Calibri"/>
                <w:b w:val="0"/>
                <w:i w:val="0"/>
                <w:sz w:val="18"/>
              </w:rPr>
              <w:t>Téléchargement</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r>
      <w:tr>
        <w:tc>
          <w:tcPr>
            <w:tcW w:type="dxa" w:w="1624"/>
          </w:tcPr>
          <w:p>
            <w:r>
              <w:rPr>
                <w:rFonts w:ascii="Calibri" w:hAnsi="Calibri" w:eastAsia="Calibri"/>
                <w:b w:val="0"/>
                <w:i w:val="0"/>
                <w:sz w:val="18"/>
              </w:rPr>
              <w:t>Importer les admis</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r>
      <w:tr>
        <w:tc>
          <w:tcPr>
            <w:tcW w:type="dxa" w:w="1624"/>
          </w:tcPr>
          <w:p>
            <w:r>
              <w:rPr>
                <w:rFonts w:ascii="Calibri" w:hAnsi="Calibri" w:eastAsia="Calibri"/>
                <w:b w:val="0"/>
                <w:i w:val="0"/>
                <w:sz w:val="18"/>
              </w:rPr>
              <w:t>Créer un établissement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w:t>
            </w:r>
          </w:p>
        </w:tc>
      </w:tr>
      <w:tr>
        <w:tc>
          <w:tcPr>
            <w:tcW w:type="dxa" w:w="1624"/>
          </w:tcPr>
          <w:p>
            <w:r>
              <w:rPr>
                <w:rFonts w:ascii="Calibri" w:hAnsi="Calibri" w:eastAsia="Calibri"/>
                <w:b w:val="0"/>
                <w:i w:val="0"/>
                <w:sz w:val="18"/>
              </w:rPr>
              <w:t>Créer une campagne</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Oui</w:t>
            </w:r>
          </w:p>
        </w:tc>
      </w:tr>
      <w:tr>
        <w:tc>
          <w:tcPr>
            <w:tcW w:type="dxa" w:w="1624"/>
          </w:tcPr>
          <w:p>
            <w:r>
              <w:rPr>
                <w:rFonts w:ascii="Calibri" w:hAnsi="Calibri" w:eastAsia="Calibri"/>
                <w:b w:val="0"/>
                <w:i w:val="0"/>
                <w:sz w:val="18"/>
              </w:rPr>
              <w:t>Valider une quittance</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w:t>
            </w:r>
          </w:p>
        </w:tc>
        <w:tc>
          <w:tcPr>
            <w:tcW w:type="dxa" w:w="1624"/>
          </w:tcPr>
          <w:p>
            <w:r>
              <w:rPr>
                <w:rFonts w:ascii="Calibri" w:hAnsi="Calibri" w:eastAsia="Calibri"/>
                <w:b w:val="0"/>
                <w:i w:val="0"/>
                <w:sz w:val="18"/>
              </w:rPr>
              <w:t>Oui</w:t>
            </w:r>
          </w:p>
        </w:tc>
      </w:tr>
      <w:tr>
        <w:tc>
          <w:tcPr>
            <w:tcW w:type="dxa" w:w="1624"/>
          </w:tcPr>
          <w:p>
            <w:r>
              <w:rPr>
                <w:rFonts w:ascii="Calibri" w:hAnsi="Calibri" w:eastAsia="Calibri"/>
                <w:b w:val="0"/>
                <w:i w:val="0"/>
                <w:sz w:val="18"/>
              </w:rPr>
              <w:t>Consulter guide d’utilisation</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Oui</w:t>
            </w:r>
          </w:p>
        </w:tc>
        <w:tc>
          <w:tcPr>
            <w:tcW w:type="dxa" w:w="1624"/>
          </w:tcPr>
          <w:p>
            <w:r>
              <w:rPr>
                <w:rFonts w:ascii="Calibri" w:hAnsi="Calibri" w:eastAsia="Calibri"/>
                <w:b w:val="0"/>
                <w:i w:val="0"/>
                <w:sz w:val="18"/>
              </w:rPr>
              <w:t>Oui</w:t>
            </w:r>
          </w:p>
        </w:tc>
      </w:tr>
    </w:tbl>
    <w:p/>
    <w:p>
      <w:pPr>
        <w:pStyle w:val="Heading1"/>
      </w:pPr>
      <w:r>
        <w:t>5. Architecture fonctionnelle</w:t>
      </w:r>
    </w:p>
    <w:p>
      <w:pPr>
        <w:pStyle w:val="Heading2"/>
      </w:pPr>
      <w:r>
        <w:t>5.1 Vue d’ensemble</w:t>
      </w:r>
    </w:p>
    <w:p>
      <w:pPr>
        <w:spacing w:after="160" w:line="240" w:lineRule="auto"/>
      </w:pPr>
      <w:r>
        <w:rPr>
          <w:rFonts w:ascii="Calibri" w:hAnsi="Calibri" w:eastAsia="Calibri"/>
          <w:b w:val="0"/>
          <w:i w:val="0"/>
          <w:sz w:val="22"/>
        </w:rPr>
        <w:t>UniPath s’organise autour d’un compte unique et de deux modules métier indépendants mais partageant le référentiel candidat / dossier.</w:t>
      </w:r>
    </w:p>
    <w:p>
      <w:pPr>
        <w:spacing w:before="120" w:after="200"/>
      </w:pPr>
      <w:r>
        <w:rPr>
          <w:rFonts w:ascii="Consolas" w:hAnsi="Consolas" w:eastAsia="Consolas"/>
          <w:sz w:val="16"/>
        </w:rPr>
        <w:t>┌─────────────────────────────────────────────────────────────┐</w:t>
        <w:br/>
        <w:t>│                     COMPTE UTILISATEUR                      │</w:t>
        <w:br/>
        <w:t>│         (authentification JWT + profil métier)              │</w:t>
        <w:br/>
        <w:t>└───────────────────────────┬─────────────────────────────────┘</w:t>
        <w:br/>
        <w:t xml:space="preserve">                            │</w:t>
        <w:br/>
        <w:t xml:space="preserve">         ┌──────────────────┴──────────────────┐</w:t>
        <w:br/>
        <w:t xml:space="preserve">         ▼                                     ▼</w:t>
        <w:br/>
        <w:t>┌─────────────────────┐             ┌─────────────────────┐</w:t>
        <w:br/>
        <w:t>│  MODULE 1 — DEC     │             │  MODULE 2 — DGES    │</w:t>
        <w:br/>
        <w:t>│  Concours univ.     │             │  Parcours privé     │</w:t>
        <w:br/>
        <w:t>│  Centres, étude,    │             │  Établissements,    │</w:t>
        <w:br/>
        <w:t>│  convocations,      │             │  campagnes,         │</w:t>
        <w:br/>
        <w:t>│  résultats          │             │  scolarité          │</w:t>
        <w:br/>
        <w:t>└─────────────────────┘             └─────────────────────┘</w:t>
      </w:r>
    </w:p>
    <w:p>
      <w:pPr>
        <w:pStyle w:val="Heading2"/>
      </w:pPr>
      <w:r>
        <w:t>5.2 Module 1 — Concours universitaires</w:t>
      </w:r>
    </w:p>
    <w:p>
      <w:pPr>
        <w:pStyle w:val="ListNumber"/>
      </w:pPr>
      <w:r>
        <w:rPr>
          <w:rFonts w:ascii="Calibri" w:hAnsi="Calibri" w:eastAsia="Calibri"/>
          <w:b w:val="0"/>
          <w:i w:val="0"/>
          <w:sz w:val="22"/>
        </w:rPr>
        <w:t>Paramétrage : année académique DEC, centres (commune), commissions, affectations</w:t>
      </w:r>
    </w:p>
    <w:p>
      <w:pPr>
        <w:pStyle w:val="ListNumber"/>
      </w:pPr>
      <w:r>
        <w:rPr>
          <w:rFonts w:ascii="Calibri" w:hAnsi="Calibri" w:eastAsia="Calibri"/>
          <w:b w:val="0"/>
          <w:i w:val="0"/>
          <w:sz w:val="22"/>
        </w:rPr>
        <w:t>Création du concours (dates dépôt / étude / composition, séries, places, centres liés)</w:t>
      </w:r>
    </w:p>
    <w:p>
      <w:pPr>
        <w:pStyle w:val="ListNumber"/>
      </w:pPr>
      <w:r>
        <w:rPr>
          <w:rFonts w:ascii="Calibri" w:hAnsi="Calibri" w:eastAsia="Calibri"/>
          <w:b w:val="0"/>
          <w:i w:val="0"/>
          <w:sz w:val="22"/>
        </w:rPr>
        <w:t>Inscription candidat + dépôt des pièces / quittance le cas échéant</w:t>
      </w:r>
    </w:p>
    <w:p>
      <w:pPr>
        <w:pStyle w:val="ListNumber"/>
      </w:pPr>
      <w:r>
        <w:rPr>
          <w:rFonts w:ascii="Calibri" w:hAnsi="Calibri" w:eastAsia="Calibri"/>
          <w:b w:val="0"/>
          <w:i w:val="0"/>
          <w:sz w:val="22"/>
        </w:rPr>
        <w:t>Étude des dossiers par la commission jusqu’à clôture</w:t>
      </w:r>
    </w:p>
    <w:p>
      <w:pPr>
        <w:pStyle w:val="ListNumber"/>
      </w:pPr>
      <w:r>
        <w:rPr>
          <w:rFonts w:ascii="Calibri" w:hAnsi="Calibri" w:eastAsia="Calibri"/>
          <w:b w:val="0"/>
          <w:i w:val="0"/>
          <w:sz w:val="22"/>
        </w:rPr>
        <w:t>Post-étude : numéros de table, convocations PDF</w:t>
      </w:r>
    </w:p>
    <w:p>
      <w:pPr>
        <w:pStyle w:val="ListNumber"/>
      </w:pPr>
      <w:r>
        <w:rPr>
          <w:rFonts w:ascii="Calibri" w:hAnsi="Calibri" w:eastAsia="Calibri"/>
          <w:b w:val="0"/>
          <w:i w:val="0"/>
          <w:sz w:val="22"/>
        </w:rPr>
        <w:t>Après composition : import CSV des admis, résultats ADMIS / REFUSÉ</w:t>
      </w:r>
    </w:p>
    <w:p>
      <w:pPr>
        <w:pStyle w:val="ListNumber"/>
      </w:pPr>
      <w:r>
        <w:rPr>
          <w:rFonts w:ascii="Calibri" w:hAnsi="Calibri" w:eastAsia="Calibri"/>
          <w:b w:val="0"/>
          <w:i w:val="0"/>
          <w:sz w:val="22"/>
        </w:rPr>
        <w:t>Tableaux de bord et exports</w:t>
      </w:r>
    </w:p>
    <w:p>
      <w:pPr>
        <w:pStyle w:val="Heading2"/>
      </w:pPr>
      <w:r>
        <w:t>5.3 Module 2 — Parcours académique</w:t>
      </w:r>
    </w:p>
    <w:p>
      <w:pPr>
        <w:pStyle w:val="ListNumber"/>
      </w:pPr>
      <w:r>
        <w:rPr>
          <w:rFonts w:ascii="Calibri" w:hAnsi="Calibri" w:eastAsia="Calibri"/>
          <w:b w:val="0"/>
          <w:i w:val="0"/>
          <w:sz w:val="22"/>
        </w:rPr>
        <w:t>DGES : création établissements et administrateurs, années en cours DGES, catalogue filières</w:t>
      </w:r>
    </w:p>
    <w:p>
      <w:pPr>
        <w:pStyle w:val="ListNumber"/>
      </w:pPr>
      <w:r>
        <w:rPr>
          <w:rFonts w:ascii="Calibri" w:hAnsi="Calibri" w:eastAsia="Calibri"/>
          <w:b w:val="0"/>
          <w:i w:val="0"/>
          <w:sz w:val="22"/>
        </w:rPr>
        <w:t>Admin : ouverture de campagnes (filières, pièces, périodes)</w:t>
      </w:r>
    </w:p>
    <w:p>
      <w:pPr>
        <w:pStyle w:val="ListNumber"/>
      </w:pPr>
      <w:r>
        <w:rPr>
          <w:rFonts w:ascii="Calibri" w:hAnsi="Calibri" w:eastAsia="Calibri"/>
          <w:b w:val="0"/>
          <w:i w:val="0"/>
          <w:sz w:val="22"/>
        </w:rPr>
        <w:t>Candidat : candidature / préinscription, dépôt quittance</w:t>
      </w:r>
    </w:p>
    <w:p>
      <w:pPr>
        <w:pStyle w:val="ListNumber"/>
      </w:pPr>
      <w:r>
        <w:rPr>
          <w:rFonts w:ascii="Calibri" w:hAnsi="Calibri" w:eastAsia="Calibri"/>
          <w:b w:val="0"/>
          <w:i w:val="0"/>
          <w:sz w:val="22"/>
        </w:rPr>
        <w:t>Admin : validation / rejet, confirmation inscription académique</w:t>
      </w:r>
    </w:p>
    <w:p>
      <w:pPr>
        <w:pStyle w:val="ListNumber"/>
      </w:pPr>
      <w:r>
        <w:rPr>
          <w:rFonts w:ascii="Calibri" w:hAnsi="Calibri" w:eastAsia="Calibri"/>
          <w:b w:val="0"/>
          <w:i w:val="0"/>
          <w:sz w:val="22"/>
        </w:rPr>
        <w:t>Documents PDF (fiches) et suivi scolarité (selon fonctionnalités livrées)</w:t>
      </w:r>
    </w:p>
    <w:p>
      <w:pPr>
        <w:pStyle w:val="Heading1"/>
      </w:pPr>
      <w:r>
        <w:t>6. Exigences fonctionnelles</w:t>
      </w:r>
    </w:p>
    <w:p>
      <w:pPr>
        <w:spacing w:after="200"/>
      </w:pPr>
      <w:r>
        <w:rPr>
          <w:rFonts w:ascii="Calibri" w:hAnsi="Calibri" w:eastAsia="Calibri"/>
          <w:b/>
          <w:i w:val="0"/>
          <w:color w:val="1D4ED8"/>
          <w:sz w:val="22"/>
        </w:rPr>
        <w:t xml:space="preserve">Note : </w:t>
      </w:r>
      <w:r>
        <w:rPr>
          <w:rFonts w:ascii="Calibri" w:hAnsi="Calibri" w:eastAsia="Calibri"/>
          <w:b w:val="0"/>
          <w:i w:val="0"/>
          <w:sz w:val="22"/>
        </w:rPr>
        <w:t>Les exigences sont formulées de manière à servir de base de recette. Le préfixe EF désigne une exigence fonctionnelle.</w:t>
      </w:r>
    </w:p>
    <w:p>
      <w:pPr>
        <w:pStyle w:val="Heading2"/>
      </w:pPr>
      <w:r>
        <w:t>6.1 Authentification et comptes</w:t>
      </w:r>
    </w:p>
    <w:p>
      <w:pPr>
        <w:pStyle w:val="ListBullet"/>
      </w:pPr>
      <w:r>
        <w:rPr>
          <w:rFonts w:ascii="Calibri" w:hAnsi="Calibri" w:eastAsia="Calibri"/>
          <w:b w:val="0"/>
          <w:i w:val="0"/>
          <w:sz w:val="22"/>
        </w:rPr>
        <w:t>EF-AUTH-01 : L’utilisateur s’authentifie par e-mail et mot de passe.</w:t>
      </w:r>
    </w:p>
    <w:p>
      <w:pPr>
        <w:pStyle w:val="ListBullet"/>
      </w:pPr>
      <w:r>
        <w:rPr>
          <w:rFonts w:ascii="Calibri" w:hAnsi="Calibri" w:eastAsia="Calibri"/>
          <w:b w:val="0"/>
          <w:i w:val="0"/>
          <w:sz w:val="22"/>
        </w:rPr>
        <w:t>EF-AUTH-02 : Les sessions sont basées sur un jeton JWT.</w:t>
      </w:r>
    </w:p>
    <w:p>
      <w:pPr>
        <w:pStyle w:val="ListBullet"/>
      </w:pPr>
      <w:r>
        <w:rPr>
          <w:rFonts w:ascii="Calibri" w:hAnsi="Calibri" w:eastAsia="Calibri"/>
          <w:b w:val="0"/>
          <w:i w:val="0"/>
          <w:sz w:val="22"/>
        </w:rPr>
        <w:t>EF-AUTH-03 : Un compte peut être forcé à changer son mot de passe à la première connexion (mot de passe temporaire).</w:t>
      </w:r>
    </w:p>
    <w:p>
      <w:pPr>
        <w:pStyle w:val="ListBullet"/>
      </w:pPr>
      <w:r>
        <w:rPr>
          <w:rFonts w:ascii="Calibri" w:hAnsi="Calibri" w:eastAsia="Calibri"/>
          <w:b w:val="0"/>
          <w:i w:val="0"/>
          <w:sz w:val="22"/>
        </w:rPr>
        <w:t>EF-AUTH-04 : Les demandes de réinitialisation suivent le circuit défini (ex. commission → DEC, admin établissement → DGES).</w:t>
      </w:r>
    </w:p>
    <w:p>
      <w:pPr>
        <w:pStyle w:val="ListBullet"/>
      </w:pPr>
      <w:r>
        <w:rPr>
          <w:rFonts w:ascii="Calibri" w:hAnsi="Calibri" w:eastAsia="Calibri"/>
          <w:b w:val="0"/>
          <w:i w:val="0"/>
          <w:sz w:val="22"/>
        </w:rPr>
        <w:t>EF-AUTH-05 : L’accès aux routes est restreint selon le rôle (front + API).</w:t>
      </w:r>
    </w:p>
    <w:p>
      <w:pPr>
        <w:pStyle w:val="Heading2"/>
      </w:pPr>
      <w:r>
        <w:t>6.2 Dossier candidat</w:t>
      </w:r>
    </w:p>
    <w:p>
      <w:pPr>
        <w:pStyle w:val="ListBullet"/>
      </w:pPr>
      <w:r>
        <w:rPr>
          <w:rFonts w:ascii="Calibri" w:hAnsi="Calibri" w:eastAsia="Calibri"/>
          <w:b w:val="0"/>
          <w:i w:val="0"/>
          <w:sz w:val="22"/>
        </w:rPr>
        <w:t>EF-DOS-01 : Le candidat renseigne son identité (nom, prénom, contacts, série BAC, etc.).</w:t>
      </w:r>
    </w:p>
    <w:p>
      <w:pPr>
        <w:pStyle w:val="ListBullet"/>
      </w:pPr>
      <w:r>
        <w:rPr>
          <w:rFonts w:ascii="Calibri" w:hAnsi="Calibri" w:eastAsia="Calibri"/>
          <w:b w:val="0"/>
          <w:i w:val="0"/>
          <w:sz w:val="22"/>
        </w:rPr>
        <w:t>EF-DOS-02 : Il dépose les pièces typiques : acte de naissance, carte d’identité, photo, relevé de notes.</w:t>
      </w:r>
    </w:p>
    <w:p>
      <w:pPr>
        <w:pStyle w:val="ListBullet"/>
      </w:pPr>
      <w:r>
        <w:rPr>
          <w:rFonts w:ascii="Calibri" w:hAnsi="Calibri" w:eastAsia="Calibri"/>
          <w:b w:val="0"/>
          <w:i w:val="0"/>
          <w:sz w:val="22"/>
        </w:rPr>
        <w:t>EF-DOS-03 : Un dossier incomplet peut bloquer une inscription à un concours ou une candidature.</w:t>
      </w:r>
    </w:p>
    <w:p>
      <w:pPr>
        <w:pStyle w:val="ListBullet"/>
      </w:pPr>
      <w:r>
        <w:rPr>
          <w:rFonts w:ascii="Calibri" w:hAnsi="Calibri" w:eastAsia="Calibri"/>
          <w:b w:val="0"/>
          <w:i w:val="0"/>
          <w:sz w:val="22"/>
        </w:rPr>
        <w:t>EF-DOS-04 : Le candidat peut consulter sa carte d’identité candidat.</w:t>
      </w:r>
    </w:p>
    <w:p>
      <w:pPr>
        <w:pStyle w:val="Heading2"/>
      </w:pPr>
      <w:r>
        <w:t>6.3 Concours, centres et inscriptions (Module 1)</w:t>
      </w:r>
    </w:p>
    <w:p>
      <w:pPr>
        <w:pStyle w:val="ListBullet"/>
      </w:pPr>
      <w:r>
        <w:rPr>
          <w:rFonts w:ascii="Calibri" w:hAnsi="Calibri" w:eastAsia="Calibri"/>
          <w:b w:val="0"/>
          <w:i w:val="0"/>
          <w:sz w:val="22"/>
        </w:rPr>
        <w:t>EF-CON-01 : La DEC crée et met à jour les concours (libellé, code, dates, séries, matières, frais, places).</w:t>
      </w:r>
    </w:p>
    <w:p>
      <w:pPr>
        <w:pStyle w:val="ListBullet"/>
      </w:pPr>
      <w:r>
        <w:rPr>
          <w:rFonts w:ascii="Calibri" w:hAnsi="Calibri" w:eastAsia="Calibri"/>
          <w:b w:val="0"/>
          <w:i w:val="0"/>
          <w:sz w:val="22"/>
        </w:rPr>
        <w:t>EF-CON-02 : Les centres de composition sont rattachés à une commune du référentiel (département → commune).</w:t>
      </w:r>
    </w:p>
    <w:p>
      <w:pPr>
        <w:pStyle w:val="ListBullet"/>
      </w:pPr>
      <w:r>
        <w:rPr>
          <w:rFonts w:ascii="Calibri" w:hAnsi="Calibri" w:eastAsia="Calibri"/>
          <w:b w:val="0"/>
          <w:i w:val="0"/>
          <w:sz w:val="22"/>
        </w:rPr>
        <w:t>EF-CON-03 : Un concours est lié à un ou plusieurs centres avec capacité éventuelle.</w:t>
      </w:r>
    </w:p>
    <w:p>
      <w:pPr>
        <w:pStyle w:val="ListBullet"/>
      </w:pPr>
      <w:r>
        <w:rPr>
          <w:rFonts w:ascii="Calibri" w:hAnsi="Calibri" w:eastAsia="Calibri"/>
          <w:b w:val="0"/>
          <w:i w:val="0"/>
          <w:sz w:val="22"/>
        </w:rPr>
        <w:t>EF-CON-04 : Le candidat s’inscrit uniquement si le concours est ouvert et si sa série est acceptée.</w:t>
      </w:r>
    </w:p>
    <w:p>
      <w:pPr>
        <w:pStyle w:val="ListBullet"/>
      </w:pPr>
      <w:r>
        <w:rPr>
          <w:rFonts w:ascii="Calibri" w:hAnsi="Calibri" w:eastAsia="Calibri"/>
          <w:b w:val="0"/>
          <w:i w:val="0"/>
          <w:sz w:val="22"/>
        </w:rPr>
        <w:t>EF-CON-05 : Une inscription crée un dossier d’inscription avec statut initial EN_ATTENTE.</w:t>
      </w:r>
    </w:p>
    <w:p>
      <w:pPr>
        <w:pStyle w:val="ListBullet"/>
      </w:pPr>
      <w:r>
        <w:rPr>
          <w:rFonts w:ascii="Calibri" w:hAnsi="Calibri" w:eastAsia="Calibri"/>
          <w:b w:val="0"/>
          <w:i w:val="0"/>
          <w:sz w:val="22"/>
        </w:rPr>
        <w:t>EF-CON-06 : Le candidat choisit un centre de composition parmi ceux liés au concours.</w:t>
      </w:r>
    </w:p>
    <w:p>
      <w:pPr>
        <w:pStyle w:val="Heading2"/>
      </w:pPr>
      <w:r>
        <w:t>6.4 Étude des dossiers</w:t>
      </w:r>
    </w:p>
    <w:p>
      <w:pPr>
        <w:pStyle w:val="ListBullet"/>
      </w:pPr>
      <w:r>
        <w:rPr>
          <w:rFonts w:ascii="Calibri" w:hAnsi="Calibri" w:eastAsia="Calibri"/>
          <w:b w:val="0"/>
          <w:i w:val="0"/>
          <w:sz w:val="22"/>
        </w:rPr>
        <w:t>EF-ETU-01 : Les membres de commission n’accèdent qu’aux concours qui leur sont affectés.</w:t>
      </w:r>
    </w:p>
    <w:p>
      <w:pPr>
        <w:pStyle w:val="ListBullet"/>
      </w:pPr>
      <w:r>
        <w:rPr>
          <w:rFonts w:ascii="Calibri" w:hAnsi="Calibri" w:eastAsia="Calibri"/>
          <w:b w:val="0"/>
          <w:i w:val="0"/>
          <w:sz w:val="22"/>
        </w:rPr>
        <w:t>EF-ETU-02 : L’examinateur émet des verdicts (valide / rejet / sous réserve) avec motif le cas échéant.</w:t>
      </w:r>
    </w:p>
    <w:p>
      <w:pPr>
        <w:pStyle w:val="ListBullet"/>
      </w:pPr>
      <w:r>
        <w:rPr>
          <w:rFonts w:ascii="Calibri" w:hAnsi="Calibri" w:eastAsia="Calibri"/>
          <w:b w:val="0"/>
          <w:i w:val="0"/>
          <w:sz w:val="22"/>
        </w:rPr>
        <w:t>EF-ETU-03 : Le contrôleur peut confirmer ou trancher selon le workflow prévu.</w:t>
      </w:r>
    </w:p>
    <w:p>
      <w:pPr>
        <w:pStyle w:val="ListBullet"/>
      </w:pPr>
      <w:r>
        <w:rPr>
          <w:rFonts w:ascii="Calibri" w:hAnsi="Calibri" w:eastAsia="Calibri"/>
          <w:b w:val="0"/>
          <w:i w:val="0"/>
          <w:sz w:val="22"/>
        </w:rPr>
        <w:t>EF-ETU-04 : Les motifs sont stockés en texte clair (sans entités HTML) et affichés correctement.</w:t>
      </w:r>
    </w:p>
    <w:p>
      <w:pPr>
        <w:pStyle w:val="ListBullet"/>
      </w:pPr>
      <w:r>
        <w:rPr>
          <w:rFonts w:ascii="Calibri" w:hAnsi="Calibri" w:eastAsia="Calibri"/>
          <w:b w:val="0"/>
          <w:i w:val="0"/>
          <w:sz w:val="22"/>
        </w:rPr>
        <w:t>EF-ETU-05 : La clôture de l’étude est une étape distincte ; certaines actions post-étude en dépendent.</w:t>
      </w:r>
    </w:p>
    <w:p>
      <w:pPr>
        <w:pStyle w:val="ListBullet"/>
      </w:pPr>
      <w:r>
        <w:rPr>
          <w:rFonts w:ascii="Calibri" w:hAnsi="Calibri" w:eastAsia="Calibri"/>
          <w:b w:val="0"/>
          <w:i w:val="0"/>
          <w:sz w:val="22"/>
        </w:rPr>
        <w:t>EF-ETU-06 : L’historique des actions sur un dossier est conservé.</w:t>
      </w:r>
    </w:p>
    <w:p>
      <w:pPr>
        <w:pStyle w:val="Heading2"/>
      </w:pPr>
      <w:r>
        <w:t>6.5 Post-étude, convocations et résultats</w:t>
      </w:r>
    </w:p>
    <w:p>
      <w:pPr>
        <w:pStyle w:val="ListBullet"/>
      </w:pPr>
      <w:r>
        <w:rPr>
          <w:rFonts w:ascii="Calibri" w:hAnsi="Calibri" w:eastAsia="Calibri"/>
          <w:b w:val="0"/>
          <w:i w:val="0"/>
          <w:sz w:val="22"/>
        </w:rPr>
        <w:t>EF-POST-01 : Après clôture, génération des numéros de table selon la règle métier définie (structure codifiée).</w:t>
      </w:r>
    </w:p>
    <w:p>
      <w:pPr>
        <w:pStyle w:val="ListBullet"/>
      </w:pPr>
      <w:r>
        <w:rPr>
          <w:rFonts w:ascii="Calibri" w:hAnsi="Calibri" w:eastAsia="Calibri"/>
          <w:b w:val="0"/>
          <w:i w:val="0"/>
          <w:sz w:val="22"/>
        </w:rPr>
        <w:t>EF-POST-02 : Les convocations PDF ne sont disponibles que lorsque l’étude est clôturée / période terminée.</w:t>
      </w:r>
    </w:p>
    <w:p>
      <w:pPr>
        <w:pStyle w:val="ListBullet"/>
      </w:pPr>
      <w:r>
        <w:rPr>
          <w:rFonts w:ascii="Calibri" w:hAnsi="Calibri" w:eastAsia="Calibri"/>
          <w:b w:val="0"/>
          <w:i w:val="0"/>
          <w:sz w:val="22"/>
        </w:rPr>
        <w:t>EF-POST-03 : Import CSV/UTF-8 des admis (séparateur ; ou ,) basé sur le numéro de table ; seuls les dossiers VALIDE passent à ADMIS.</w:t>
      </w:r>
    </w:p>
    <w:p>
      <w:pPr>
        <w:pStyle w:val="ListBullet"/>
      </w:pPr>
      <w:r>
        <w:rPr>
          <w:rFonts w:ascii="Calibri" w:hAnsi="Calibri" w:eastAsia="Calibri"/>
          <w:b w:val="0"/>
          <w:i w:val="0"/>
          <w:sz w:val="22"/>
        </w:rPr>
        <w:t>EF-POST-04 : Les résultats de composition sont EN_ATTENTE, ADMIS ou REFUSÉ.</w:t>
      </w:r>
    </w:p>
    <w:p>
      <w:pPr>
        <w:pStyle w:val="ListBullet"/>
      </w:pPr>
      <w:r>
        <w:rPr>
          <w:rFonts w:ascii="Calibri" w:hAnsi="Calibri" w:eastAsia="Calibri"/>
          <w:b w:val="0"/>
          <w:i w:val="0"/>
          <w:sz w:val="22"/>
        </w:rPr>
        <w:t>EF-POST-05 : Le candidat consulte son statut et télécharge sa convocation si éligible.</w:t>
      </w:r>
    </w:p>
    <w:p>
      <w:pPr>
        <w:pStyle w:val="Heading2"/>
      </w:pPr>
      <w:r>
        <w:t>6.6 Statistiques et exports Module 1</w:t>
      </w:r>
    </w:p>
    <w:p>
      <w:pPr>
        <w:pStyle w:val="ListBullet"/>
      </w:pPr>
      <w:r>
        <w:rPr>
          <w:rFonts w:ascii="Calibri" w:hAnsi="Calibri" w:eastAsia="Calibri"/>
          <w:b w:val="0"/>
          <w:i w:val="0"/>
          <w:sz w:val="22"/>
        </w:rPr>
        <w:t>EF-STAT-01 : Le tableau de bord DEC expose des indicateurs (validation, rejet, admission, refus, admission globale, etc.).</w:t>
      </w:r>
    </w:p>
    <w:p>
      <w:pPr>
        <w:pStyle w:val="ListBullet"/>
      </w:pPr>
      <w:r>
        <w:rPr>
          <w:rFonts w:ascii="Calibri" w:hAnsi="Calibri" w:eastAsia="Calibri"/>
          <w:b w:val="0"/>
          <w:i w:val="0"/>
          <w:sz w:val="22"/>
        </w:rPr>
        <w:t>EF-STAT-02 : Les listes (retenus, candidatures, résultats) sont exportables en Excel (.xlsx) avec mise en forme lisible.</w:t>
      </w:r>
    </w:p>
    <w:p>
      <w:pPr>
        <w:pStyle w:val="ListBullet"/>
      </w:pPr>
      <w:r>
        <w:rPr>
          <w:rFonts w:ascii="Calibri" w:hAnsi="Calibri" w:eastAsia="Calibri"/>
          <w:b w:val="0"/>
          <w:i w:val="0"/>
          <w:sz w:val="22"/>
        </w:rPr>
        <w:t>EF-STAT-03 : Des exports PDF de synthèse sont disponibles selon les écrans prévus.</w:t>
      </w:r>
    </w:p>
    <w:p>
      <w:pPr>
        <w:pStyle w:val="Heading2"/>
      </w:pPr>
      <w:r>
        <w:t>6.7 Module 2 — DGES et établissements</w:t>
      </w:r>
    </w:p>
    <w:p>
      <w:pPr>
        <w:pStyle w:val="ListBullet"/>
      </w:pPr>
      <w:r>
        <w:rPr>
          <w:rFonts w:ascii="Calibri" w:hAnsi="Calibri" w:eastAsia="Calibri"/>
          <w:b w:val="0"/>
          <w:i w:val="0"/>
          <w:sz w:val="22"/>
        </w:rPr>
        <w:t>EF-M2-01 : La DGES crée les établissements et leurs administrateurs (mot de passe temporaire).</w:t>
      </w:r>
    </w:p>
    <w:p>
      <w:pPr>
        <w:pStyle w:val="ListBullet"/>
      </w:pPr>
      <w:r>
        <w:rPr>
          <w:rFonts w:ascii="Calibri" w:hAnsi="Calibri" w:eastAsia="Calibri"/>
          <w:b w:val="0"/>
          <w:i w:val="0"/>
          <w:sz w:val="22"/>
        </w:rPr>
        <w:t>EF-M2-02 : La DGES gère les années académiques et l’année en cours Module 2.</w:t>
      </w:r>
    </w:p>
    <w:p>
      <w:pPr>
        <w:pStyle w:val="ListBullet"/>
      </w:pPr>
      <w:r>
        <w:rPr>
          <w:rFonts w:ascii="Calibri" w:hAnsi="Calibri" w:eastAsia="Calibri"/>
          <w:b w:val="0"/>
          <w:i w:val="0"/>
          <w:sz w:val="22"/>
        </w:rPr>
        <w:t>EF-M2-03 : Catalogue de filières de référence et demandes d’ajout de filière.</w:t>
      </w:r>
    </w:p>
    <w:p>
      <w:pPr>
        <w:pStyle w:val="ListBullet"/>
      </w:pPr>
      <w:r>
        <w:rPr>
          <w:rFonts w:ascii="Calibri" w:hAnsi="Calibri" w:eastAsia="Calibri"/>
          <w:b w:val="0"/>
          <w:i w:val="0"/>
          <w:sz w:val="22"/>
        </w:rPr>
        <w:t>EF-M2-04 : L’admin établissement crée des campagnes (périodes, filières, pièces requises).</w:t>
      </w:r>
    </w:p>
    <w:p>
      <w:pPr>
        <w:pStyle w:val="ListBullet"/>
      </w:pPr>
      <w:r>
        <w:rPr>
          <w:rFonts w:ascii="Calibri" w:hAnsi="Calibri" w:eastAsia="Calibri"/>
          <w:b w:val="0"/>
          <w:i w:val="0"/>
          <w:sz w:val="22"/>
        </w:rPr>
        <w:t>EF-M2-05 : Le candidat postule / se préinscrit et dépose les pièces et quittance.</w:t>
      </w:r>
    </w:p>
    <w:p>
      <w:pPr>
        <w:pStyle w:val="ListBullet"/>
      </w:pPr>
      <w:r>
        <w:rPr>
          <w:rFonts w:ascii="Calibri" w:hAnsi="Calibri" w:eastAsia="Calibri"/>
          <w:b w:val="0"/>
          <w:i w:val="0"/>
          <w:sz w:val="22"/>
        </w:rPr>
        <w:t>EF-M2-06 : L’admin valide ou rejette les candidatures et confirme l’inscription académique.</w:t>
      </w:r>
    </w:p>
    <w:p>
      <w:pPr>
        <w:pStyle w:val="ListBullet"/>
      </w:pPr>
      <w:r>
        <w:rPr>
          <w:rFonts w:ascii="Calibri" w:hAnsi="Calibri" w:eastAsia="Calibri"/>
          <w:b w:val="0"/>
          <w:i w:val="0"/>
          <w:sz w:val="22"/>
        </w:rPr>
        <w:t>EF-M2-07 : Génération des fiches PDF d’inscription / préinscription établissement.</w:t>
      </w:r>
    </w:p>
    <w:p>
      <w:pPr>
        <w:pStyle w:val="Heading2"/>
      </w:pPr>
      <w:r>
        <w:t>6.8 Notifications et guide</w:t>
      </w:r>
    </w:p>
    <w:p>
      <w:pPr>
        <w:pStyle w:val="ListBullet"/>
      </w:pPr>
      <w:r>
        <w:rPr>
          <w:rFonts w:ascii="Calibri" w:hAnsi="Calibri" w:eastAsia="Calibri"/>
          <w:b w:val="0"/>
          <w:i w:val="0"/>
          <w:sz w:val="22"/>
        </w:rPr>
        <w:t>EF-NOT-01 : Des e-mails peuvent être envoyés (création de compte, décisions, etc.) via la file / service mail.</w:t>
      </w:r>
    </w:p>
    <w:p>
      <w:pPr>
        <w:pStyle w:val="ListBullet"/>
      </w:pPr>
      <w:r>
        <w:rPr>
          <w:rFonts w:ascii="Calibri" w:hAnsi="Calibri" w:eastAsia="Calibri"/>
          <w:b w:val="0"/>
          <w:i w:val="0"/>
          <w:sz w:val="22"/>
        </w:rPr>
        <w:t>EF-GUIDE-01 : Un guide d’utilisation en ligne est accessible à chaque profil, avec contenu adapté au rôle.</w:t>
      </w:r>
    </w:p>
    <w:p>
      <w:pPr>
        <w:pStyle w:val="Heading1"/>
      </w:pPr>
      <w:r>
        <w:t>7. Exigences non fonctionnelles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i w:val="0"/>
                <w:sz w:val="20"/>
              </w:rPr>
              <w:t>Code</w:t>
            </w:r>
          </w:p>
        </w:tc>
        <w:tc>
          <w:tcPr>
            <w:tcW w:type="dxa" w:w="3249"/>
          </w:tcPr>
          <w:p>
            <w:r>
              <w:rPr>
                <w:rFonts w:ascii="Calibri" w:hAnsi="Calibri" w:eastAsia="Calibri"/>
                <w:b/>
                <w:i w:val="0"/>
                <w:sz w:val="20"/>
              </w:rPr>
              <w:t>Catégorie</w:t>
            </w:r>
          </w:p>
        </w:tc>
        <w:tc>
          <w:tcPr>
            <w:tcW w:type="dxa" w:w="3249"/>
          </w:tcPr>
          <w:p>
            <w:r>
              <w:rPr>
                <w:rFonts w:ascii="Calibri" w:hAnsi="Calibri" w:eastAsia="Calibri"/>
                <w:b/>
                <w:i w:val="0"/>
                <w:sz w:val="20"/>
              </w:rPr>
              <w:t>Exigence</w:t>
            </w:r>
          </w:p>
        </w:tc>
      </w:tr>
      <w:tr>
        <w:tc>
          <w:tcPr>
            <w:tcW w:type="dxa" w:w="3249"/>
          </w:tcPr>
          <w:p>
            <w:r>
              <w:rPr>
                <w:rFonts w:ascii="Calibri" w:hAnsi="Calibri" w:eastAsia="Calibri"/>
                <w:b w:val="0"/>
                <w:i w:val="0"/>
                <w:sz w:val="18"/>
              </w:rPr>
              <w:t>ENF-01</w:t>
            </w:r>
          </w:p>
        </w:tc>
        <w:tc>
          <w:tcPr>
            <w:tcW w:type="dxa" w:w="3249"/>
          </w:tcPr>
          <w:p>
            <w:r>
              <w:rPr>
                <w:rFonts w:ascii="Calibri" w:hAnsi="Calibri" w:eastAsia="Calibri"/>
                <w:b w:val="0"/>
                <w:i w:val="0"/>
                <w:sz w:val="18"/>
              </w:rPr>
              <w:t>Sécurité</w:t>
            </w:r>
          </w:p>
        </w:tc>
        <w:tc>
          <w:tcPr>
            <w:tcW w:type="dxa" w:w="3249"/>
          </w:tcPr>
          <w:p>
            <w:r>
              <w:rPr>
                <w:rFonts w:ascii="Calibri" w:hAnsi="Calibri" w:eastAsia="Calibri"/>
                <w:b w:val="0"/>
                <w:i w:val="0"/>
                <w:sz w:val="18"/>
              </w:rPr>
              <w:t>Mots de passe hashés (bcrypt) ; secret JWT configurable ; pas d’accès direct front → MySQL</w:t>
            </w:r>
          </w:p>
        </w:tc>
      </w:tr>
      <w:tr>
        <w:tc>
          <w:tcPr>
            <w:tcW w:type="dxa" w:w="3249"/>
          </w:tcPr>
          <w:p>
            <w:r>
              <w:rPr>
                <w:rFonts w:ascii="Calibri" w:hAnsi="Calibri" w:eastAsia="Calibri"/>
                <w:b w:val="0"/>
                <w:i w:val="0"/>
                <w:sz w:val="18"/>
              </w:rPr>
              <w:t>ENF-02</w:t>
            </w:r>
          </w:p>
        </w:tc>
        <w:tc>
          <w:tcPr>
            <w:tcW w:type="dxa" w:w="3249"/>
          </w:tcPr>
          <w:p>
            <w:r>
              <w:rPr>
                <w:rFonts w:ascii="Calibri" w:hAnsi="Calibri" w:eastAsia="Calibri"/>
                <w:b w:val="0"/>
                <w:i w:val="0"/>
                <w:sz w:val="18"/>
              </w:rPr>
              <w:t>Autorisation</w:t>
            </w:r>
          </w:p>
        </w:tc>
        <w:tc>
          <w:tcPr>
            <w:tcW w:type="dxa" w:w="3249"/>
          </w:tcPr>
          <w:p>
            <w:r>
              <w:rPr>
                <w:rFonts w:ascii="Calibri" w:hAnsi="Calibri" w:eastAsia="Calibri"/>
                <w:b w:val="0"/>
                <w:i w:val="0"/>
                <w:sz w:val="18"/>
              </w:rPr>
              <w:t>Contrôle des rôles côté API pour chaque ressource sensible</w:t>
            </w:r>
          </w:p>
        </w:tc>
      </w:tr>
      <w:tr>
        <w:tc>
          <w:tcPr>
            <w:tcW w:type="dxa" w:w="3249"/>
          </w:tcPr>
          <w:p>
            <w:r>
              <w:rPr>
                <w:rFonts w:ascii="Calibri" w:hAnsi="Calibri" w:eastAsia="Calibri"/>
                <w:b w:val="0"/>
                <w:i w:val="0"/>
                <w:sz w:val="18"/>
              </w:rPr>
              <w:t>ENF-03</w:t>
            </w:r>
          </w:p>
        </w:tc>
        <w:tc>
          <w:tcPr>
            <w:tcW w:type="dxa" w:w="3249"/>
          </w:tcPr>
          <w:p>
            <w:r>
              <w:rPr>
                <w:rFonts w:ascii="Calibri" w:hAnsi="Calibri" w:eastAsia="Calibri"/>
                <w:b w:val="0"/>
                <w:i w:val="0"/>
                <w:sz w:val="18"/>
              </w:rPr>
              <w:t>Fichiers</w:t>
            </w:r>
          </w:p>
        </w:tc>
        <w:tc>
          <w:tcPr>
            <w:tcW w:type="dxa" w:w="3249"/>
          </w:tcPr>
          <w:p>
            <w:r>
              <w:rPr>
                <w:rFonts w:ascii="Calibri" w:hAnsi="Calibri" w:eastAsia="Calibri"/>
                <w:b w:val="0"/>
                <w:i w:val="0"/>
                <w:sz w:val="18"/>
              </w:rPr>
              <w:t>Uploads stockés hors base ; chemins / métadonnées en base ; accès contrôlé</w:t>
            </w:r>
          </w:p>
        </w:tc>
      </w:tr>
      <w:tr>
        <w:tc>
          <w:tcPr>
            <w:tcW w:type="dxa" w:w="3249"/>
          </w:tcPr>
          <w:p>
            <w:r>
              <w:rPr>
                <w:rFonts w:ascii="Calibri" w:hAnsi="Calibri" w:eastAsia="Calibri"/>
                <w:b w:val="0"/>
                <w:i w:val="0"/>
                <w:sz w:val="18"/>
              </w:rPr>
              <w:t>ENF-04</w:t>
            </w:r>
          </w:p>
        </w:tc>
        <w:tc>
          <w:tcPr>
            <w:tcW w:type="dxa" w:w="3249"/>
          </w:tcPr>
          <w:p>
            <w:r>
              <w:rPr>
                <w:rFonts w:ascii="Calibri" w:hAnsi="Calibri" w:eastAsia="Calibri"/>
                <w:b w:val="0"/>
                <w:i w:val="0"/>
                <w:sz w:val="18"/>
              </w:rPr>
              <w:t>Ergonomie</w:t>
            </w:r>
          </w:p>
        </w:tc>
        <w:tc>
          <w:tcPr>
            <w:tcW w:type="dxa" w:w="3249"/>
          </w:tcPr>
          <w:p>
            <w:r>
              <w:rPr>
                <w:rFonts w:ascii="Calibri" w:hAnsi="Calibri" w:eastAsia="Calibri"/>
                <w:b w:val="0"/>
                <w:i w:val="0"/>
                <w:sz w:val="18"/>
              </w:rPr>
              <w:t>Interface web responsive ; libellés en français ; guide contextuel</w:t>
            </w:r>
          </w:p>
        </w:tc>
      </w:tr>
      <w:tr>
        <w:tc>
          <w:tcPr>
            <w:tcW w:type="dxa" w:w="3249"/>
          </w:tcPr>
          <w:p>
            <w:r>
              <w:rPr>
                <w:rFonts w:ascii="Calibri" w:hAnsi="Calibri" w:eastAsia="Calibri"/>
                <w:b w:val="0"/>
                <w:i w:val="0"/>
                <w:sz w:val="18"/>
              </w:rPr>
              <w:t>ENF-05</w:t>
            </w:r>
          </w:p>
        </w:tc>
        <w:tc>
          <w:tcPr>
            <w:tcW w:type="dxa" w:w="3249"/>
          </w:tcPr>
          <w:p>
            <w:r>
              <w:rPr>
                <w:rFonts w:ascii="Calibri" w:hAnsi="Calibri" w:eastAsia="Calibri"/>
                <w:b w:val="0"/>
                <w:i w:val="0"/>
                <w:sz w:val="18"/>
              </w:rPr>
              <w:t>Traçabilité</w:t>
            </w:r>
          </w:p>
        </w:tc>
        <w:tc>
          <w:tcPr>
            <w:tcW w:type="dxa" w:w="3249"/>
          </w:tcPr>
          <w:p>
            <w:r>
              <w:rPr>
                <w:rFonts w:ascii="Calibri" w:hAnsi="Calibri" w:eastAsia="Calibri"/>
                <w:b w:val="0"/>
                <w:i w:val="0"/>
                <w:sz w:val="18"/>
              </w:rPr>
              <w:t>Historique des verdicts / actions sur dossiers ; journaux applicatifs (Winston)</w:t>
            </w:r>
          </w:p>
        </w:tc>
      </w:tr>
      <w:tr>
        <w:tc>
          <w:tcPr>
            <w:tcW w:type="dxa" w:w="3249"/>
          </w:tcPr>
          <w:p>
            <w:r>
              <w:rPr>
                <w:rFonts w:ascii="Calibri" w:hAnsi="Calibri" w:eastAsia="Calibri"/>
                <w:b w:val="0"/>
                <w:i w:val="0"/>
                <w:sz w:val="18"/>
              </w:rPr>
              <w:t>ENF-06</w:t>
            </w:r>
          </w:p>
        </w:tc>
        <w:tc>
          <w:tcPr>
            <w:tcW w:type="dxa" w:w="3249"/>
          </w:tcPr>
          <w:p>
            <w:r>
              <w:rPr>
                <w:rFonts w:ascii="Calibri" w:hAnsi="Calibri" w:eastAsia="Calibri"/>
                <w:b w:val="0"/>
                <w:i w:val="0"/>
                <w:sz w:val="18"/>
              </w:rPr>
              <w:t>Maintenabilité</w:t>
            </w:r>
          </w:p>
        </w:tc>
        <w:tc>
          <w:tcPr>
            <w:tcW w:type="dxa" w:w="3249"/>
          </w:tcPr>
          <w:p>
            <w:r>
              <w:rPr>
                <w:rFonts w:ascii="Calibri" w:hAnsi="Calibri" w:eastAsia="Calibri"/>
                <w:b w:val="0"/>
                <w:i w:val="0"/>
                <w:sz w:val="18"/>
              </w:rPr>
              <w:t>Schéma versionné par migrations Prisma ; séparation front / API</w:t>
            </w:r>
          </w:p>
        </w:tc>
      </w:tr>
      <w:tr>
        <w:tc>
          <w:tcPr>
            <w:tcW w:type="dxa" w:w="3249"/>
          </w:tcPr>
          <w:p>
            <w:r>
              <w:rPr>
                <w:rFonts w:ascii="Calibri" w:hAnsi="Calibri" w:eastAsia="Calibri"/>
                <w:b w:val="0"/>
                <w:i w:val="0"/>
                <w:sz w:val="18"/>
              </w:rPr>
              <w:t>ENF-07</w:t>
            </w:r>
          </w:p>
        </w:tc>
        <w:tc>
          <w:tcPr>
            <w:tcW w:type="dxa" w:w="3249"/>
          </w:tcPr>
          <w:p>
            <w:r>
              <w:rPr>
                <w:rFonts w:ascii="Calibri" w:hAnsi="Calibri" w:eastAsia="Calibri"/>
                <w:b w:val="0"/>
                <w:i w:val="0"/>
                <w:sz w:val="18"/>
              </w:rPr>
              <w:t>Portabilité env.</w:t>
            </w:r>
          </w:p>
        </w:tc>
        <w:tc>
          <w:tcPr>
            <w:tcW w:type="dxa" w:w="3249"/>
          </w:tcPr>
          <w:p>
            <w:r>
              <w:rPr>
                <w:rFonts w:ascii="Calibri" w:hAnsi="Calibri" w:eastAsia="Calibri"/>
                <w:b w:val="0"/>
                <w:i w:val="0"/>
                <w:sz w:val="18"/>
              </w:rPr>
              <w:t>Configuration via variables d’environnement (.env)</w:t>
            </w:r>
          </w:p>
        </w:tc>
      </w:tr>
      <w:tr>
        <w:tc>
          <w:tcPr>
            <w:tcW w:type="dxa" w:w="3249"/>
          </w:tcPr>
          <w:p>
            <w:r>
              <w:rPr>
                <w:rFonts w:ascii="Calibri" w:hAnsi="Calibri" w:eastAsia="Calibri"/>
                <w:b w:val="0"/>
                <w:i w:val="0"/>
                <w:sz w:val="18"/>
              </w:rPr>
              <w:t>ENF-08</w:t>
            </w:r>
          </w:p>
        </w:tc>
        <w:tc>
          <w:tcPr>
            <w:tcW w:type="dxa" w:w="3249"/>
          </w:tcPr>
          <w:p>
            <w:r>
              <w:rPr>
                <w:rFonts w:ascii="Calibri" w:hAnsi="Calibri" w:eastAsia="Calibri"/>
                <w:b w:val="0"/>
                <w:i w:val="0"/>
                <w:sz w:val="18"/>
              </w:rPr>
              <w:t>Qualité</w:t>
            </w:r>
          </w:p>
        </w:tc>
        <w:tc>
          <w:tcPr>
            <w:tcW w:type="dxa" w:w="3249"/>
          </w:tcPr>
          <w:p>
            <w:r>
              <w:rPr>
                <w:rFonts w:ascii="Calibri" w:hAnsi="Calibri" w:eastAsia="Calibri"/>
                <w:b w:val="0"/>
                <w:i w:val="0"/>
                <w:sz w:val="18"/>
              </w:rPr>
              <w:t>Tests unitaires / d’intégration côté API (Jest) ; tests e2e front possibles (Playwright)</w:t>
            </w:r>
          </w:p>
        </w:tc>
      </w:tr>
    </w:tbl>
    <w:p/>
    <w:p>
      <w:r>
        <w:br w:type="page"/>
      </w:r>
    </w:p>
    <w:p>
      <w:pPr>
        <w:pStyle w:val="Heading1"/>
      </w:pPr>
      <w:r>
        <w:t>8. Modélisation UML</w:t>
      </w:r>
    </w:p>
    <w:p>
      <w:pPr>
        <w:spacing w:after="160" w:line="240" w:lineRule="auto"/>
      </w:pPr>
      <w:r>
        <w:rPr>
          <w:rFonts w:ascii="Calibri" w:hAnsi="Calibri" w:eastAsia="Calibri"/>
          <w:b w:val="0"/>
          <w:i w:val="0"/>
          <w:sz w:val="22"/>
        </w:rPr>
        <w:t>Cette section reprend les diagrammes jugés nécessaires au cahier des charges : cas d’utilisation, activités des flux principaux, et modèle conceptuel des entités. Les diagrammes de séquence détaillés et de déploiement fin sont volontairement reportés au dossier technique de conception.</w:t>
      </w:r>
    </w:p>
    <w:p>
      <w:pPr>
        <w:pStyle w:val="Heading2"/>
      </w:pPr>
      <w:r>
        <w:t>8.1 Diagramme de cas d’utilisation (vue globale)</w:t>
      </w:r>
    </w:p>
    <w:p>
      <w:pPr>
        <w:spacing w:after="160" w:line="240" w:lineRule="auto"/>
      </w:pPr>
      <w:r>
        <w:rPr>
          <w:rFonts w:ascii="Calibri" w:hAnsi="Calibri" w:eastAsia="Calibri"/>
          <w:b w:val="0"/>
          <w:i w:val="0"/>
          <w:sz w:val="22"/>
        </w:rPr>
        <w:t>Représentation textuelle UML — acteurs et cas d’utilisation principaux.</w:t>
      </w:r>
    </w:p>
    <w:p>
      <w:pPr>
        <w:spacing w:before="120" w:after="200"/>
      </w:pPr>
      <w:r>
        <w:rPr>
          <w:rFonts w:ascii="Consolas" w:hAnsi="Consolas" w:eastAsia="Consolas"/>
          <w:sz w:val="16"/>
        </w:rPr>
        <w:t xml:space="preserve">                              &lt;&lt;système&gt;&gt; UniPath</w:t>
        <w:br/>
        <w:t xml:space="preserve">  ┌──────────────────────────────────────────────────────────────┐</w:t>
        <w:br/>
        <w:t xml:space="preserve">  │  (Gérer dossier personnel)                                   │</w:t>
        <w:br/>
        <w:t xml:space="preserve">  │  (S’inscrire à un concours)     (Étudier un dossier)         │</w:t>
        <w:br/>
        <w:t xml:space="preserve">  │  (Télécharger convocation)      (Clôturer l’étude)           │</w:t>
        <w:br/>
        <w:t xml:space="preserve">  │  (Consulter résultats)          (Gérer concours / centres)   │</w:t>
        <w:br/>
        <w:t xml:space="preserve">  │  (Postuler à une campagne)      (Importer les admis)         │</w:t>
        <w:br/>
        <w:t xml:space="preserve">  │  (Déposer une quittance)        (Créer établissement)        │</w:t>
        <w:br/>
        <w:t xml:space="preserve">  │  (Consulter le guide)           (Créer campagne)             │</w:t>
        <w:br/>
        <w:t xml:space="preserve">  │                                 (Valider candidature)        │</w:t>
        <w:br/>
        <w:t xml:space="preserve">  └──────────────────────────────────────────────────────────────┘</w:t>
        <w:br/>
        <w:t xml:space="preserve">     ▲ Candidat          ▲ DEC / Commission     ▲ DGES / Admin</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Acteur</w:t>
            </w:r>
          </w:p>
        </w:tc>
        <w:tc>
          <w:tcPr>
            <w:tcW w:type="dxa" w:w="4873"/>
          </w:tcPr>
          <w:p>
            <w:r>
              <w:rPr>
                <w:rFonts w:ascii="Calibri" w:hAnsi="Calibri" w:eastAsia="Calibri"/>
                <w:b/>
                <w:i w:val="0"/>
                <w:sz w:val="20"/>
              </w:rPr>
              <w:t>Cas d’utilisation principaux</w:t>
            </w:r>
          </w:p>
        </w:tc>
      </w:tr>
      <w:tr>
        <w:tc>
          <w:tcPr>
            <w:tcW w:type="dxa" w:w="4873"/>
          </w:tcPr>
          <w:p>
            <w:r>
              <w:rPr>
                <w:rFonts w:ascii="Calibri" w:hAnsi="Calibri" w:eastAsia="Calibri"/>
                <w:b w:val="0"/>
                <w:i w:val="0"/>
                <w:sz w:val="18"/>
              </w:rPr>
              <w:t>Candidat</w:t>
            </w:r>
          </w:p>
        </w:tc>
        <w:tc>
          <w:tcPr>
            <w:tcW w:type="dxa" w:w="4873"/>
          </w:tcPr>
          <w:p>
            <w:r>
              <w:rPr>
                <w:rFonts w:ascii="Calibri" w:hAnsi="Calibri" w:eastAsia="Calibri"/>
                <w:b w:val="0"/>
                <w:i w:val="0"/>
                <w:sz w:val="18"/>
              </w:rPr>
              <w:t>Gérer dossier ; s’inscrire concours ; télécharger convocation ; consulter résultats ; postuler campagne ; déposer quittance ; consulter guide</w:t>
            </w:r>
          </w:p>
        </w:tc>
      </w:tr>
      <w:tr>
        <w:tc>
          <w:tcPr>
            <w:tcW w:type="dxa" w:w="4873"/>
          </w:tcPr>
          <w:p>
            <w:r>
              <w:rPr>
                <w:rFonts w:ascii="Calibri" w:hAnsi="Calibri" w:eastAsia="Calibri"/>
                <w:b w:val="0"/>
                <w:i w:val="0"/>
                <w:sz w:val="18"/>
              </w:rPr>
              <w:t>DEC</w:t>
            </w:r>
          </w:p>
        </w:tc>
        <w:tc>
          <w:tcPr>
            <w:tcW w:type="dxa" w:w="4873"/>
          </w:tcPr>
          <w:p>
            <w:r>
              <w:rPr>
                <w:rFonts w:ascii="Calibri" w:hAnsi="Calibri" w:eastAsia="Calibri"/>
                <w:b w:val="0"/>
                <w:i w:val="0"/>
                <w:sz w:val="18"/>
              </w:rPr>
              <w:t>Gérer concours, centres, commissions ; piloter post-étude ; importer admis ; consulter statistiques ; valider demandes reset commission</w:t>
            </w:r>
          </w:p>
        </w:tc>
      </w:tr>
      <w:tr>
        <w:tc>
          <w:tcPr>
            <w:tcW w:type="dxa" w:w="4873"/>
          </w:tcPr>
          <w:p>
            <w:r>
              <w:rPr>
                <w:rFonts w:ascii="Calibri" w:hAnsi="Calibri" w:eastAsia="Calibri"/>
                <w:b w:val="0"/>
                <w:i w:val="0"/>
                <w:sz w:val="18"/>
              </w:rPr>
              <w:t>Examinateur / Contrôleur</w:t>
            </w:r>
          </w:p>
        </w:tc>
        <w:tc>
          <w:tcPr>
            <w:tcW w:type="dxa" w:w="4873"/>
          </w:tcPr>
          <w:p>
            <w:r>
              <w:rPr>
                <w:rFonts w:ascii="Calibri" w:hAnsi="Calibri" w:eastAsia="Calibri"/>
                <w:b w:val="0"/>
                <w:i w:val="0"/>
                <w:sz w:val="18"/>
              </w:rPr>
              <w:t>Consulter dossiers affectés ; émettre / contrôler verdicts ; saisir motifs</w:t>
            </w:r>
          </w:p>
        </w:tc>
      </w:tr>
      <w:tr>
        <w:tc>
          <w:tcPr>
            <w:tcW w:type="dxa" w:w="4873"/>
          </w:tcPr>
          <w:p>
            <w:r>
              <w:rPr>
                <w:rFonts w:ascii="Calibri" w:hAnsi="Calibri" w:eastAsia="Calibri"/>
                <w:b w:val="0"/>
                <w:i w:val="0"/>
                <w:sz w:val="18"/>
              </w:rPr>
              <w:t>DGES</w:t>
            </w:r>
          </w:p>
        </w:tc>
        <w:tc>
          <w:tcPr>
            <w:tcW w:type="dxa" w:w="4873"/>
          </w:tcPr>
          <w:p>
            <w:r>
              <w:rPr>
                <w:rFonts w:ascii="Calibri" w:hAnsi="Calibri" w:eastAsia="Calibri"/>
                <w:b w:val="0"/>
                <w:i w:val="0"/>
                <w:sz w:val="18"/>
              </w:rPr>
              <w:t>Gérer établissements et admins ; années académiques ; filières ; demandes d’ajout</w:t>
            </w:r>
          </w:p>
        </w:tc>
      </w:tr>
      <w:tr>
        <w:tc>
          <w:tcPr>
            <w:tcW w:type="dxa" w:w="4873"/>
          </w:tcPr>
          <w:p>
            <w:r>
              <w:rPr>
                <w:rFonts w:ascii="Calibri" w:hAnsi="Calibri" w:eastAsia="Calibri"/>
                <w:b w:val="0"/>
                <w:i w:val="0"/>
                <w:sz w:val="18"/>
              </w:rPr>
              <w:t>Admin établissement</w:t>
            </w:r>
          </w:p>
        </w:tc>
        <w:tc>
          <w:tcPr>
            <w:tcW w:type="dxa" w:w="4873"/>
          </w:tcPr>
          <w:p>
            <w:r>
              <w:rPr>
                <w:rFonts w:ascii="Calibri" w:hAnsi="Calibri" w:eastAsia="Calibri"/>
                <w:b w:val="0"/>
                <w:i w:val="0"/>
                <w:sz w:val="18"/>
              </w:rPr>
              <w:t>Créer campagnes ; traiter candidatures ; valider quittances ; confirmer inscriptions</w:t>
            </w:r>
          </w:p>
        </w:tc>
      </w:tr>
    </w:tbl>
    <w:p/>
    <w:p>
      <w:pPr>
        <w:pStyle w:val="Heading2"/>
      </w:pPr>
      <w:r>
        <w:t>8.2 Diagramme d’activité — Module 1 (concours)</w:t>
      </w:r>
    </w:p>
    <w:p>
      <w:pPr>
        <w:spacing w:after="160" w:line="240" w:lineRule="auto"/>
      </w:pPr>
      <w:r>
        <w:rPr>
          <w:rFonts w:ascii="Calibri" w:hAnsi="Calibri" w:eastAsia="Calibri"/>
          <w:b w:val="0"/>
          <w:i w:val="0"/>
          <w:sz w:val="22"/>
        </w:rPr>
        <w:t>Flux principal depuis l’ouverture du concours jusqu’au résultat de composition.</w:t>
      </w:r>
    </w:p>
    <w:p>
      <w:pPr>
        <w:spacing w:before="120" w:after="200"/>
      </w:pPr>
      <w:r>
        <w:rPr>
          <w:rFonts w:ascii="Consolas" w:hAnsi="Consolas" w:eastAsia="Consolas"/>
          <w:sz w:val="16"/>
        </w:rPr>
        <w:t>[Début]</w:t>
        <w:br/>
        <w:t xml:space="preserve">   │</w:t>
        <w:br/>
        <w:t xml:space="preserve">   ▼</w:t>
        <w:br/>
        <w:t>DEC crée / publie le concours (dates, séries, centres)</w:t>
        <w:br/>
        <w:t xml:space="preserve">   │</w:t>
        <w:br/>
        <w:t xml:space="preserve">   ▼</w:t>
        <w:br/>
        <w:t>Candidat complète son dossier ──non──► [Blocage inscription]</w:t>
        <w:br/>
        <w:t xml:space="preserve">   │ oui</w:t>
        <w:br/>
        <w:t xml:space="preserve">   ▼</w:t>
        <w:br/>
        <w:t>Candidat s’inscrit + choisit un centre</w:t>
        <w:br/>
        <w:t xml:space="preserve">   │</w:t>
        <w:br/>
        <w:t xml:space="preserve">   ▼</w:t>
        <w:br/>
        <w:t>Commission étudie le dossier</w:t>
        <w:br/>
        <w:t xml:space="preserve">   │</w:t>
        <w:br/>
        <w:t xml:space="preserve">   ├─ Sous réserve ─► Candidat corrige ─► réétude</w:t>
        <w:br/>
        <w:t xml:space="preserve">   ├─ Rejeté ───────► [Fin candidat pour ce concours]</w:t>
        <w:br/>
        <w:t xml:space="preserve">   └─ Validé ───────► attente clôture étude</w:t>
        <w:br/>
        <w:t xml:space="preserve">                           │</w:t>
        <w:br/>
        <w:t xml:space="preserve">                           ▼</w:t>
        <w:br/>
        <w:t xml:space="preserve">              Clôture étude (DEC / règle période)</w:t>
        <w:br/>
        <w:t xml:space="preserve">                           │</w:t>
        <w:br/>
        <w:t xml:space="preserve">                           ▼</w:t>
        <w:br/>
        <w:t xml:space="preserve">              Attribution N° de table + convocations PDF</w:t>
        <w:br/>
        <w:t xml:space="preserve">                           │</w:t>
        <w:br/>
        <w:t xml:space="preserve">                           ▼</w:t>
        <w:br/>
        <w:t xml:space="preserve">              Composition (hors système ou saisie résultats)</w:t>
        <w:br/>
        <w:t xml:space="preserve">                           │</w:t>
        <w:br/>
        <w:t xml:space="preserve">                           ▼</w:t>
        <w:br/>
        <w:t xml:space="preserve">              Import CSV admis / marquage REFUSÉ</w:t>
        <w:br/>
        <w:t xml:space="preserve">                           │</w:t>
        <w:br/>
        <w:t xml:space="preserve">                           ▼</w:t>
        <w:br/>
        <w:t xml:space="preserve">                        [Fin]</w:t>
      </w:r>
    </w:p>
    <w:p>
      <w:pPr>
        <w:pStyle w:val="Heading2"/>
      </w:pPr>
      <w:r>
        <w:t>8.3 Diagramme d’activité — Module 2 (établissement)</w:t>
      </w:r>
    </w:p>
    <w:p>
      <w:pPr>
        <w:spacing w:before="120" w:after="200"/>
      </w:pPr>
      <w:r>
        <w:rPr>
          <w:rFonts w:ascii="Consolas" w:hAnsi="Consolas" w:eastAsia="Consolas"/>
          <w:sz w:val="16"/>
        </w:rPr>
        <w:t>[Début]</w:t>
        <w:br/>
        <w:t xml:space="preserve">   │</w:t>
        <w:br/>
        <w:t xml:space="preserve">   ▼</w:t>
        <w:br/>
        <w:t>DGES crée l’établissement + compte Admin</w:t>
        <w:br/>
        <w:t xml:space="preserve">   │</w:t>
        <w:br/>
        <w:t xml:space="preserve">   ▼</w:t>
        <w:br/>
        <w:t>Admin crée une campagne (filières, pièces, dates)</w:t>
        <w:br/>
        <w:t xml:space="preserve">   │</w:t>
        <w:br/>
        <w:t xml:space="preserve">   ▼</w:t>
        <w:br/>
        <w:t>Candidat postule / se préinscrit</w:t>
        <w:br/>
        <w:t xml:space="preserve">   │</w:t>
        <w:br/>
        <w:t xml:space="preserve">   ▼</w:t>
        <w:br/>
        <w:t>Candidat dépose quittance / pièces manquantes</w:t>
        <w:br/>
        <w:t xml:space="preserve">   │</w:t>
        <w:br/>
        <w:t xml:space="preserve">   ▼</w:t>
        <w:br/>
        <w:t>Admin examine la candidature</w:t>
        <w:br/>
        <w:t xml:space="preserve">   │</w:t>
        <w:br/>
        <w:t xml:space="preserve">   ├─ Rejet ─────► notification / fin</w:t>
        <w:br/>
        <w:t xml:space="preserve">   └─ Acceptation ► confirmation inscription académique</w:t>
        <w:br/>
        <w:t xml:space="preserve">                           │</w:t>
        <w:br/>
        <w:t xml:space="preserve">                           ▼</w:t>
        <w:br/>
        <w:t xml:space="preserve">              Génération fiches PDF / suivi scolarité</w:t>
        <w:br/>
        <w:t xml:space="preserve">                           │</w:t>
        <w:br/>
        <w:t xml:space="preserve">                           ▼</w:t>
        <w:br/>
        <w:t xml:space="preserve">                        [Fin]</w:t>
      </w:r>
    </w:p>
    <w:p>
      <w:pPr>
        <w:pStyle w:val="Heading2"/>
      </w:pPr>
      <w:r>
        <w:t>8.4 Modèle conceptuel des entités (diagramme de classes simplifié)</w:t>
      </w:r>
    </w:p>
    <w:p>
      <w:pPr>
        <w:spacing w:after="160" w:line="240" w:lineRule="auto"/>
      </w:pPr>
      <w:r>
        <w:rPr>
          <w:rFonts w:ascii="Calibri" w:hAnsi="Calibri" w:eastAsia="Calibri"/>
          <w:b w:val="0"/>
          <w:i w:val="0"/>
          <w:sz w:val="22"/>
        </w:rPr>
        <w:t>Le diagramme ci-dessous présente les entités métier principales et leurs relations. Il ne reproduit pas toutes les colonnes techniques du schéma Prisma.</w:t>
      </w:r>
    </w:p>
    <w:p>
      <w:pPr>
        <w:spacing w:before="120" w:after="200"/>
      </w:pPr>
      <w:r>
        <w:rPr>
          <w:rFonts w:ascii="Consolas" w:hAnsi="Consolas" w:eastAsia="Consolas"/>
          <w:sz w:val="16"/>
        </w:rPr>
        <w:t>Compte 1──1 Profil (Candidat | DEC | DGES | Commission | AdminÉtab | …)</w:t>
        <w:br/>
        <w:br/>
        <w:t>Candidat 1──1 Dossier (pièces)</w:t>
        <w:br/>
        <w:t>Candidat 1──* Inscription *──1 Concours</w:t>
        <w:br/>
        <w:t>Inscription 1──1 DossierInscription</w:t>
        <w:br/>
        <w:t>DossierInscription *──1 ConcoursCentreComposition</w:t>
        <w:br/>
        <w:t>ConcoursCentreComposition *──1 CentreComposition *──1 Commune</w:t>
        <w:br/>
        <w:t>Concours *──1 AnneeAcademique</w:t>
        <w:br/>
        <w:t>Concours 1──* AffectationCommissionConcours *──1 MembreCommission</w:t>
        <w:br/>
        <w:br/>
        <w:t>Etablissement 1──* AdminEtablissement</w:t>
        <w:br/>
        <w:t>Etablissement 1──* CampagneInscription</w:t>
        <w:br/>
        <w:t>CampagneInscription 1──* CampagneFiliere *──1 Filiere</w:t>
        <w:br/>
        <w:t>Candidat 1──* Application / PreinscriptionEtablissement</w:t>
        <w:br/>
        <w:t>Candidat 1──* InscriptionAcademique *──1 Etablissement / Filiere</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Entité</w:t>
            </w:r>
          </w:p>
        </w:tc>
        <w:tc>
          <w:tcPr>
            <w:tcW w:type="dxa" w:w="4873"/>
          </w:tcPr>
          <w:p>
            <w:r>
              <w:rPr>
                <w:rFonts w:ascii="Calibri" w:hAnsi="Calibri" w:eastAsia="Calibri"/>
                <w:b/>
                <w:i w:val="0"/>
                <w:sz w:val="20"/>
              </w:rPr>
              <w:t>Rôle métier</w:t>
            </w:r>
          </w:p>
        </w:tc>
      </w:tr>
      <w:tr>
        <w:tc>
          <w:tcPr>
            <w:tcW w:type="dxa" w:w="4873"/>
          </w:tcPr>
          <w:p>
            <w:r>
              <w:rPr>
                <w:rFonts w:ascii="Calibri" w:hAnsi="Calibri" w:eastAsia="Calibri"/>
                <w:b w:val="0"/>
                <w:i w:val="0"/>
                <w:sz w:val="18"/>
              </w:rPr>
              <w:t>Compte</w:t>
            </w:r>
          </w:p>
        </w:tc>
        <w:tc>
          <w:tcPr>
            <w:tcW w:type="dxa" w:w="4873"/>
          </w:tcPr>
          <w:p>
            <w:r>
              <w:rPr>
                <w:rFonts w:ascii="Calibri" w:hAnsi="Calibri" w:eastAsia="Calibri"/>
                <w:b w:val="0"/>
                <w:i w:val="0"/>
                <w:sz w:val="18"/>
              </w:rPr>
              <w:t>Identifiants de connexion et lien vers le profil</w:t>
            </w:r>
          </w:p>
        </w:tc>
      </w:tr>
      <w:tr>
        <w:tc>
          <w:tcPr>
            <w:tcW w:type="dxa" w:w="4873"/>
          </w:tcPr>
          <w:p>
            <w:r>
              <w:rPr>
                <w:rFonts w:ascii="Calibri" w:hAnsi="Calibri" w:eastAsia="Calibri"/>
                <w:b w:val="0"/>
                <w:i w:val="0"/>
                <w:sz w:val="18"/>
              </w:rPr>
              <w:t>Candidat</w:t>
            </w:r>
          </w:p>
        </w:tc>
        <w:tc>
          <w:tcPr>
            <w:tcW w:type="dxa" w:w="4873"/>
          </w:tcPr>
          <w:p>
            <w:r>
              <w:rPr>
                <w:rFonts w:ascii="Calibri" w:hAnsi="Calibri" w:eastAsia="Calibri"/>
                <w:b w:val="0"/>
                <w:i w:val="0"/>
                <w:sz w:val="18"/>
              </w:rPr>
              <w:t>Personne physique usager des modules 1 et 2</w:t>
            </w:r>
          </w:p>
        </w:tc>
      </w:tr>
      <w:tr>
        <w:tc>
          <w:tcPr>
            <w:tcW w:type="dxa" w:w="4873"/>
          </w:tcPr>
          <w:p>
            <w:r>
              <w:rPr>
                <w:rFonts w:ascii="Calibri" w:hAnsi="Calibri" w:eastAsia="Calibri"/>
                <w:b w:val="0"/>
                <w:i w:val="0"/>
                <w:sz w:val="18"/>
              </w:rPr>
              <w:t>Dossier</w:t>
            </w:r>
          </w:p>
        </w:tc>
        <w:tc>
          <w:tcPr>
            <w:tcW w:type="dxa" w:w="4873"/>
          </w:tcPr>
          <w:p>
            <w:r>
              <w:rPr>
                <w:rFonts w:ascii="Calibri" w:hAnsi="Calibri" w:eastAsia="Calibri"/>
                <w:b w:val="0"/>
                <w:i w:val="0"/>
                <w:sz w:val="18"/>
              </w:rPr>
              <w:t>Pièces personnelles du candidat</w:t>
            </w:r>
          </w:p>
        </w:tc>
      </w:tr>
      <w:tr>
        <w:tc>
          <w:tcPr>
            <w:tcW w:type="dxa" w:w="4873"/>
          </w:tcPr>
          <w:p>
            <w:r>
              <w:rPr>
                <w:rFonts w:ascii="Calibri" w:hAnsi="Calibri" w:eastAsia="Calibri"/>
                <w:b w:val="0"/>
                <w:i w:val="0"/>
                <w:sz w:val="18"/>
              </w:rPr>
              <w:t>Concours</w:t>
            </w:r>
          </w:p>
        </w:tc>
        <w:tc>
          <w:tcPr>
            <w:tcW w:type="dxa" w:w="4873"/>
          </w:tcPr>
          <w:p>
            <w:r>
              <w:rPr>
                <w:rFonts w:ascii="Calibri" w:hAnsi="Calibri" w:eastAsia="Calibri"/>
                <w:b w:val="0"/>
                <w:i w:val="0"/>
                <w:sz w:val="18"/>
              </w:rPr>
              <w:t>Session de concours Module 1</w:t>
            </w:r>
          </w:p>
        </w:tc>
      </w:tr>
      <w:tr>
        <w:tc>
          <w:tcPr>
            <w:tcW w:type="dxa" w:w="4873"/>
          </w:tcPr>
          <w:p>
            <w:r>
              <w:rPr>
                <w:rFonts w:ascii="Calibri" w:hAnsi="Calibri" w:eastAsia="Calibri"/>
                <w:b w:val="0"/>
                <w:i w:val="0"/>
                <w:sz w:val="18"/>
              </w:rPr>
              <w:t>Inscription / DossierInscription</w:t>
            </w:r>
          </w:p>
        </w:tc>
        <w:tc>
          <w:tcPr>
            <w:tcW w:type="dxa" w:w="4873"/>
          </w:tcPr>
          <w:p>
            <w:r>
              <w:rPr>
                <w:rFonts w:ascii="Calibri" w:hAnsi="Calibri" w:eastAsia="Calibri"/>
                <w:b w:val="0"/>
                <w:i w:val="0"/>
                <w:sz w:val="18"/>
              </w:rPr>
              <w:t>Candidature à un concours + workflow d’étude</w:t>
            </w:r>
          </w:p>
        </w:tc>
      </w:tr>
      <w:tr>
        <w:tc>
          <w:tcPr>
            <w:tcW w:type="dxa" w:w="4873"/>
          </w:tcPr>
          <w:p>
            <w:r>
              <w:rPr>
                <w:rFonts w:ascii="Calibri" w:hAnsi="Calibri" w:eastAsia="Calibri"/>
                <w:b w:val="0"/>
                <w:i w:val="0"/>
                <w:sz w:val="18"/>
              </w:rPr>
              <w:t>CentreComposition / Commune</w:t>
            </w:r>
          </w:p>
        </w:tc>
        <w:tc>
          <w:tcPr>
            <w:tcW w:type="dxa" w:w="4873"/>
          </w:tcPr>
          <w:p>
            <w:r>
              <w:rPr>
                <w:rFonts w:ascii="Calibri" w:hAnsi="Calibri" w:eastAsia="Calibri"/>
                <w:b w:val="0"/>
                <w:i w:val="0"/>
                <w:sz w:val="18"/>
              </w:rPr>
              <w:t>Lieux de composition et référentiel territorial</w:t>
            </w:r>
          </w:p>
        </w:tc>
      </w:tr>
      <w:tr>
        <w:tc>
          <w:tcPr>
            <w:tcW w:type="dxa" w:w="4873"/>
          </w:tcPr>
          <w:p>
            <w:r>
              <w:rPr>
                <w:rFonts w:ascii="Calibri" w:hAnsi="Calibri" w:eastAsia="Calibri"/>
                <w:b w:val="0"/>
                <w:i w:val="0"/>
                <w:sz w:val="18"/>
              </w:rPr>
              <w:t>MembreCommission</w:t>
            </w:r>
          </w:p>
        </w:tc>
        <w:tc>
          <w:tcPr>
            <w:tcW w:type="dxa" w:w="4873"/>
          </w:tcPr>
          <w:p>
            <w:r>
              <w:rPr>
                <w:rFonts w:ascii="Calibri" w:hAnsi="Calibri" w:eastAsia="Calibri"/>
                <w:b w:val="0"/>
                <w:i w:val="0"/>
                <w:sz w:val="18"/>
              </w:rPr>
              <w:t>Examinateur ou contrôleur affecté aux concours</w:t>
            </w:r>
          </w:p>
        </w:tc>
      </w:tr>
      <w:tr>
        <w:tc>
          <w:tcPr>
            <w:tcW w:type="dxa" w:w="4873"/>
          </w:tcPr>
          <w:p>
            <w:r>
              <w:rPr>
                <w:rFonts w:ascii="Calibri" w:hAnsi="Calibri" w:eastAsia="Calibri"/>
                <w:b w:val="0"/>
                <w:i w:val="0"/>
                <w:sz w:val="18"/>
              </w:rPr>
              <w:t>Etablissement / Filiere / Campagne</w:t>
            </w:r>
          </w:p>
        </w:tc>
        <w:tc>
          <w:tcPr>
            <w:tcW w:type="dxa" w:w="4873"/>
          </w:tcPr>
          <w:p>
            <w:r>
              <w:rPr>
                <w:rFonts w:ascii="Calibri" w:hAnsi="Calibri" w:eastAsia="Calibri"/>
                <w:b w:val="0"/>
                <w:i w:val="0"/>
                <w:sz w:val="18"/>
              </w:rPr>
              <w:t>Offre et ouverture des dépôts Module 2</w:t>
            </w:r>
          </w:p>
        </w:tc>
      </w:tr>
      <w:tr>
        <w:tc>
          <w:tcPr>
            <w:tcW w:type="dxa" w:w="4873"/>
          </w:tcPr>
          <w:p>
            <w:r>
              <w:rPr>
                <w:rFonts w:ascii="Calibri" w:hAnsi="Calibri" w:eastAsia="Calibri"/>
                <w:b w:val="0"/>
                <w:i w:val="0"/>
                <w:sz w:val="18"/>
              </w:rPr>
              <w:t>Application / Préinscription / InscriptionAcademique</w:t>
            </w:r>
          </w:p>
        </w:tc>
        <w:tc>
          <w:tcPr>
            <w:tcW w:type="dxa" w:w="4873"/>
          </w:tcPr>
          <w:p>
            <w:r>
              <w:rPr>
                <w:rFonts w:ascii="Calibri" w:hAnsi="Calibri" w:eastAsia="Calibri"/>
                <w:b w:val="0"/>
                <w:i w:val="0"/>
                <w:sz w:val="18"/>
              </w:rPr>
              <w:t>Parcours candidat côté établissement</w:t>
            </w:r>
          </w:p>
        </w:tc>
      </w:tr>
      <w:tr>
        <w:tc>
          <w:tcPr>
            <w:tcW w:type="dxa" w:w="4873"/>
          </w:tcPr>
          <w:p>
            <w:r>
              <w:rPr>
                <w:rFonts w:ascii="Calibri" w:hAnsi="Calibri" w:eastAsia="Calibri"/>
                <w:b w:val="0"/>
                <w:i w:val="0"/>
                <w:sz w:val="18"/>
              </w:rPr>
              <w:t>EmailDelivery / Notification</w:t>
            </w:r>
          </w:p>
        </w:tc>
        <w:tc>
          <w:tcPr>
            <w:tcW w:type="dxa" w:w="4873"/>
          </w:tcPr>
          <w:p>
            <w:r>
              <w:rPr>
                <w:rFonts w:ascii="Calibri" w:hAnsi="Calibri" w:eastAsia="Calibri"/>
                <w:b w:val="0"/>
                <w:i w:val="0"/>
                <w:sz w:val="18"/>
              </w:rPr>
              <w:t>Suivi des communications</w:t>
            </w:r>
          </w:p>
        </w:tc>
      </w:tr>
      <w:tr>
        <w:tc>
          <w:tcPr>
            <w:tcW w:type="dxa" w:w="4873"/>
          </w:tcPr>
          <w:p>
            <w:r>
              <w:rPr>
                <w:rFonts w:ascii="Calibri" w:hAnsi="Calibri" w:eastAsia="Calibri"/>
                <w:b w:val="0"/>
                <w:i w:val="0"/>
                <w:sz w:val="18"/>
              </w:rPr>
              <w:t>ParametreSysteme</w:t>
            </w:r>
          </w:p>
        </w:tc>
        <w:tc>
          <w:tcPr>
            <w:tcW w:type="dxa" w:w="4873"/>
          </w:tcPr>
          <w:p>
            <w:r>
              <w:rPr>
                <w:rFonts w:ascii="Calibri" w:hAnsi="Calibri" w:eastAsia="Calibri"/>
                <w:b w:val="0"/>
                <w:i w:val="0"/>
                <w:sz w:val="18"/>
              </w:rPr>
              <w:t>Paramètres globaux de la plateforme</w:t>
            </w:r>
          </w:p>
        </w:tc>
      </w:tr>
    </w:tbl>
    <w:p/>
    <w:p>
      <w:r>
        <w:br w:type="page"/>
      </w:r>
    </w:p>
    <w:p>
      <w:pPr>
        <w:pStyle w:val="Heading1"/>
      </w:pPr>
      <w:r>
        <w:t>9. Architecture technique et outils de réalisation</w:t>
      </w:r>
    </w:p>
    <w:p>
      <w:pPr>
        <w:spacing w:after="160" w:line="240" w:lineRule="auto"/>
      </w:pPr>
      <w:r>
        <w:rPr>
          <w:rFonts w:ascii="Calibri" w:hAnsi="Calibri" w:eastAsia="Calibri"/>
          <w:b w:val="0"/>
          <w:i w:val="0"/>
          <w:sz w:val="22"/>
        </w:rPr>
        <w:t>Cette section détaille l’ensemble des technologies et outils utilisés pour réaliser UniPath, avec le rôle précis de chacun. L’architecture suit un modèle client / serveur : une application web (front) consomme une API REST (back), elle-même connectée à MySQL. La génération de certains PDF officiels est déléguée à des scripts PHP invoqués par l’API.</w:t>
      </w:r>
    </w:p>
    <w:p>
      <w:pPr>
        <w:pStyle w:val="Heading2"/>
      </w:pPr>
      <w:r>
        <w:t>9.1 Architecture logique</w:t>
      </w:r>
    </w:p>
    <w:p>
      <w:pPr>
        <w:spacing w:before="120" w:after="200"/>
      </w:pPr>
      <w:r>
        <w:rPr>
          <w:rFonts w:ascii="Consolas" w:hAnsi="Consolas" w:eastAsia="Consolas"/>
          <w:sz w:val="16"/>
        </w:rPr>
        <w:t xml:space="preserve">  [ Navigateur ]</w:t>
        <w:br/>
        <w:t xml:space="preserve">        │  HTTPS / HTTP</w:t>
        <w:br/>
        <w:t xml:space="preserve">        ▼</w:t>
        <w:br/>
        <w:t xml:space="preserve">  [ Front React + Vite ]  ←── Tailwind, React Router, Axios</w:t>
        <w:br/>
        <w:t xml:space="preserve">        │  REST JSON (JWT)</w:t>
        <w:br/>
        <w:t xml:space="preserve">        ▼</w:t>
        <w:br/>
        <w:t xml:space="preserve">  [ API Node.js + Express ]  ←── Prisma, Zod, Multer, Nodemailer, ExcelJS…</w:t>
        <w:br/>
        <w:t xml:space="preserve">        │                    └──► [ PHP + FPDF ]  (PDF officiels)</w:t>
        <w:br/>
        <w:t xml:space="preserve">        ▼</w:t>
        <w:br/>
        <w:t xml:space="preserve">  [ MySQL ]</w:t>
        <w:br/>
        <w:t xml:space="preserve">        +</w:t>
        <w:br/>
        <w:t xml:space="preserve">  [ Stockage fichiers uploads ]</w:t>
      </w:r>
    </w:p>
    <w:p>
      <w:pPr>
        <w:pStyle w:val="Heading2"/>
      </w:pPr>
      <w:r>
        <w:t>9.2 Environnement d’exécution et langages</w:t>
      </w:r>
    </w:p>
    <w:p>
      <w:pPr>
        <w:pStyle w:val="Heading3"/>
      </w:pPr>
      <w:r>
        <w:t>JavaScript / Node.js</w:t>
      </w:r>
    </w:p>
    <w:p>
      <w:pPr>
        <w:spacing w:after="160" w:line="240" w:lineRule="auto"/>
      </w:pPr>
      <w:r>
        <w:rPr>
          <w:rFonts w:ascii="Calibri" w:hAnsi="Calibri" w:eastAsia="Calibri"/>
          <w:b w:val="0"/>
          <w:i w:val="0"/>
          <w:sz w:val="22"/>
        </w:rPr>
        <w:t>JavaScript est le langage principal du projet, côté front (navigateur) et côté API (runtime Node.js). Node.js exécute le serveur HTTP, les workers e-mail, les scripts de seed et les appels au moteur PHP pour les PDF. Le projet API est en modules CommonJS ; le front est en modules ES (type module).</w:t>
      </w:r>
    </w:p>
    <w:p>
      <w:pPr>
        <w:pStyle w:val="Heading3"/>
      </w:pPr>
      <w:r>
        <w:t>PHP (rôle ciblé — génération PDF)</w:t>
      </w:r>
    </w:p>
    <w:p>
      <w:pPr>
        <w:spacing w:after="160" w:line="240" w:lineRule="auto"/>
      </w:pPr>
      <w:r>
        <w:rPr>
          <w:rFonts w:ascii="Calibri" w:hAnsi="Calibri" w:eastAsia="Calibri"/>
          <w:b w:val="0"/>
          <w:i w:val="0"/>
          <w:sz w:val="22"/>
        </w:rPr>
        <w:t>PHP n’est pas le backend métier d’UniPath. Il est utilisé comme moteur de génération documentaire. L’API Node prépare un fichier JSON d’entrée, exécute un script PHP en ligne de commande (ex. php convocation.php entree.json sortie.pdf), puis renvoie le PDF au client. Cette approche permet de produire des documents mis en page de façon fine (en-têtes institutionnels, tableaux, photos) via la bibliothèque FPDF.</w:t>
      </w:r>
    </w:p>
    <w:p>
      <w:pPr>
        <w:pStyle w:val="ListBullet"/>
      </w:pPr>
      <w:r>
        <w:rPr>
          <w:rFonts w:ascii="Calibri" w:hAnsi="Calibri" w:eastAsia="Calibri"/>
          <w:b w:val="0"/>
          <w:i w:val="0"/>
          <w:sz w:val="22"/>
        </w:rPr>
        <w:t>Scripts principaux : convocation.php, fiche-preinscription.php, fiches établissement, releve-academique.php</w:t>
      </w:r>
    </w:p>
    <w:p>
      <w:pPr>
        <w:pStyle w:val="ListBullet"/>
      </w:pPr>
      <w:r>
        <w:rPr>
          <w:rFonts w:ascii="Calibri" w:hAnsi="Calibri" w:eastAsia="Calibri"/>
          <w:b w:val="0"/>
          <w:i w:val="0"/>
          <w:sz w:val="22"/>
        </w:rPr>
        <w:t>Bibliothèque : FPDF (génération PDF en PHP sans navigateur)</w:t>
      </w:r>
    </w:p>
    <w:p>
      <w:pPr>
        <w:pStyle w:val="ListBullet"/>
      </w:pPr>
      <w:r>
        <w:rPr>
          <w:rFonts w:ascii="Calibri" w:hAnsi="Calibri" w:eastAsia="Calibri"/>
          <w:b w:val="0"/>
          <w:i w:val="0"/>
          <w:sz w:val="22"/>
        </w:rPr>
        <w:t>Prérequis système : interpréteur PHP disponible dans le PATH de la machine serveur</w:t>
      </w:r>
    </w:p>
    <w:p>
      <w:pPr>
        <w:pStyle w:val="Heading3"/>
      </w:pPr>
      <w:r>
        <w:t>SQL / MySQL</w:t>
      </w:r>
    </w:p>
    <w:p>
      <w:pPr>
        <w:spacing w:after="160" w:line="240" w:lineRule="auto"/>
      </w:pPr>
      <w:r>
        <w:rPr>
          <w:rFonts w:ascii="Calibri" w:hAnsi="Calibri" w:eastAsia="Calibri"/>
          <w:b w:val="0"/>
          <w:i w:val="0"/>
          <w:sz w:val="22"/>
        </w:rPr>
        <w:t>Le langage SQL est utilisé via le SGBD MySQL pour stocker et interroger les données. Les développeurs interagissent surtout à travers Prisma (requêtes typées) ; le SQL brut reste disponible pour administration, imports et diagnostics.</w:t>
      </w:r>
    </w:p>
    <w:p>
      <w:pPr>
        <w:pStyle w:val="Heading2"/>
      </w:pPr>
      <w:r>
        <w:t>9.3 Frontend — outils et bibliothèques</w:t>
      </w:r>
    </w:p>
    <w:p>
      <w:pPr>
        <w:pStyle w:val="Heading3"/>
      </w:pPr>
      <w:r>
        <w:t>React</w:t>
      </w:r>
    </w:p>
    <w:p>
      <w:pPr>
        <w:spacing w:after="160" w:line="240" w:lineRule="auto"/>
      </w:pPr>
      <w:r>
        <w:rPr>
          <w:rFonts w:ascii="Calibri" w:hAnsi="Calibri" w:eastAsia="Calibri"/>
          <w:b w:val="0"/>
          <w:i w:val="0"/>
          <w:sz w:val="22"/>
        </w:rPr>
        <w:t>Bibliothèque UI pour construire l’interface par composants (pages DEC, DGES, candidat, etc.). Elle gère l’état local des écrans, le rendu conditionnel selon le rôle, et la composition des layouts (menus, formulaires, tableaux).</w:t>
      </w:r>
    </w:p>
    <w:p>
      <w:pPr>
        <w:pStyle w:val="Heading3"/>
      </w:pPr>
      <w:r>
        <w:t>Vite</w:t>
      </w:r>
    </w:p>
    <w:p>
      <w:pPr>
        <w:spacing w:after="160" w:line="240" w:lineRule="auto"/>
      </w:pPr>
      <w:r>
        <w:rPr>
          <w:rFonts w:ascii="Calibri" w:hAnsi="Calibri" w:eastAsia="Calibri"/>
          <w:b w:val="0"/>
          <w:i w:val="0"/>
          <w:sz w:val="22"/>
        </w:rPr>
        <w:t>Outil de build et serveur de développement frontend. Il démarre rapidement l’application (hot reload), empaquette le code pour la production (npm run build) et expose les variables d’environnement préfixées VITE_ (ex. VITE_API_URL).</w:t>
      </w:r>
    </w:p>
    <w:p>
      <w:pPr>
        <w:pStyle w:val="Heading3"/>
      </w:pPr>
      <w:r>
        <w:t>React Router</w:t>
      </w:r>
    </w:p>
    <w:p>
      <w:pPr>
        <w:spacing w:after="160" w:line="240" w:lineRule="auto"/>
      </w:pPr>
      <w:r>
        <w:rPr>
          <w:rFonts w:ascii="Calibri" w:hAnsi="Calibri" w:eastAsia="Calibri"/>
          <w:b w:val="0"/>
          <w:i w:val="0"/>
          <w:sz w:val="22"/>
        </w:rPr>
        <w:t>Gère la navigation monorequête (SPA) : routes protégées par rôle (/dec/…, /dges/…, /guide, etc.), redirections et organisation des pages sans rechargement complet du navigateur.</w:t>
      </w:r>
    </w:p>
    <w:p>
      <w:pPr>
        <w:pStyle w:val="Heading3"/>
      </w:pPr>
      <w:r>
        <w:t>Tailwind CSS (+ PostCSS / Autoprefixer)</w:t>
      </w:r>
    </w:p>
    <w:p>
      <w:pPr>
        <w:spacing w:after="160" w:line="240" w:lineRule="auto"/>
      </w:pPr>
      <w:r>
        <w:rPr>
          <w:rFonts w:ascii="Calibri" w:hAnsi="Calibri" w:eastAsia="Calibri"/>
          <w:b w:val="0"/>
          <w:i w:val="0"/>
          <w:sz w:val="22"/>
        </w:rPr>
        <w:t>Framework utilitaire de styles. Il uniformise l’apparence (espacements, couleurs, responsive) directement dans le markup des composants, sans feuilles CSS volumineuses séparées. PostCSS et Autoprefixer préparent le CSS pour les navigateurs cibles.</w:t>
      </w:r>
    </w:p>
    <w:p>
      <w:pPr>
        <w:pStyle w:val="Heading3"/>
      </w:pPr>
      <w:r>
        <w:t>Axios</w:t>
      </w:r>
    </w:p>
    <w:p>
      <w:pPr>
        <w:spacing w:after="160" w:line="240" w:lineRule="auto"/>
      </w:pPr>
      <w:r>
        <w:rPr>
          <w:rFonts w:ascii="Calibri" w:hAnsi="Calibri" w:eastAsia="Calibri"/>
          <w:b w:val="0"/>
          <w:i w:val="0"/>
          <w:sz w:val="22"/>
        </w:rPr>
        <w:t>Client HTTP utilisé par le front pour appeler l’API REST. Il centralise la base URL, l’envoi du jeton JWT et le traitement des réponses / erreurs réseau.</w:t>
      </w:r>
    </w:p>
    <w:p>
      <w:pPr>
        <w:pStyle w:val="Heading3"/>
      </w:pPr>
      <w:r>
        <w:t>React Hook Form</w:t>
      </w:r>
    </w:p>
    <w:p>
      <w:pPr>
        <w:spacing w:after="160" w:line="240" w:lineRule="auto"/>
      </w:pPr>
      <w:r>
        <w:rPr>
          <w:rFonts w:ascii="Calibri" w:hAnsi="Calibri" w:eastAsia="Calibri"/>
          <w:b w:val="0"/>
          <w:i w:val="0"/>
          <w:sz w:val="22"/>
        </w:rPr>
        <w:t>Bibliothèque de gestion de formulaires : saisie, validation et soumission (création concours, profil candidat, campagnes, etc.) avec un code plus léger que la gestion manuelle de chaque champ.</w:t>
      </w:r>
    </w:p>
    <w:p>
      <w:pPr>
        <w:pStyle w:val="Heading3"/>
      </w:pPr>
      <w:r>
        <w:t>Recharts</w:t>
      </w:r>
    </w:p>
    <w:p>
      <w:pPr>
        <w:spacing w:after="160" w:line="240" w:lineRule="auto"/>
      </w:pPr>
      <w:r>
        <w:rPr>
          <w:rFonts w:ascii="Calibri" w:hAnsi="Calibri" w:eastAsia="Calibri"/>
          <w:b w:val="0"/>
          <w:i w:val="0"/>
          <w:sz w:val="22"/>
        </w:rPr>
        <w:t>Bibliothèque de graphiques pour les tableaux de bord (indicateurs DEC / DGES) : barres, courbes ou autres visualisations à partir des statistiques renvoyées par l’API.</w:t>
      </w:r>
    </w:p>
    <w:p>
      <w:pPr>
        <w:pStyle w:val="Heading3"/>
      </w:pPr>
      <w:r>
        <w:t>Lucide React / Lottie / QRCode.react</w:t>
      </w:r>
    </w:p>
    <w:p>
      <w:pPr>
        <w:pStyle w:val="ListBullet"/>
      </w:pPr>
      <w:r>
        <w:rPr>
          <w:rFonts w:ascii="Calibri" w:hAnsi="Calibri" w:eastAsia="Calibri"/>
          <w:b w:val="0"/>
          <w:i w:val="0"/>
          <w:sz w:val="22"/>
        </w:rPr>
        <w:t>Lucide React : jeu d’icônes vectorielles pour les menus et actions.</w:t>
      </w:r>
    </w:p>
    <w:p>
      <w:pPr>
        <w:pStyle w:val="ListBullet"/>
      </w:pPr>
      <w:r>
        <w:rPr>
          <w:rFonts w:ascii="Calibri" w:hAnsi="Calibri" w:eastAsia="Calibri"/>
          <w:b w:val="0"/>
          <w:i w:val="0"/>
          <w:sz w:val="22"/>
        </w:rPr>
        <w:t>Lottie (DotLottie) : animations légères d’illustration / feedback UI.</w:t>
      </w:r>
    </w:p>
    <w:p>
      <w:pPr>
        <w:pStyle w:val="ListBullet"/>
      </w:pPr>
      <w:r>
        <w:rPr>
          <w:rFonts w:ascii="Calibri" w:hAnsi="Calibri" w:eastAsia="Calibri"/>
          <w:b w:val="0"/>
          <w:i w:val="0"/>
          <w:sz w:val="22"/>
        </w:rPr>
        <w:t>QRCode.react : génération de QR codes côté client lorsque requis (ex. éléments de carte / documents).</w:t>
      </w:r>
    </w:p>
    <w:p>
      <w:pPr>
        <w:pStyle w:val="Heading3"/>
      </w:pPr>
      <w:r>
        <w:t>ESLint (+ plugins React)</w:t>
      </w:r>
    </w:p>
    <w:p>
      <w:pPr>
        <w:spacing w:after="160" w:line="240" w:lineRule="auto"/>
      </w:pPr>
      <w:r>
        <w:rPr>
          <w:rFonts w:ascii="Calibri" w:hAnsi="Calibri" w:eastAsia="Calibri"/>
          <w:b w:val="0"/>
          <w:i w:val="0"/>
          <w:sz w:val="22"/>
        </w:rPr>
        <w:t>Outil d’analyse statique du code frontend. Il détecte les mauvaises pratiques, variables inutilisées et erreurs fréquentes React Hooks avant exécution.</w:t>
      </w:r>
    </w:p>
    <w:p>
      <w:pPr>
        <w:pStyle w:val="Heading3"/>
      </w:pPr>
      <w:r>
        <w:t>Playwright</w:t>
      </w:r>
    </w:p>
    <w:p>
      <w:pPr>
        <w:spacing w:after="160" w:line="240" w:lineRule="auto"/>
      </w:pPr>
      <w:r>
        <w:rPr>
          <w:rFonts w:ascii="Calibri" w:hAnsi="Calibri" w:eastAsia="Calibri"/>
          <w:b w:val="0"/>
          <w:i w:val="0"/>
          <w:sz w:val="22"/>
        </w:rPr>
        <w:t>Framework de tests de bout en bout (e2e) : simulation d’un navigateur réel pour vérifier des parcours utilisateurs critiques (connexion, navigation, formulaires).</w:t>
      </w:r>
    </w:p>
    <w:p>
      <w:pPr>
        <w:pStyle w:val="Heading2"/>
      </w:pPr>
      <w:r>
        <w:t>9.4 Backend API — outils et bibliothèques</w:t>
      </w:r>
    </w:p>
    <w:p>
      <w:pPr>
        <w:pStyle w:val="Heading3"/>
      </w:pPr>
      <w:r>
        <w:t>Express</w:t>
      </w:r>
    </w:p>
    <w:p>
      <w:pPr>
        <w:spacing w:after="160" w:line="240" w:lineRule="auto"/>
      </w:pPr>
      <w:r>
        <w:rPr>
          <w:rFonts w:ascii="Calibri" w:hAnsi="Calibri" w:eastAsia="Calibri"/>
          <w:b w:val="0"/>
          <w:i w:val="0"/>
          <w:sz w:val="22"/>
        </w:rPr>
        <w:t>Framework web Node.js qui expose les routes REST (/api/…), les middlewares (CORS, auth, upload) et orchestre les contrôleurs métier (concours, inscriptions, établissements, PDF, etc.).</w:t>
      </w:r>
    </w:p>
    <w:p>
      <w:pPr>
        <w:pStyle w:val="Heading3"/>
      </w:pPr>
      <w:r>
        <w:t>Prisma (ORM) + Prisma Client</w:t>
      </w:r>
    </w:p>
    <w:p>
      <w:pPr>
        <w:spacing w:after="160" w:line="240" w:lineRule="auto"/>
      </w:pPr>
      <w:r>
        <w:rPr>
          <w:rFonts w:ascii="Calibri" w:hAnsi="Calibri" w:eastAsia="Calibri"/>
          <w:b w:val="0"/>
          <w:i w:val="0"/>
          <w:sz w:val="22"/>
        </w:rPr>
        <w:t>Prisma est l’ORM (Object-Relational Mapping) du projet. Le fichier schema.prisma décrit les modèles ; les migrations versionnent l’évolution de la base ; le client généré permet de créer, lire, mettre à jour et supprimer des enregistrements depuis JavaScript de façon sûre et lisible. Prisma n’est pas un SGBD : il s’appuie sur MySQL.</w:t>
      </w:r>
    </w:p>
    <w:p>
      <w:pPr>
        <w:pStyle w:val="Heading3"/>
      </w:pPr>
      <w:r>
        <w:t>Zod</w:t>
      </w:r>
    </w:p>
    <w:p>
      <w:pPr>
        <w:spacing w:after="160" w:line="240" w:lineRule="auto"/>
      </w:pPr>
      <w:r>
        <w:rPr>
          <w:rFonts w:ascii="Calibri" w:hAnsi="Calibri" w:eastAsia="Calibri"/>
          <w:b w:val="0"/>
          <w:i w:val="0"/>
          <w:sz w:val="22"/>
        </w:rPr>
        <w:t>Bibliothèque de validation de schémas. Elle vérifie la forme et les types des données entrantes (body, query) avant traitement métier, ce qui réduit les erreurs et sécurise l’API.</w:t>
      </w:r>
    </w:p>
    <w:p>
      <w:pPr>
        <w:pStyle w:val="Heading3"/>
      </w:pPr>
      <w:r>
        <w:t>JSON Web Token (jsonwebtoken)</w:t>
      </w:r>
    </w:p>
    <w:p>
      <w:pPr>
        <w:spacing w:after="160" w:line="240" w:lineRule="auto"/>
      </w:pPr>
      <w:r>
        <w:rPr>
          <w:rFonts w:ascii="Calibri" w:hAnsi="Calibri" w:eastAsia="Calibri"/>
          <w:b w:val="0"/>
          <w:i w:val="0"/>
          <w:sz w:val="22"/>
        </w:rPr>
        <w:t>Émission et vérification des jetons d’authentification. Après login réussi, le serveur signe un JWT contenant l’identité / le rôle ; le client le renvoie ensuite dans les en-têtes des requêtes protégées.</w:t>
      </w:r>
    </w:p>
    <w:p>
      <w:pPr>
        <w:pStyle w:val="Heading3"/>
      </w:pPr>
      <w:r>
        <w:t>bcryptjs</w:t>
      </w:r>
    </w:p>
    <w:p>
      <w:pPr>
        <w:spacing w:after="160" w:line="240" w:lineRule="auto"/>
      </w:pPr>
      <w:r>
        <w:rPr>
          <w:rFonts w:ascii="Calibri" w:hAnsi="Calibri" w:eastAsia="Calibri"/>
          <w:b w:val="0"/>
          <w:i w:val="0"/>
          <w:sz w:val="22"/>
        </w:rPr>
        <w:t>Hachage des mots de passe avant stockage en base. Le mot de passe en clair n’est jamais conservé ; seule une empreinte (hash) est comparée à la connexion.</w:t>
      </w:r>
    </w:p>
    <w:p>
      <w:pPr>
        <w:pStyle w:val="Heading3"/>
      </w:pPr>
      <w:r>
        <w:t>dotenv</w:t>
      </w:r>
    </w:p>
    <w:p>
      <w:pPr>
        <w:spacing w:after="160" w:line="240" w:lineRule="auto"/>
      </w:pPr>
      <w:r>
        <w:rPr>
          <w:rFonts w:ascii="Calibri" w:hAnsi="Calibri" w:eastAsia="Calibri"/>
          <w:b w:val="0"/>
          <w:i w:val="0"/>
          <w:sz w:val="22"/>
        </w:rPr>
        <w:t>Chargement des variables d’environnement depuis un fichier .env (URL MySQL, secret JWT, SMTP, ports, URL du front, etc.) afin de ne pas coder en dur les secrets dans le dépôt.</w:t>
      </w:r>
    </w:p>
    <w:p>
      <w:pPr>
        <w:pStyle w:val="Heading3"/>
      </w:pPr>
      <w:r>
        <w:t>CORS</w:t>
      </w:r>
    </w:p>
    <w:p>
      <w:pPr>
        <w:spacing w:after="160" w:line="240" w:lineRule="auto"/>
      </w:pPr>
      <w:r>
        <w:rPr>
          <w:rFonts w:ascii="Calibri" w:hAnsi="Calibri" w:eastAsia="Calibri"/>
          <w:b w:val="0"/>
          <w:i w:val="0"/>
          <w:sz w:val="22"/>
        </w:rPr>
        <w:t>Middleware autorisant le navigateur à appeler l’API depuis l’origine du frontend (ex. localhost:5173 → :3001), conformément à la politique de sécurité navigateur.</w:t>
      </w:r>
    </w:p>
    <w:p>
      <w:pPr>
        <w:pStyle w:val="Heading3"/>
      </w:pPr>
      <w:r>
        <w:t>Multer</w:t>
      </w:r>
    </w:p>
    <w:p>
      <w:pPr>
        <w:spacing w:after="160" w:line="240" w:lineRule="auto"/>
      </w:pPr>
      <w:r>
        <w:rPr>
          <w:rFonts w:ascii="Calibri" w:hAnsi="Calibri" w:eastAsia="Calibri"/>
          <w:b w:val="0"/>
          <w:i w:val="0"/>
          <w:sz w:val="22"/>
        </w:rPr>
        <w:t>Middleware d’upload de fichiers (pièces du dossier, quittances, photos). Il reçoit les fichiers multipart, les enregistre dans le système de fichiers du serveur et fournit les métadonnées au contrôleur.</w:t>
      </w:r>
    </w:p>
    <w:p>
      <w:pPr>
        <w:pStyle w:val="Heading3"/>
      </w:pPr>
      <w:r>
        <w:t>Nodemailer / Resend</w:t>
      </w:r>
    </w:p>
    <w:p>
      <w:pPr>
        <w:spacing w:after="160" w:line="240" w:lineRule="auto"/>
      </w:pPr>
      <w:r>
        <w:rPr>
          <w:rFonts w:ascii="Calibri" w:hAnsi="Calibri" w:eastAsia="Calibri"/>
          <w:b w:val="0"/>
          <w:i w:val="0"/>
          <w:sz w:val="22"/>
        </w:rPr>
        <w:t>Envoi d’e-mails transactionnels (création de compte, notifications de décision, etc.). Nodemailer s’appuie typiquement sur un serveur SMTP (ex. Gmail). Resend peut servir de fournisseur d’envoi alternatif selon la configuration. Un worker et une file (EmailDelivery) permettent de suivre le statut des envois.</w:t>
      </w:r>
    </w:p>
    <w:p>
      <w:pPr>
        <w:pStyle w:val="Heading3"/>
      </w:pPr>
      <w:r>
        <w:t>node-cron</w:t>
      </w:r>
    </w:p>
    <w:p>
      <w:pPr>
        <w:spacing w:after="160" w:line="240" w:lineRule="auto"/>
      </w:pPr>
      <w:r>
        <w:rPr>
          <w:rFonts w:ascii="Calibri" w:hAnsi="Calibri" w:eastAsia="Calibri"/>
          <w:b w:val="0"/>
          <w:i w:val="0"/>
          <w:sz w:val="22"/>
        </w:rPr>
        <w:t>Planification de tâches périodiques côté serveur (alertes de fin d’étude, traitements différés, etc.) sans intervention manuelle.</w:t>
      </w:r>
    </w:p>
    <w:p>
      <w:pPr>
        <w:pStyle w:val="Heading3"/>
      </w:pPr>
      <w:r>
        <w:t>ExcelJS</w:t>
      </w:r>
    </w:p>
    <w:p>
      <w:pPr>
        <w:spacing w:after="160" w:line="240" w:lineRule="auto"/>
      </w:pPr>
      <w:r>
        <w:rPr>
          <w:rFonts w:ascii="Calibri" w:hAnsi="Calibri" w:eastAsia="Calibri"/>
          <w:b w:val="0"/>
          <w:i w:val="0"/>
          <w:sz w:val="22"/>
        </w:rPr>
        <w:t>Génération de fichiers Excel (.xlsx) pour les exports (listes de retenus, candidatures, tableaux de bord). Elle gère colonnes, largeurs, retour à la ligne et format binaire Excel réel (au-delà d’un simple CSV).</w:t>
      </w:r>
    </w:p>
    <w:p>
      <w:pPr>
        <w:pStyle w:val="Heading3"/>
      </w:pPr>
      <w:r>
        <w:t>PDFKit</w:t>
      </w:r>
    </w:p>
    <w:p>
      <w:pPr>
        <w:spacing w:after="160" w:line="240" w:lineRule="auto"/>
      </w:pPr>
      <w:r>
        <w:rPr>
          <w:rFonts w:ascii="Calibri" w:hAnsi="Calibri" w:eastAsia="Calibri"/>
          <w:b w:val="0"/>
          <w:i w:val="0"/>
          <w:sz w:val="22"/>
        </w:rPr>
        <w:t>Bibliothèque Node de génération PDF utilisée pour certains documents ou exports produits directement par l’API, en complément des scripts PHP/FPDF pour les documents « officiels » très mis en page.</w:t>
      </w:r>
    </w:p>
    <w:p>
      <w:pPr>
        <w:pStyle w:val="Heading3"/>
      </w:pPr>
      <w:r>
        <w:t>Winston</w:t>
      </w:r>
    </w:p>
    <w:p>
      <w:pPr>
        <w:spacing w:after="160" w:line="240" w:lineRule="auto"/>
      </w:pPr>
      <w:r>
        <w:rPr>
          <w:rFonts w:ascii="Calibri" w:hAnsi="Calibri" w:eastAsia="Calibri"/>
          <w:b w:val="0"/>
          <w:i w:val="0"/>
          <w:sz w:val="22"/>
        </w:rPr>
        <w:t>Système de journalisation (logs) de l’API : erreurs, événements e-mail, traces utiles au diagnostic en développement et en exploitation.</w:t>
      </w:r>
    </w:p>
    <w:p>
      <w:pPr>
        <w:pStyle w:val="Heading3"/>
      </w:pPr>
      <w:r>
        <w:t>Axios (côté serveur)</w:t>
      </w:r>
    </w:p>
    <w:p>
      <w:pPr>
        <w:spacing w:after="160" w:line="240" w:lineRule="auto"/>
      </w:pPr>
      <w:r>
        <w:rPr>
          <w:rFonts w:ascii="Calibri" w:hAnsi="Calibri" w:eastAsia="Calibri"/>
          <w:b w:val="0"/>
          <w:i w:val="0"/>
          <w:sz w:val="22"/>
        </w:rPr>
        <w:t>Également présent côté API pour d’éventuels appels HTTP sortants (services externes) de manière homogène.</w:t>
      </w:r>
    </w:p>
    <w:p>
      <w:pPr>
        <w:pStyle w:val="Heading3"/>
      </w:pPr>
      <w:r>
        <w:t>Jest + Supertest</w:t>
      </w:r>
    </w:p>
    <w:p>
      <w:pPr>
        <w:spacing w:after="160" w:line="240" w:lineRule="auto"/>
      </w:pPr>
      <w:r>
        <w:rPr>
          <w:rFonts w:ascii="Calibri" w:hAnsi="Calibri" w:eastAsia="Calibri"/>
          <w:b w:val="0"/>
          <w:i w:val="0"/>
          <w:sz w:val="22"/>
        </w:rPr>
        <w:t>Jest exécute les tests automatisés de l’API ; Supertest simule des requêtes HTTP sur l’application Express pour vérifier contrôleurs et routes (ex. campagnes, auth) sans navigateur.</w:t>
      </w:r>
    </w:p>
    <w:p>
      <w:pPr>
        <w:pStyle w:val="Heading2"/>
      </w:pPr>
      <w:r>
        <w:t>9.5 Base de données et administration</w:t>
      </w:r>
    </w:p>
    <w:p>
      <w:pPr>
        <w:pStyle w:val="Heading3"/>
      </w:pPr>
      <w:r>
        <w:t>MySQL</w:t>
      </w:r>
    </w:p>
    <w:p>
      <w:pPr>
        <w:spacing w:after="160" w:line="240" w:lineRule="auto"/>
      </w:pPr>
      <w:r>
        <w:rPr>
          <w:rFonts w:ascii="Calibri" w:hAnsi="Calibri" w:eastAsia="Calibri"/>
          <w:b w:val="0"/>
          <w:i w:val="0"/>
          <w:sz w:val="22"/>
        </w:rPr>
        <w:t>SGBD relationnel choisi pour UniPath. Il stocke l’ensemble des entités métier, garantit l’intégrité référentielle et les unicités (e-mail, matricule, numéro de table, etc.). En environnement de développement local, MySQL est typiquement fourni par Laragon.</w:t>
      </w:r>
    </w:p>
    <w:p>
      <w:pPr>
        <w:pStyle w:val="Heading3"/>
      </w:pPr>
      <w:r>
        <w:t>Laragon (environnement local)</w:t>
      </w:r>
    </w:p>
    <w:p>
      <w:pPr>
        <w:spacing w:after="160" w:line="240" w:lineRule="auto"/>
      </w:pPr>
      <w:r>
        <w:rPr>
          <w:rFonts w:ascii="Calibri" w:hAnsi="Calibri" w:eastAsia="Calibri"/>
          <w:b w:val="0"/>
          <w:i w:val="0"/>
          <w:sz w:val="22"/>
        </w:rPr>
        <w:t>Stack locale Windows regroupant notamment MySQL (et souvent PHP). Elle facilite le démarrage rapide de la base unipath et la disponibilité de l’interpréteur PHP requis pour les PDF.</w:t>
      </w:r>
    </w:p>
    <w:p>
      <w:pPr>
        <w:pStyle w:val="Heading3"/>
      </w:pPr>
      <w:r>
        <w:t>phpMyAdmin (optionnel)</w:t>
      </w:r>
    </w:p>
    <w:p>
      <w:pPr>
        <w:spacing w:after="160" w:line="240" w:lineRule="auto"/>
      </w:pPr>
      <w:r>
        <w:rPr>
          <w:rFonts w:ascii="Calibri" w:hAnsi="Calibri" w:eastAsia="Calibri"/>
          <w:b w:val="0"/>
          <w:i w:val="0"/>
          <w:sz w:val="22"/>
        </w:rPr>
        <w:t>Interface web d’administration MySQL parfois utilisée pour inspecter les tables, importer/exporter ou vérifier des données pendant le développement. Ce n’est pas un composant runtime de l’application.</w:t>
      </w:r>
    </w:p>
    <w:p>
      <w:pPr>
        <w:pStyle w:val="Heading2"/>
      </w:pPr>
      <w:r>
        <w:t>9.6 Outils de développement collaboratif et qualité</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Outil</w:t>
            </w:r>
          </w:p>
        </w:tc>
        <w:tc>
          <w:tcPr>
            <w:tcW w:type="dxa" w:w="4873"/>
          </w:tcPr>
          <w:p>
            <w:r>
              <w:rPr>
                <w:rFonts w:ascii="Calibri" w:hAnsi="Calibri" w:eastAsia="Calibri"/>
                <w:b/>
                <w:i w:val="0"/>
                <w:sz w:val="20"/>
              </w:rPr>
              <w:t>Rôle dans le projet</w:t>
            </w:r>
          </w:p>
        </w:tc>
      </w:tr>
      <w:tr>
        <w:tc>
          <w:tcPr>
            <w:tcW w:type="dxa" w:w="4873"/>
          </w:tcPr>
          <w:p>
            <w:r>
              <w:rPr>
                <w:rFonts w:ascii="Calibri" w:hAnsi="Calibri" w:eastAsia="Calibri"/>
                <w:b w:val="0"/>
                <w:i w:val="0"/>
                <w:sz w:val="18"/>
              </w:rPr>
              <w:t>Git</w:t>
            </w:r>
          </w:p>
        </w:tc>
        <w:tc>
          <w:tcPr>
            <w:tcW w:type="dxa" w:w="4873"/>
          </w:tcPr>
          <w:p>
            <w:r>
              <w:rPr>
                <w:rFonts w:ascii="Calibri" w:hAnsi="Calibri" w:eastAsia="Calibri"/>
                <w:b w:val="0"/>
                <w:i w:val="0"/>
                <w:sz w:val="18"/>
              </w:rPr>
              <w:t>Versionnement du code source, branches, historique des changements</w:t>
            </w:r>
          </w:p>
        </w:tc>
      </w:tr>
      <w:tr>
        <w:tc>
          <w:tcPr>
            <w:tcW w:type="dxa" w:w="4873"/>
          </w:tcPr>
          <w:p>
            <w:r>
              <w:rPr>
                <w:rFonts w:ascii="Calibri" w:hAnsi="Calibri" w:eastAsia="Calibri"/>
                <w:b w:val="0"/>
                <w:i w:val="0"/>
                <w:sz w:val="18"/>
              </w:rPr>
              <w:t>GitHub / dépôt distant (si utilisé)</w:t>
            </w:r>
          </w:p>
        </w:tc>
        <w:tc>
          <w:tcPr>
            <w:tcW w:type="dxa" w:w="4873"/>
          </w:tcPr>
          <w:p>
            <w:r>
              <w:rPr>
                <w:rFonts w:ascii="Calibri" w:hAnsi="Calibri" w:eastAsia="Calibri"/>
                <w:b w:val="0"/>
                <w:i w:val="0"/>
                <w:sz w:val="18"/>
              </w:rPr>
              <w:t>Sauvegarde distante, collaboration, pull requests</w:t>
            </w:r>
          </w:p>
        </w:tc>
      </w:tr>
      <w:tr>
        <w:tc>
          <w:tcPr>
            <w:tcW w:type="dxa" w:w="4873"/>
          </w:tcPr>
          <w:p>
            <w:r>
              <w:rPr>
                <w:rFonts w:ascii="Calibri" w:hAnsi="Calibri" w:eastAsia="Calibri"/>
                <w:b w:val="0"/>
                <w:i w:val="0"/>
                <w:sz w:val="18"/>
              </w:rPr>
              <w:t>Visual Studio Code / Cursor</w:t>
            </w:r>
          </w:p>
        </w:tc>
        <w:tc>
          <w:tcPr>
            <w:tcW w:type="dxa" w:w="4873"/>
          </w:tcPr>
          <w:p>
            <w:r>
              <w:rPr>
                <w:rFonts w:ascii="Calibri" w:hAnsi="Calibri" w:eastAsia="Calibri"/>
                <w:b w:val="0"/>
                <w:i w:val="0"/>
                <w:sz w:val="18"/>
              </w:rPr>
              <w:t>Environnement de développement (édition, terminal, IA assistée)</w:t>
            </w:r>
          </w:p>
        </w:tc>
      </w:tr>
      <w:tr>
        <w:tc>
          <w:tcPr>
            <w:tcW w:type="dxa" w:w="4873"/>
          </w:tcPr>
          <w:p>
            <w:r>
              <w:rPr>
                <w:rFonts w:ascii="Calibri" w:hAnsi="Calibri" w:eastAsia="Calibri"/>
                <w:b w:val="0"/>
                <w:i w:val="0"/>
                <w:sz w:val="18"/>
              </w:rPr>
              <w:t>npm</w:t>
            </w:r>
          </w:p>
        </w:tc>
        <w:tc>
          <w:tcPr>
            <w:tcW w:type="dxa" w:w="4873"/>
          </w:tcPr>
          <w:p>
            <w:r>
              <w:rPr>
                <w:rFonts w:ascii="Calibri" w:hAnsi="Calibri" w:eastAsia="Calibri"/>
                <w:b w:val="0"/>
                <w:i w:val="0"/>
                <w:sz w:val="18"/>
              </w:rPr>
              <w:t>Gestion des dépendances Node et scripts (start, build, test, seed)</w:t>
            </w:r>
          </w:p>
        </w:tc>
      </w:tr>
      <w:tr>
        <w:tc>
          <w:tcPr>
            <w:tcW w:type="dxa" w:w="4873"/>
          </w:tcPr>
          <w:p>
            <w:r>
              <w:rPr>
                <w:rFonts w:ascii="Calibri" w:hAnsi="Calibri" w:eastAsia="Calibri"/>
                <w:b w:val="0"/>
                <w:i w:val="0"/>
                <w:sz w:val="18"/>
              </w:rPr>
              <w:t>Postman / Insomnia (optionnel)</w:t>
            </w:r>
          </w:p>
        </w:tc>
        <w:tc>
          <w:tcPr>
            <w:tcW w:type="dxa" w:w="4873"/>
          </w:tcPr>
          <w:p>
            <w:r>
              <w:rPr>
                <w:rFonts w:ascii="Calibri" w:hAnsi="Calibri" w:eastAsia="Calibri"/>
                <w:b w:val="0"/>
                <w:i w:val="0"/>
                <w:sz w:val="18"/>
              </w:rPr>
              <w:t>Tests manuels des endpoints REST pendant le développement</w:t>
            </w:r>
          </w:p>
        </w:tc>
      </w:tr>
      <w:tr>
        <w:tc>
          <w:tcPr>
            <w:tcW w:type="dxa" w:w="4873"/>
          </w:tcPr>
          <w:p>
            <w:r>
              <w:rPr>
                <w:rFonts w:ascii="Calibri" w:hAnsi="Calibri" w:eastAsia="Calibri"/>
                <w:b w:val="0"/>
                <w:i w:val="0"/>
                <w:sz w:val="18"/>
              </w:rPr>
              <w:t>Navigateur (Chrome / Edge…)</w:t>
            </w:r>
          </w:p>
        </w:tc>
        <w:tc>
          <w:tcPr>
            <w:tcW w:type="dxa" w:w="4873"/>
          </w:tcPr>
          <w:p>
            <w:r>
              <w:rPr>
                <w:rFonts w:ascii="Calibri" w:hAnsi="Calibri" w:eastAsia="Calibri"/>
                <w:b w:val="0"/>
                <w:i w:val="0"/>
                <w:sz w:val="18"/>
              </w:rPr>
              <w:t>Exécution et débogage de l’interface</w:t>
            </w:r>
          </w:p>
        </w:tc>
      </w:tr>
    </w:tbl>
    <w:p/>
    <w:p>
      <w:pPr>
        <w:pStyle w:val="Heading2"/>
      </w:pPr>
      <w:r>
        <w:t>9.7 Synthèse des composants runtime</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i w:val="0"/>
                <w:sz w:val="20"/>
              </w:rPr>
              <w:t>Couche</w:t>
            </w:r>
          </w:p>
        </w:tc>
        <w:tc>
          <w:tcPr>
            <w:tcW w:type="dxa" w:w="3249"/>
          </w:tcPr>
          <w:p>
            <w:r>
              <w:rPr>
                <w:rFonts w:ascii="Calibri" w:hAnsi="Calibri" w:eastAsia="Calibri"/>
                <w:b/>
                <w:i w:val="0"/>
                <w:sz w:val="20"/>
              </w:rPr>
              <w:t>Technologie</w:t>
            </w:r>
          </w:p>
        </w:tc>
        <w:tc>
          <w:tcPr>
            <w:tcW w:type="dxa" w:w="3249"/>
          </w:tcPr>
          <w:p>
            <w:r>
              <w:rPr>
                <w:rFonts w:ascii="Calibri" w:hAnsi="Calibri" w:eastAsia="Calibri"/>
                <w:b/>
                <w:i w:val="0"/>
                <w:sz w:val="20"/>
              </w:rPr>
              <w:t>Responsabilité</w:t>
            </w:r>
          </w:p>
        </w:tc>
      </w:tr>
      <w:tr>
        <w:tc>
          <w:tcPr>
            <w:tcW w:type="dxa" w:w="3249"/>
          </w:tcPr>
          <w:p>
            <w:r>
              <w:rPr>
                <w:rFonts w:ascii="Calibri" w:hAnsi="Calibri" w:eastAsia="Calibri"/>
                <w:b w:val="0"/>
                <w:i w:val="0"/>
                <w:sz w:val="18"/>
              </w:rPr>
              <w:t>Présentation</w:t>
            </w:r>
          </w:p>
        </w:tc>
        <w:tc>
          <w:tcPr>
            <w:tcW w:type="dxa" w:w="3249"/>
          </w:tcPr>
          <w:p>
            <w:r>
              <w:rPr>
                <w:rFonts w:ascii="Calibri" w:hAnsi="Calibri" w:eastAsia="Calibri"/>
                <w:b w:val="0"/>
                <w:i w:val="0"/>
                <w:sz w:val="18"/>
              </w:rPr>
              <w:t>React + Vite + Tailwind</w:t>
            </w:r>
          </w:p>
        </w:tc>
        <w:tc>
          <w:tcPr>
            <w:tcW w:type="dxa" w:w="3249"/>
          </w:tcPr>
          <w:p>
            <w:r>
              <w:rPr>
                <w:rFonts w:ascii="Calibri" w:hAnsi="Calibri" w:eastAsia="Calibri"/>
                <w:b w:val="0"/>
                <w:i w:val="0"/>
                <w:sz w:val="18"/>
              </w:rPr>
              <w:t>Interfaces par rôle</w:t>
            </w:r>
          </w:p>
        </w:tc>
      </w:tr>
      <w:tr>
        <w:tc>
          <w:tcPr>
            <w:tcW w:type="dxa" w:w="3249"/>
          </w:tcPr>
          <w:p>
            <w:r>
              <w:rPr>
                <w:rFonts w:ascii="Calibri" w:hAnsi="Calibri" w:eastAsia="Calibri"/>
                <w:b w:val="0"/>
                <w:i w:val="0"/>
                <w:sz w:val="18"/>
              </w:rPr>
              <w:t>Application</w:t>
            </w:r>
          </w:p>
        </w:tc>
        <w:tc>
          <w:tcPr>
            <w:tcW w:type="dxa" w:w="3249"/>
          </w:tcPr>
          <w:p>
            <w:r>
              <w:rPr>
                <w:rFonts w:ascii="Calibri" w:hAnsi="Calibri" w:eastAsia="Calibri"/>
                <w:b w:val="0"/>
                <w:i w:val="0"/>
                <w:sz w:val="18"/>
              </w:rPr>
              <w:t>Node.js + Express</w:t>
            </w:r>
          </w:p>
        </w:tc>
        <w:tc>
          <w:tcPr>
            <w:tcW w:type="dxa" w:w="3249"/>
          </w:tcPr>
          <w:p>
            <w:r>
              <w:rPr>
                <w:rFonts w:ascii="Calibri" w:hAnsi="Calibri" w:eastAsia="Calibri"/>
                <w:b w:val="0"/>
                <w:i w:val="0"/>
                <w:sz w:val="18"/>
              </w:rPr>
              <w:t>Règles métier, API, auth, uploads</w:t>
            </w:r>
          </w:p>
        </w:tc>
      </w:tr>
      <w:tr>
        <w:tc>
          <w:tcPr>
            <w:tcW w:type="dxa" w:w="3249"/>
          </w:tcPr>
          <w:p>
            <w:r>
              <w:rPr>
                <w:rFonts w:ascii="Calibri" w:hAnsi="Calibri" w:eastAsia="Calibri"/>
                <w:b w:val="0"/>
                <w:i w:val="0"/>
                <w:sz w:val="18"/>
              </w:rPr>
              <w:t>Accès données</w:t>
            </w:r>
          </w:p>
        </w:tc>
        <w:tc>
          <w:tcPr>
            <w:tcW w:type="dxa" w:w="3249"/>
          </w:tcPr>
          <w:p>
            <w:r>
              <w:rPr>
                <w:rFonts w:ascii="Calibri" w:hAnsi="Calibri" w:eastAsia="Calibri"/>
                <w:b w:val="0"/>
                <w:i w:val="0"/>
                <w:sz w:val="18"/>
              </w:rPr>
              <w:t>Prisma</w:t>
            </w:r>
          </w:p>
        </w:tc>
        <w:tc>
          <w:tcPr>
            <w:tcW w:type="dxa" w:w="3249"/>
          </w:tcPr>
          <w:p>
            <w:r>
              <w:rPr>
                <w:rFonts w:ascii="Calibri" w:hAnsi="Calibri" w:eastAsia="Calibri"/>
                <w:b w:val="0"/>
                <w:i w:val="0"/>
                <w:sz w:val="18"/>
              </w:rPr>
              <w:t>Mapping objets ↔ tables, migrations</w:t>
            </w:r>
          </w:p>
        </w:tc>
      </w:tr>
      <w:tr>
        <w:tc>
          <w:tcPr>
            <w:tcW w:type="dxa" w:w="3249"/>
          </w:tcPr>
          <w:p>
            <w:r>
              <w:rPr>
                <w:rFonts w:ascii="Calibri" w:hAnsi="Calibri" w:eastAsia="Calibri"/>
                <w:b w:val="0"/>
                <w:i w:val="0"/>
                <w:sz w:val="18"/>
              </w:rPr>
              <w:t>Persistance</w:t>
            </w:r>
          </w:p>
        </w:tc>
        <w:tc>
          <w:tcPr>
            <w:tcW w:type="dxa" w:w="3249"/>
          </w:tcPr>
          <w:p>
            <w:r>
              <w:rPr>
                <w:rFonts w:ascii="Calibri" w:hAnsi="Calibri" w:eastAsia="Calibri"/>
                <w:b w:val="0"/>
                <w:i w:val="0"/>
                <w:sz w:val="18"/>
              </w:rPr>
              <w:t>MySQL</w:t>
            </w:r>
          </w:p>
        </w:tc>
        <w:tc>
          <w:tcPr>
            <w:tcW w:type="dxa" w:w="3249"/>
          </w:tcPr>
          <w:p>
            <w:r>
              <w:rPr>
                <w:rFonts w:ascii="Calibri" w:hAnsi="Calibri" w:eastAsia="Calibri"/>
                <w:b w:val="0"/>
                <w:i w:val="0"/>
                <w:sz w:val="18"/>
              </w:rPr>
              <w:t>Stockage durable</w:t>
            </w:r>
          </w:p>
        </w:tc>
      </w:tr>
      <w:tr>
        <w:tc>
          <w:tcPr>
            <w:tcW w:type="dxa" w:w="3249"/>
          </w:tcPr>
          <w:p>
            <w:r>
              <w:rPr>
                <w:rFonts w:ascii="Calibri" w:hAnsi="Calibri" w:eastAsia="Calibri"/>
                <w:b w:val="0"/>
                <w:i w:val="0"/>
                <w:sz w:val="18"/>
              </w:rPr>
              <w:t>Documents</w:t>
            </w:r>
          </w:p>
        </w:tc>
        <w:tc>
          <w:tcPr>
            <w:tcW w:type="dxa" w:w="3249"/>
          </w:tcPr>
          <w:p>
            <w:r>
              <w:rPr>
                <w:rFonts w:ascii="Calibri" w:hAnsi="Calibri" w:eastAsia="Calibri"/>
                <w:b w:val="0"/>
                <w:i w:val="0"/>
                <w:sz w:val="18"/>
              </w:rPr>
              <w:t>PHP + FPDF (+ PDFKit)</w:t>
            </w:r>
          </w:p>
        </w:tc>
        <w:tc>
          <w:tcPr>
            <w:tcW w:type="dxa" w:w="3249"/>
          </w:tcPr>
          <w:p>
            <w:r>
              <w:rPr>
                <w:rFonts w:ascii="Calibri" w:hAnsi="Calibri" w:eastAsia="Calibri"/>
                <w:b w:val="0"/>
                <w:i w:val="0"/>
                <w:sz w:val="18"/>
              </w:rPr>
              <w:t>PDF officiels / exports</w:t>
            </w:r>
          </w:p>
        </w:tc>
      </w:tr>
      <w:tr>
        <w:tc>
          <w:tcPr>
            <w:tcW w:type="dxa" w:w="3249"/>
          </w:tcPr>
          <w:p>
            <w:r>
              <w:rPr>
                <w:rFonts w:ascii="Calibri" w:hAnsi="Calibri" w:eastAsia="Calibri"/>
                <w:b w:val="0"/>
                <w:i w:val="0"/>
                <w:sz w:val="18"/>
              </w:rPr>
              <w:t>Messagerie</w:t>
            </w:r>
          </w:p>
        </w:tc>
        <w:tc>
          <w:tcPr>
            <w:tcW w:type="dxa" w:w="3249"/>
          </w:tcPr>
          <w:p>
            <w:r>
              <w:rPr>
                <w:rFonts w:ascii="Calibri" w:hAnsi="Calibri" w:eastAsia="Calibri"/>
                <w:b w:val="0"/>
                <w:i w:val="0"/>
                <w:sz w:val="18"/>
              </w:rPr>
              <w:t>Nodemailer / SMTP / Resend</w:t>
            </w:r>
          </w:p>
        </w:tc>
        <w:tc>
          <w:tcPr>
            <w:tcW w:type="dxa" w:w="3249"/>
          </w:tcPr>
          <w:p>
            <w:r>
              <w:rPr>
                <w:rFonts w:ascii="Calibri" w:hAnsi="Calibri" w:eastAsia="Calibri"/>
                <w:b w:val="0"/>
                <w:i w:val="0"/>
                <w:sz w:val="18"/>
              </w:rPr>
              <w:t>E-mails</w:t>
            </w:r>
          </w:p>
        </w:tc>
      </w:tr>
      <w:tr>
        <w:tc>
          <w:tcPr>
            <w:tcW w:type="dxa" w:w="3249"/>
          </w:tcPr>
          <w:p>
            <w:r>
              <w:rPr>
                <w:rFonts w:ascii="Calibri" w:hAnsi="Calibri" w:eastAsia="Calibri"/>
                <w:b w:val="0"/>
                <w:i w:val="0"/>
                <w:sz w:val="18"/>
              </w:rPr>
              <w:t>Exports tabulaire</w:t>
            </w:r>
          </w:p>
        </w:tc>
        <w:tc>
          <w:tcPr>
            <w:tcW w:type="dxa" w:w="3249"/>
          </w:tcPr>
          <w:p>
            <w:r>
              <w:rPr>
                <w:rFonts w:ascii="Calibri" w:hAnsi="Calibri" w:eastAsia="Calibri"/>
                <w:b w:val="0"/>
                <w:i w:val="0"/>
                <w:sz w:val="18"/>
              </w:rPr>
              <w:t>ExcelJS</w:t>
            </w:r>
          </w:p>
        </w:tc>
        <w:tc>
          <w:tcPr>
            <w:tcW w:type="dxa" w:w="3249"/>
          </w:tcPr>
          <w:p>
            <w:r>
              <w:rPr>
                <w:rFonts w:ascii="Calibri" w:hAnsi="Calibri" w:eastAsia="Calibri"/>
                <w:b w:val="0"/>
                <w:i w:val="0"/>
                <w:sz w:val="18"/>
              </w:rPr>
              <w:t>Fichiers .xlsx</w:t>
            </w:r>
          </w:p>
        </w:tc>
      </w:tr>
    </w:tbl>
    <w:p/>
    <w:p>
      <w:pPr>
        <w:spacing w:after="200"/>
      </w:pPr>
      <w:r>
        <w:rPr>
          <w:rFonts w:ascii="Calibri" w:hAnsi="Calibri" w:eastAsia="Calibri"/>
          <w:b/>
          <w:i w:val="0"/>
          <w:color w:val="1D4ED8"/>
          <w:sz w:val="22"/>
        </w:rPr>
        <w:t xml:space="preserve">Note : </w:t>
      </w:r>
      <w:r>
        <w:rPr>
          <w:rFonts w:ascii="Calibri" w:hAnsi="Calibri" w:eastAsia="Calibri"/>
          <w:b w:val="0"/>
          <w:i w:val="0"/>
          <w:sz w:val="22"/>
        </w:rPr>
        <w:t>PHP est donc nécessaire au projet pour la génération des PDF officiels, même si le cœur applicatif reste Node.js / React / MySQL.</w:t>
      </w:r>
    </w:p>
    <w:p>
      <w:r>
        <w:br w:type="page"/>
      </w:r>
    </w:p>
    <w:p>
      <w:pPr>
        <w:pStyle w:val="Heading1"/>
      </w:pPr>
      <w:r>
        <w:t>10. Base de données</w:t>
      </w:r>
    </w:p>
    <w:p>
      <w:pPr>
        <w:pStyle w:val="Heading2"/>
      </w:pPr>
      <w:r>
        <w:t>10.1 Choix et justification</w:t>
      </w:r>
    </w:p>
    <w:p>
      <w:pPr>
        <w:spacing w:after="160" w:line="240" w:lineRule="auto"/>
      </w:pPr>
      <w:r>
        <w:rPr>
          <w:rFonts w:ascii="Calibri" w:hAnsi="Calibri" w:eastAsia="Calibri"/>
          <w:b w:val="0"/>
          <w:i w:val="0"/>
          <w:sz w:val="22"/>
        </w:rPr>
        <w:t>UniPath utilise MySQL comme système de gestion de base de données relationnel. Ce choix convient à un domaine fortement relationnel (candidats, concours, centres, établissements, campagnes) et s’intègre naturellement à l’écosystème de développement local (Laragon) ainsi qu’à Prisma.</w:t>
      </w:r>
    </w:p>
    <w:p>
      <w:pPr>
        <w:pStyle w:val="ListBullet"/>
      </w:pPr>
      <w:r>
        <w:rPr>
          <w:rFonts w:ascii="Calibri" w:hAnsi="Calibri" w:eastAsia="Calibri"/>
          <w:b w:val="0"/>
          <w:i w:val="0"/>
          <w:sz w:val="22"/>
        </w:rPr>
        <w:t>Intégrité des données via clés étrangères, unicités et énumérations de statuts</w:t>
      </w:r>
    </w:p>
    <w:p>
      <w:pPr>
        <w:pStyle w:val="ListBullet"/>
      </w:pPr>
      <w:r>
        <w:rPr>
          <w:rFonts w:ascii="Calibri" w:hAnsi="Calibri" w:eastAsia="Calibri"/>
          <w:b w:val="0"/>
          <w:i w:val="0"/>
          <w:sz w:val="22"/>
        </w:rPr>
        <w:t>Requêtes relationnelles pour statistiques et listes complexes</w:t>
      </w:r>
    </w:p>
    <w:p>
      <w:pPr>
        <w:pStyle w:val="ListBullet"/>
      </w:pPr>
      <w:r>
        <w:rPr>
          <w:rFonts w:ascii="Calibri" w:hAnsi="Calibri" w:eastAsia="Calibri"/>
          <w:b w:val="0"/>
          <w:i w:val="0"/>
          <w:sz w:val="22"/>
        </w:rPr>
        <w:t>Séparation claire : le front n’accède jamais directement à MySQL</w:t>
      </w:r>
    </w:p>
    <w:p>
      <w:pPr>
        <w:pStyle w:val="ListBullet"/>
      </w:pPr>
      <w:r>
        <w:rPr>
          <w:rFonts w:ascii="Calibri" w:hAnsi="Calibri" w:eastAsia="Calibri"/>
          <w:b w:val="0"/>
          <w:i w:val="0"/>
          <w:sz w:val="22"/>
        </w:rPr>
        <w:t>Évolution maîtrisée du schéma par migrations Prisma</w:t>
      </w:r>
    </w:p>
    <w:p>
      <w:pPr>
        <w:pStyle w:val="Heading2"/>
      </w:pPr>
      <w:r>
        <w:t>10.2 Rôle de Prisma vis-à-vis de MySQL</w:t>
      </w:r>
    </w:p>
    <w:p>
      <w:pPr>
        <w:spacing w:after="160" w:line="240" w:lineRule="auto"/>
      </w:pPr>
      <w:r>
        <w:rPr>
          <w:rFonts w:ascii="Calibri" w:hAnsi="Calibri" w:eastAsia="Calibri"/>
          <w:b w:val="0"/>
          <w:i w:val="0"/>
          <w:sz w:val="22"/>
        </w:rPr>
        <w:t>MySQL stocke les données. Prisma décrit le schéma, applique les migrations SQL, et fournit un client JavaScript. Toute évolution structurelle (nouvelle table, nouvelle colonne) passe par une migration versionnée dans le dépôt.</w:t>
      </w:r>
    </w:p>
    <w:p>
      <w:pPr>
        <w:pStyle w:val="Heading2"/>
      </w:pPr>
      <w:r>
        <w:t>10.3 Domaines de données</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Domaine</w:t>
            </w:r>
          </w:p>
        </w:tc>
        <w:tc>
          <w:tcPr>
            <w:tcW w:type="dxa" w:w="4873"/>
          </w:tcPr>
          <w:p>
            <w:r>
              <w:rPr>
                <w:rFonts w:ascii="Calibri" w:hAnsi="Calibri" w:eastAsia="Calibri"/>
                <w:b/>
                <w:i w:val="0"/>
                <w:sz w:val="20"/>
              </w:rPr>
              <w:t>Tables / modèles représentatifs</w:t>
            </w:r>
          </w:p>
        </w:tc>
      </w:tr>
      <w:tr>
        <w:tc>
          <w:tcPr>
            <w:tcW w:type="dxa" w:w="4873"/>
          </w:tcPr>
          <w:p>
            <w:r>
              <w:rPr>
                <w:rFonts w:ascii="Calibri" w:hAnsi="Calibri" w:eastAsia="Calibri"/>
                <w:b w:val="0"/>
                <w:i w:val="0"/>
                <w:sz w:val="18"/>
              </w:rPr>
              <w:t>Authentification</w:t>
            </w:r>
          </w:p>
        </w:tc>
        <w:tc>
          <w:tcPr>
            <w:tcW w:type="dxa" w:w="4873"/>
          </w:tcPr>
          <w:p>
            <w:r>
              <w:rPr>
                <w:rFonts w:ascii="Calibri" w:hAnsi="Calibri" w:eastAsia="Calibri"/>
                <w:b w:val="0"/>
                <w:i w:val="0"/>
                <w:sz w:val="18"/>
              </w:rPr>
              <w:t>Compte, ParametreSysteme</w:t>
            </w:r>
          </w:p>
        </w:tc>
      </w:tr>
      <w:tr>
        <w:tc>
          <w:tcPr>
            <w:tcW w:type="dxa" w:w="4873"/>
          </w:tcPr>
          <w:p>
            <w:r>
              <w:rPr>
                <w:rFonts w:ascii="Calibri" w:hAnsi="Calibri" w:eastAsia="Calibri"/>
                <w:b w:val="0"/>
                <w:i w:val="0"/>
                <w:sz w:val="18"/>
              </w:rPr>
              <w:t>Profils</w:t>
            </w:r>
          </w:p>
        </w:tc>
        <w:tc>
          <w:tcPr>
            <w:tcW w:type="dxa" w:w="4873"/>
          </w:tcPr>
          <w:p>
            <w:r>
              <w:rPr>
                <w:rFonts w:ascii="Calibri" w:hAnsi="Calibri" w:eastAsia="Calibri"/>
                <w:b w:val="0"/>
                <w:i w:val="0"/>
                <w:sz w:val="18"/>
              </w:rPr>
              <w:t>Candidat, AdministrateurDEC, AdministrateurDGES, MembreCommission, Controleur, AdminEtablissement</w:t>
            </w:r>
          </w:p>
        </w:tc>
      </w:tr>
      <w:tr>
        <w:tc>
          <w:tcPr>
            <w:tcW w:type="dxa" w:w="4873"/>
          </w:tcPr>
          <w:p>
            <w:r>
              <w:rPr>
                <w:rFonts w:ascii="Calibri" w:hAnsi="Calibri" w:eastAsia="Calibri"/>
                <w:b w:val="0"/>
                <w:i w:val="0"/>
                <w:sz w:val="18"/>
              </w:rPr>
              <w:t>Module 1</w:t>
            </w:r>
          </w:p>
        </w:tc>
        <w:tc>
          <w:tcPr>
            <w:tcW w:type="dxa" w:w="4873"/>
          </w:tcPr>
          <w:p>
            <w:r>
              <w:rPr>
                <w:rFonts w:ascii="Calibri" w:hAnsi="Calibri" w:eastAsia="Calibri"/>
                <w:b w:val="0"/>
                <w:i w:val="0"/>
                <w:sz w:val="18"/>
              </w:rPr>
              <w:t>AnneeAcademique, Concours, Inscription, DossierInscription, CentreComposition, Commune, AffectationCommissionConcours</w:t>
            </w:r>
          </w:p>
        </w:tc>
      </w:tr>
      <w:tr>
        <w:tc>
          <w:tcPr>
            <w:tcW w:type="dxa" w:w="4873"/>
          </w:tcPr>
          <w:p>
            <w:r>
              <w:rPr>
                <w:rFonts w:ascii="Calibri" w:hAnsi="Calibri" w:eastAsia="Calibri"/>
                <w:b w:val="0"/>
                <w:i w:val="0"/>
                <w:sz w:val="18"/>
              </w:rPr>
              <w:t>Dossier personnel</w:t>
            </w:r>
          </w:p>
        </w:tc>
        <w:tc>
          <w:tcPr>
            <w:tcW w:type="dxa" w:w="4873"/>
          </w:tcPr>
          <w:p>
            <w:r>
              <w:rPr>
                <w:rFonts w:ascii="Calibri" w:hAnsi="Calibri" w:eastAsia="Calibri"/>
                <w:b w:val="0"/>
                <w:i w:val="0"/>
                <w:sz w:val="18"/>
              </w:rPr>
              <w:t>Dossier, Diplome</w:t>
            </w:r>
          </w:p>
        </w:tc>
      </w:tr>
      <w:tr>
        <w:tc>
          <w:tcPr>
            <w:tcW w:type="dxa" w:w="4873"/>
          </w:tcPr>
          <w:p>
            <w:r>
              <w:rPr>
                <w:rFonts w:ascii="Calibri" w:hAnsi="Calibri" w:eastAsia="Calibri"/>
                <w:b w:val="0"/>
                <w:i w:val="0"/>
                <w:sz w:val="18"/>
              </w:rPr>
              <w:t>Module 2</w:t>
            </w:r>
          </w:p>
        </w:tc>
        <w:tc>
          <w:tcPr>
            <w:tcW w:type="dxa" w:w="4873"/>
          </w:tcPr>
          <w:p>
            <w:r>
              <w:rPr>
                <w:rFonts w:ascii="Calibri" w:hAnsi="Calibri" w:eastAsia="Calibri"/>
                <w:b w:val="0"/>
                <w:i w:val="0"/>
                <w:sz w:val="18"/>
              </w:rPr>
              <w:t>Etablissement, Filiere, FiliereReference, DemandeAjoutFiliere, CampagneInscription, CampagneFiliere, Application, PreinscriptionEtablissement, InscriptionAcademique</w:t>
            </w:r>
          </w:p>
        </w:tc>
      </w:tr>
      <w:tr>
        <w:tc>
          <w:tcPr>
            <w:tcW w:type="dxa" w:w="4873"/>
          </w:tcPr>
          <w:p>
            <w:r>
              <w:rPr>
                <w:rFonts w:ascii="Calibri" w:hAnsi="Calibri" w:eastAsia="Calibri"/>
                <w:b w:val="0"/>
                <w:i w:val="0"/>
                <w:sz w:val="18"/>
              </w:rPr>
              <w:t>Scolarité / notes</w:t>
            </w:r>
          </w:p>
        </w:tc>
        <w:tc>
          <w:tcPr>
            <w:tcW w:type="dxa" w:w="4873"/>
          </w:tcPr>
          <w:p>
            <w:r>
              <w:rPr>
                <w:rFonts w:ascii="Calibri" w:hAnsi="Calibri" w:eastAsia="Calibri"/>
                <w:b w:val="0"/>
                <w:i w:val="0"/>
                <w:sz w:val="18"/>
              </w:rPr>
              <w:t>UniteEnseignement, ValidationUE, Note</w:t>
            </w:r>
          </w:p>
        </w:tc>
      </w:tr>
      <w:tr>
        <w:tc>
          <w:tcPr>
            <w:tcW w:type="dxa" w:w="4873"/>
          </w:tcPr>
          <w:p>
            <w:r>
              <w:rPr>
                <w:rFonts w:ascii="Calibri" w:hAnsi="Calibri" w:eastAsia="Calibri"/>
                <w:b w:val="0"/>
                <w:i w:val="0"/>
                <w:sz w:val="18"/>
              </w:rPr>
              <w:t>Paiements / quittances (modèle)</w:t>
            </w:r>
          </w:p>
        </w:tc>
        <w:tc>
          <w:tcPr>
            <w:tcW w:type="dxa" w:w="4873"/>
          </w:tcPr>
          <w:p>
            <w:r>
              <w:rPr>
                <w:rFonts w:ascii="Calibri" w:hAnsi="Calibri" w:eastAsia="Calibri"/>
                <w:b w:val="0"/>
                <w:i w:val="0"/>
                <w:sz w:val="18"/>
              </w:rPr>
              <w:t>Payment, Receipt, SchoolRequirement</w:t>
            </w:r>
          </w:p>
        </w:tc>
      </w:tr>
      <w:tr>
        <w:tc>
          <w:tcPr>
            <w:tcW w:type="dxa" w:w="4873"/>
          </w:tcPr>
          <w:p>
            <w:r>
              <w:rPr>
                <w:rFonts w:ascii="Calibri" w:hAnsi="Calibri" w:eastAsia="Calibri"/>
                <w:b w:val="0"/>
                <w:i w:val="0"/>
                <w:sz w:val="18"/>
              </w:rPr>
              <w:t>Communication</w:t>
            </w:r>
          </w:p>
        </w:tc>
        <w:tc>
          <w:tcPr>
            <w:tcW w:type="dxa" w:w="4873"/>
          </w:tcPr>
          <w:p>
            <w:r>
              <w:rPr>
                <w:rFonts w:ascii="Calibri" w:hAnsi="Calibri" w:eastAsia="Calibri"/>
                <w:b w:val="0"/>
                <w:i w:val="0"/>
                <w:sz w:val="18"/>
              </w:rPr>
              <w:t>Notification, EmailDelivery, NotificationTemplate, SystemAlert</w:t>
            </w:r>
          </w:p>
        </w:tc>
      </w:tr>
      <w:tr>
        <w:tc>
          <w:tcPr>
            <w:tcW w:type="dxa" w:w="4873"/>
          </w:tcPr>
          <w:p>
            <w:r>
              <w:rPr>
                <w:rFonts w:ascii="Calibri" w:hAnsi="Calibri" w:eastAsia="Calibri"/>
                <w:b w:val="0"/>
                <w:i w:val="0"/>
                <w:sz w:val="18"/>
              </w:rPr>
              <w:t>Audit</w:t>
            </w:r>
          </w:p>
        </w:tc>
        <w:tc>
          <w:tcPr>
            <w:tcW w:type="dxa" w:w="4873"/>
          </w:tcPr>
          <w:p>
            <w:r>
              <w:rPr>
                <w:rFonts w:ascii="Calibri" w:hAnsi="Calibri" w:eastAsia="Calibri"/>
                <w:b w:val="0"/>
                <w:i w:val="0"/>
                <w:sz w:val="18"/>
              </w:rPr>
              <w:t>ActionHistory, NotificationAuditLog</w:t>
            </w:r>
          </w:p>
        </w:tc>
      </w:tr>
    </w:tbl>
    <w:p/>
    <w:p>
      <w:pPr>
        <w:pStyle w:val="Heading2"/>
      </w:pPr>
      <w:r>
        <w:t>10.4 Statuts métier importants</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Concept</w:t>
            </w:r>
          </w:p>
        </w:tc>
        <w:tc>
          <w:tcPr>
            <w:tcW w:type="dxa" w:w="4873"/>
          </w:tcPr>
          <w:p>
            <w:r>
              <w:rPr>
                <w:rFonts w:ascii="Calibri" w:hAnsi="Calibri" w:eastAsia="Calibri"/>
                <w:b/>
                <w:i w:val="0"/>
                <w:sz w:val="20"/>
              </w:rPr>
              <w:t>Valeurs typiques</w:t>
            </w:r>
          </w:p>
        </w:tc>
      </w:tr>
      <w:tr>
        <w:tc>
          <w:tcPr>
            <w:tcW w:type="dxa" w:w="4873"/>
          </w:tcPr>
          <w:p>
            <w:r>
              <w:rPr>
                <w:rFonts w:ascii="Calibri" w:hAnsi="Calibri" w:eastAsia="Calibri"/>
                <w:b w:val="0"/>
                <w:i w:val="0"/>
                <w:sz w:val="18"/>
              </w:rPr>
              <w:t>Statut dossier concours</w:t>
            </w:r>
          </w:p>
        </w:tc>
        <w:tc>
          <w:tcPr>
            <w:tcW w:type="dxa" w:w="4873"/>
          </w:tcPr>
          <w:p>
            <w:r>
              <w:rPr>
                <w:rFonts w:ascii="Calibri" w:hAnsi="Calibri" w:eastAsia="Calibri"/>
                <w:b w:val="0"/>
                <w:i w:val="0"/>
                <w:sz w:val="18"/>
              </w:rPr>
              <w:t>EN_ATTENTE, SOUS_RESERVE, VALIDE, REJETE, … (selon enum StatutDossier)</w:t>
            </w:r>
          </w:p>
        </w:tc>
      </w:tr>
      <w:tr>
        <w:tc>
          <w:tcPr>
            <w:tcW w:type="dxa" w:w="4873"/>
          </w:tcPr>
          <w:p>
            <w:r>
              <w:rPr>
                <w:rFonts w:ascii="Calibri" w:hAnsi="Calibri" w:eastAsia="Calibri"/>
                <w:b w:val="0"/>
                <w:i w:val="0"/>
                <w:sz w:val="18"/>
              </w:rPr>
              <w:t>Verdict</w:t>
            </w:r>
          </w:p>
        </w:tc>
        <w:tc>
          <w:tcPr>
            <w:tcW w:type="dxa" w:w="4873"/>
          </w:tcPr>
          <w:p>
            <w:r>
              <w:rPr>
                <w:rFonts w:ascii="Calibri" w:hAnsi="Calibri" w:eastAsia="Calibri"/>
                <w:b w:val="0"/>
                <w:i w:val="0"/>
                <w:sz w:val="18"/>
              </w:rPr>
              <w:t>Valeurs d’évaluation commission (Validé / Rejeté / Sous réserve)</w:t>
            </w:r>
          </w:p>
        </w:tc>
      </w:tr>
      <w:tr>
        <w:tc>
          <w:tcPr>
            <w:tcW w:type="dxa" w:w="4873"/>
          </w:tcPr>
          <w:p>
            <w:r>
              <w:rPr>
                <w:rFonts w:ascii="Calibri" w:hAnsi="Calibri" w:eastAsia="Calibri"/>
                <w:b w:val="0"/>
                <w:i w:val="0"/>
                <w:sz w:val="18"/>
              </w:rPr>
              <w:t>Résultat composition</w:t>
            </w:r>
          </w:p>
        </w:tc>
        <w:tc>
          <w:tcPr>
            <w:tcW w:type="dxa" w:w="4873"/>
          </w:tcPr>
          <w:p>
            <w:r>
              <w:rPr>
                <w:rFonts w:ascii="Calibri" w:hAnsi="Calibri" w:eastAsia="Calibri"/>
                <w:b w:val="0"/>
                <w:i w:val="0"/>
                <w:sz w:val="18"/>
              </w:rPr>
              <w:t>EN_ATTENTE, ADMIS, REFUSE</w:t>
            </w:r>
          </w:p>
        </w:tc>
      </w:tr>
      <w:tr>
        <w:tc>
          <w:tcPr>
            <w:tcW w:type="dxa" w:w="4873"/>
          </w:tcPr>
          <w:p>
            <w:r>
              <w:rPr>
                <w:rFonts w:ascii="Calibri" w:hAnsi="Calibri" w:eastAsia="Calibri"/>
                <w:b w:val="0"/>
                <w:i w:val="0"/>
                <w:sz w:val="18"/>
              </w:rPr>
              <w:t>Statut campagne</w:t>
            </w:r>
          </w:p>
        </w:tc>
        <w:tc>
          <w:tcPr>
            <w:tcW w:type="dxa" w:w="4873"/>
          </w:tcPr>
          <w:p>
            <w:r>
              <w:rPr>
                <w:rFonts w:ascii="Calibri" w:hAnsi="Calibri" w:eastAsia="Calibri"/>
                <w:b w:val="0"/>
                <w:i w:val="0"/>
                <w:sz w:val="18"/>
              </w:rPr>
              <w:t>Enum StatutCampagne (brouillon / ouverte / close, etc.)</w:t>
            </w:r>
          </w:p>
        </w:tc>
      </w:tr>
      <w:tr>
        <w:tc>
          <w:tcPr>
            <w:tcW w:type="dxa" w:w="4873"/>
          </w:tcPr>
          <w:p>
            <w:r>
              <w:rPr>
                <w:rFonts w:ascii="Calibri" w:hAnsi="Calibri" w:eastAsia="Calibri"/>
                <w:b w:val="0"/>
                <w:i w:val="0"/>
                <w:sz w:val="18"/>
              </w:rPr>
              <w:t>Statut candidature établissement</w:t>
            </w:r>
          </w:p>
        </w:tc>
        <w:tc>
          <w:tcPr>
            <w:tcW w:type="dxa" w:w="4873"/>
          </w:tcPr>
          <w:p>
            <w:r>
              <w:rPr>
                <w:rFonts w:ascii="Calibri" w:hAnsi="Calibri" w:eastAsia="Calibri"/>
                <w:b w:val="0"/>
                <w:i w:val="0"/>
                <w:sz w:val="18"/>
              </w:rPr>
              <w:t>Enums ApplicationStatus / préinscription</w:t>
            </w:r>
          </w:p>
        </w:tc>
      </w:tr>
    </w:tbl>
    <w:p/>
    <w:p>
      <w:pPr>
        <w:pStyle w:val="Heading2"/>
      </w:pPr>
      <w:r>
        <w:t>10.5 Fichiers et base</w:t>
      </w:r>
    </w:p>
    <w:p>
      <w:pPr>
        <w:spacing w:after="160" w:line="240" w:lineRule="auto"/>
      </w:pPr>
      <w:r>
        <w:rPr>
          <w:rFonts w:ascii="Calibri" w:hAnsi="Calibri" w:eastAsia="Calibri"/>
          <w:b w:val="0"/>
          <w:i w:val="0"/>
          <w:sz w:val="22"/>
        </w:rPr>
        <w:t>Les contenus binaires (PDF, images) sont stockés dans des répertoires d’uploads du serveur. La base conserve les chemins, statuts et métadonnées. Cette séparation évite de saturer MySQL avec des BLOB volumineux et simplifie les sauvegardes différenciées.</w:t>
      </w:r>
    </w:p>
    <w:p>
      <w:pPr>
        <w:pStyle w:val="Heading2"/>
      </w:pPr>
      <w:r>
        <w:t>10.6 Sécurité des données</w:t>
      </w:r>
    </w:p>
    <w:p>
      <w:pPr>
        <w:pStyle w:val="ListBullet"/>
      </w:pPr>
      <w:r>
        <w:rPr>
          <w:rFonts w:ascii="Calibri" w:hAnsi="Calibri" w:eastAsia="Calibri"/>
          <w:b w:val="0"/>
          <w:i w:val="0"/>
          <w:sz w:val="22"/>
        </w:rPr>
        <w:t>passwordHash uniquement (bcrypt), jamais le mot de passe en clair</w:t>
      </w:r>
    </w:p>
    <w:p>
      <w:pPr>
        <w:pStyle w:val="ListBullet"/>
      </w:pPr>
      <w:r>
        <w:rPr>
          <w:rFonts w:ascii="Calibri" w:hAnsi="Calibri" w:eastAsia="Calibri"/>
          <w:b w:val="0"/>
          <w:i w:val="0"/>
          <w:sz w:val="22"/>
        </w:rPr>
        <w:t>Jetons de réinitialisation à durée limitée</w:t>
      </w:r>
    </w:p>
    <w:p>
      <w:pPr>
        <w:pStyle w:val="ListBullet"/>
      </w:pPr>
      <w:r>
        <w:rPr>
          <w:rFonts w:ascii="Calibri" w:hAnsi="Calibri" w:eastAsia="Calibri"/>
          <w:b w:val="0"/>
          <w:i w:val="0"/>
          <w:sz w:val="22"/>
        </w:rPr>
        <w:t>Accès API authentifié pour les données personnelles</w:t>
      </w:r>
    </w:p>
    <w:p>
      <w:pPr>
        <w:pStyle w:val="ListBullet"/>
      </w:pPr>
      <w:r>
        <w:rPr>
          <w:rFonts w:ascii="Calibri" w:hAnsi="Calibri" w:eastAsia="Calibri"/>
          <w:b w:val="0"/>
          <w:i w:val="0"/>
          <w:sz w:val="22"/>
        </w:rPr>
        <w:t>Secrets (JWT, SMTP) externalisés dans .env</w:t>
      </w:r>
    </w:p>
    <w:p>
      <w:pPr>
        <w:pStyle w:val="Heading1"/>
      </w:pPr>
      <w:r>
        <w:t>11. Interfaces, documents et exports</w:t>
      </w:r>
    </w:p>
    <w:p>
      <w:pPr>
        <w:pStyle w:val="Heading2"/>
      </w:pPr>
      <w:r>
        <w:t>11.1 Interfaces principales</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Espace</w:t>
            </w:r>
          </w:p>
        </w:tc>
        <w:tc>
          <w:tcPr>
            <w:tcW w:type="dxa" w:w="4873"/>
          </w:tcPr>
          <w:p>
            <w:r>
              <w:rPr>
                <w:rFonts w:ascii="Calibri" w:hAnsi="Calibri" w:eastAsia="Calibri"/>
                <w:b/>
                <w:i w:val="0"/>
                <w:sz w:val="20"/>
              </w:rPr>
              <w:t>Exemples d’écrans</w:t>
            </w:r>
          </w:p>
        </w:tc>
      </w:tr>
      <w:tr>
        <w:tc>
          <w:tcPr>
            <w:tcW w:type="dxa" w:w="4873"/>
          </w:tcPr>
          <w:p>
            <w:r>
              <w:rPr>
                <w:rFonts w:ascii="Calibri" w:hAnsi="Calibri" w:eastAsia="Calibri"/>
                <w:b w:val="0"/>
                <w:i w:val="0"/>
                <w:sz w:val="18"/>
              </w:rPr>
              <w:t>Candidat</w:t>
            </w:r>
          </w:p>
        </w:tc>
        <w:tc>
          <w:tcPr>
            <w:tcW w:type="dxa" w:w="4873"/>
          </w:tcPr>
          <w:p>
            <w:r>
              <w:rPr>
                <w:rFonts w:ascii="Calibri" w:hAnsi="Calibri" w:eastAsia="Calibri"/>
                <w:b w:val="0"/>
                <w:i w:val="0"/>
                <w:sz w:val="18"/>
              </w:rPr>
              <w:t>Hub, Mon compte, Ouverts, Mes concours, Parcours établissement, Guide</w:t>
            </w:r>
          </w:p>
        </w:tc>
      </w:tr>
      <w:tr>
        <w:tc>
          <w:tcPr>
            <w:tcW w:type="dxa" w:w="4873"/>
          </w:tcPr>
          <w:p>
            <w:r>
              <w:rPr>
                <w:rFonts w:ascii="Calibri" w:hAnsi="Calibri" w:eastAsia="Calibri"/>
                <w:b w:val="0"/>
                <w:i w:val="0"/>
                <w:sz w:val="18"/>
              </w:rPr>
              <w:t>DEC</w:t>
            </w:r>
          </w:p>
        </w:tc>
        <w:tc>
          <w:tcPr>
            <w:tcW w:type="dxa" w:w="4873"/>
          </w:tcPr>
          <w:p>
            <w:r>
              <w:rPr>
                <w:rFonts w:ascii="Calibri" w:hAnsi="Calibri" w:eastAsia="Calibri"/>
                <w:b w:val="0"/>
                <w:i w:val="0"/>
                <w:sz w:val="18"/>
              </w:rPr>
              <w:t>Tableau de bord, Concours, Centres, Commissions, Post-étude, Statistiques, Guide</w:t>
            </w:r>
          </w:p>
        </w:tc>
      </w:tr>
      <w:tr>
        <w:tc>
          <w:tcPr>
            <w:tcW w:type="dxa" w:w="4873"/>
          </w:tcPr>
          <w:p>
            <w:r>
              <w:rPr>
                <w:rFonts w:ascii="Calibri" w:hAnsi="Calibri" w:eastAsia="Calibri"/>
                <w:b w:val="0"/>
                <w:i w:val="0"/>
                <w:sz w:val="18"/>
              </w:rPr>
              <w:t>Commission</w:t>
            </w:r>
          </w:p>
        </w:tc>
        <w:tc>
          <w:tcPr>
            <w:tcW w:type="dxa" w:w="4873"/>
          </w:tcPr>
          <w:p>
            <w:r>
              <w:rPr>
                <w:rFonts w:ascii="Calibri" w:hAnsi="Calibri" w:eastAsia="Calibri"/>
                <w:b w:val="0"/>
                <w:i w:val="0"/>
                <w:sz w:val="18"/>
              </w:rPr>
              <w:t>Liste des dossiers affectés, détail dossier, verdicts, Guide</w:t>
            </w:r>
          </w:p>
        </w:tc>
      </w:tr>
      <w:tr>
        <w:tc>
          <w:tcPr>
            <w:tcW w:type="dxa" w:w="4873"/>
          </w:tcPr>
          <w:p>
            <w:r>
              <w:rPr>
                <w:rFonts w:ascii="Calibri" w:hAnsi="Calibri" w:eastAsia="Calibri"/>
                <w:b w:val="0"/>
                <w:i w:val="0"/>
                <w:sz w:val="18"/>
              </w:rPr>
              <w:t>DGES</w:t>
            </w:r>
          </w:p>
        </w:tc>
        <w:tc>
          <w:tcPr>
            <w:tcW w:type="dxa" w:w="4873"/>
          </w:tcPr>
          <w:p>
            <w:r>
              <w:rPr>
                <w:rFonts w:ascii="Calibri" w:hAnsi="Calibri" w:eastAsia="Calibri"/>
                <w:b w:val="0"/>
                <w:i w:val="0"/>
                <w:sz w:val="18"/>
              </w:rPr>
              <w:t>Établissements, Années, Filières, Demandes, Guide</w:t>
            </w:r>
          </w:p>
        </w:tc>
      </w:tr>
      <w:tr>
        <w:tc>
          <w:tcPr>
            <w:tcW w:type="dxa" w:w="4873"/>
          </w:tcPr>
          <w:p>
            <w:r>
              <w:rPr>
                <w:rFonts w:ascii="Calibri" w:hAnsi="Calibri" w:eastAsia="Calibri"/>
                <w:b w:val="0"/>
                <w:i w:val="0"/>
                <w:sz w:val="18"/>
              </w:rPr>
              <w:t>Admin établissement</w:t>
            </w:r>
          </w:p>
        </w:tc>
        <w:tc>
          <w:tcPr>
            <w:tcW w:type="dxa" w:w="4873"/>
          </w:tcPr>
          <w:p>
            <w:r>
              <w:rPr>
                <w:rFonts w:ascii="Calibri" w:hAnsi="Calibri" w:eastAsia="Calibri"/>
                <w:b w:val="0"/>
                <w:i w:val="0"/>
                <w:sz w:val="18"/>
              </w:rPr>
              <w:t>Campagnes, Candidatures, Quittances, Scolarité, Guide</w:t>
            </w:r>
          </w:p>
        </w:tc>
      </w:tr>
    </w:tbl>
    <w:p/>
    <w:p>
      <w:pPr>
        <w:pStyle w:val="Heading2"/>
      </w:pPr>
      <w:r>
        <w:t>11.2 Documents PDF générés</w:t>
      </w:r>
    </w:p>
    <w:p>
      <w:pPr>
        <w:pStyle w:val="ListBullet"/>
      </w:pPr>
      <w:r>
        <w:rPr>
          <w:rFonts w:ascii="Calibri" w:hAnsi="Calibri" w:eastAsia="Calibri"/>
          <w:b w:val="0"/>
          <w:i w:val="0"/>
          <w:sz w:val="22"/>
        </w:rPr>
        <w:t>Convocation de composition (Module 1)</w:t>
      </w:r>
    </w:p>
    <w:p>
      <w:pPr>
        <w:pStyle w:val="ListBullet"/>
      </w:pPr>
      <w:r>
        <w:rPr>
          <w:rFonts w:ascii="Calibri" w:hAnsi="Calibri" w:eastAsia="Calibri"/>
          <w:b w:val="0"/>
          <w:i w:val="0"/>
          <w:sz w:val="22"/>
        </w:rPr>
        <w:t>Fiche de préinscription / inscription</w:t>
      </w:r>
    </w:p>
    <w:p>
      <w:pPr>
        <w:pStyle w:val="ListBullet"/>
      </w:pPr>
      <w:r>
        <w:rPr>
          <w:rFonts w:ascii="Calibri" w:hAnsi="Calibri" w:eastAsia="Calibri"/>
          <w:b w:val="0"/>
          <w:i w:val="0"/>
          <w:sz w:val="22"/>
        </w:rPr>
        <w:t>Fiches établissement (préinscription / inscription)</w:t>
      </w:r>
    </w:p>
    <w:p>
      <w:pPr>
        <w:pStyle w:val="ListBullet"/>
      </w:pPr>
      <w:r>
        <w:rPr>
          <w:rFonts w:ascii="Calibri" w:hAnsi="Calibri" w:eastAsia="Calibri"/>
          <w:b w:val="0"/>
          <w:i w:val="0"/>
          <w:sz w:val="22"/>
        </w:rPr>
        <w:t>Relevé académique (selon module scolarité)</w:t>
      </w:r>
    </w:p>
    <w:p>
      <w:pPr>
        <w:pStyle w:val="Heading2"/>
      </w:pPr>
      <w:r>
        <w:t>11.3 Exports</w:t>
      </w:r>
    </w:p>
    <w:p>
      <w:pPr>
        <w:pStyle w:val="ListBullet"/>
      </w:pPr>
      <w:r>
        <w:rPr>
          <w:rFonts w:ascii="Calibri" w:hAnsi="Calibri" w:eastAsia="Calibri"/>
          <w:b w:val="0"/>
          <w:i w:val="0"/>
          <w:sz w:val="22"/>
        </w:rPr>
        <w:t>Excel (.xlsx) : retenus, résultats, candidatures, indicateurs</w:t>
      </w:r>
    </w:p>
    <w:p>
      <w:pPr>
        <w:pStyle w:val="ListBullet"/>
      </w:pPr>
      <w:r>
        <w:rPr>
          <w:rFonts w:ascii="Calibri" w:hAnsi="Calibri" w:eastAsia="Calibri"/>
          <w:b w:val="0"/>
          <w:i w:val="0"/>
          <w:sz w:val="22"/>
        </w:rPr>
        <w:t>CSV d’import : liste des numéros de table admis</w:t>
      </w:r>
    </w:p>
    <w:p>
      <w:pPr>
        <w:pStyle w:val="ListBullet"/>
      </w:pPr>
      <w:r>
        <w:rPr>
          <w:rFonts w:ascii="Calibri" w:hAnsi="Calibri" w:eastAsia="Calibri"/>
          <w:b w:val="0"/>
          <w:i w:val="0"/>
          <w:sz w:val="22"/>
        </w:rPr>
        <w:t>PDF de synthèse / listes selon les écrans DEC et DGES</w:t>
      </w:r>
    </w:p>
    <w:p>
      <w:pPr>
        <w:pStyle w:val="Heading1"/>
      </w:pPr>
      <w:r>
        <w:t>12. Critères d’acceptation et recette</w:t>
      </w:r>
    </w:p>
    <w:p>
      <w:pPr>
        <w:pStyle w:val="Heading2"/>
      </w:pPr>
      <w:r>
        <w:t>12.1 Scénarios de recette prioritaires</w:t>
      </w:r>
    </w:p>
    <w:p>
      <w:pPr>
        <w:pStyle w:val="ListNumber"/>
      </w:pPr>
      <w:r>
        <w:rPr>
          <w:rFonts w:ascii="Calibri" w:hAnsi="Calibri" w:eastAsia="Calibri"/>
          <w:b w:val="0"/>
          <w:i w:val="0"/>
          <w:sz w:val="22"/>
        </w:rPr>
        <w:t>Création d’un compte candidat, complétion du dossier, inscription à un concours ouvert</w:t>
      </w:r>
    </w:p>
    <w:p>
      <w:pPr>
        <w:pStyle w:val="ListNumber"/>
      </w:pPr>
      <w:r>
        <w:rPr>
          <w:rFonts w:ascii="Calibri" w:hAnsi="Calibri" w:eastAsia="Calibri"/>
          <w:b w:val="0"/>
          <w:i w:val="0"/>
          <w:sz w:val="22"/>
        </w:rPr>
        <w:t>Étude d’un dossier jusqu’à VALIDE, clôture, génération N° de table et convocation PDF</w:t>
      </w:r>
    </w:p>
    <w:p>
      <w:pPr>
        <w:pStyle w:val="ListNumber"/>
      </w:pPr>
      <w:r>
        <w:rPr>
          <w:rFonts w:ascii="Calibri" w:hAnsi="Calibri" w:eastAsia="Calibri"/>
          <w:b w:val="0"/>
          <w:i w:val="0"/>
          <w:sz w:val="22"/>
        </w:rPr>
        <w:t>Cas sous réserve : motif visible, correction, resoumission</w:t>
      </w:r>
    </w:p>
    <w:p>
      <w:pPr>
        <w:pStyle w:val="ListNumber"/>
      </w:pPr>
      <w:r>
        <w:rPr>
          <w:rFonts w:ascii="Calibri" w:hAnsi="Calibri" w:eastAsia="Calibri"/>
          <w:b w:val="0"/>
          <w:i w:val="0"/>
          <w:sz w:val="22"/>
        </w:rPr>
        <w:t>Import CSV des admis et affichage du résultat côté candidat</w:t>
      </w:r>
    </w:p>
    <w:p>
      <w:pPr>
        <w:pStyle w:val="ListNumber"/>
      </w:pPr>
      <w:r>
        <w:rPr>
          <w:rFonts w:ascii="Calibri" w:hAnsi="Calibri" w:eastAsia="Calibri"/>
          <w:b w:val="0"/>
          <w:i w:val="0"/>
          <w:sz w:val="22"/>
        </w:rPr>
        <w:t>DGES crée un établissement + admin ; admin ouvre une campagne ; candidat postule ; validation quittance</w:t>
      </w:r>
    </w:p>
    <w:p>
      <w:pPr>
        <w:pStyle w:val="ListNumber"/>
      </w:pPr>
      <w:r>
        <w:rPr>
          <w:rFonts w:ascii="Calibri" w:hAnsi="Calibri" w:eastAsia="Calibri"/>
          <w:b w:val="0"/>
          <w:i w:val="0"/>
          <w:sz w:val="22"/>
        </w:rPr>
        <w:t>Vérification qu’un rôle ne peut pas accéder aux routes d’un autre rôle</w:t>
      </w:r>
    </w:p>
    <w:p>
      <w:pPr>
        <w:pStyle w:val="ListNumber"/>
      </w:pPr>
      <w:r>
        <w:rPr>
          <w:rFonts w:ascii="Calibri" w:hAnsi="Calibri" w:eastAsia="Calibri"/>
          <w:b w:val="0"/>
          <w:i w:val="0"/>
          <w:sz w:val="22"/>
        </w:rPr>
        <w:t>Export Excel d’une liste de retenus ouverture correcte sous Excel</w:t>
      </w:r>
    </w:p>
    <w:p>
      <w:pPr>
        <w:pStyle w:val="ListNumber"/>
      </w:pPr>
      <w:r>
        <w:rPr>
          <w:rFonts w:ascii="Calibri" w:hAnsi="Calibri" w:eastAsia="Calibri"/>
          <w:b w:val="0"/>
          <w:i w:val="0"/>
          <w:sz w:val="22"/>
        </w:rPr>
        <w:t>Affichage du guide adapté au rôle connecté</w:t>
      </w:r>
    </w:p>
    <w:p>
      <w:pPr>
        <w:pStyle w:val="Heading2"/>
      </w:pPr>
      <w:r>
        <w:t>12.2 Hypothèses</w:t>
      </w:r>
    </w:p>
    <w:p>
      <w:pPr>
        <w:pStyle w:val="ListBullet"/>
      </w:pPr>
      <w:r>
        <w:rPr>
          <w:rFonts w:ascii="Calibri" w:hAnsi="Calibri" w:eastAsia="Calibri"/>
          <w:b w:val="0"/>
          <w:i w:val="0"/>
          <w:sz w:val="22"/>
        </w:rPr>
        <w:t>Un environnement MySQL et PHP CLI est disponible sur la machine serveur</w:t>
      </w:r>
    </w:p>
    <w:p>
      <w:pPr>
        <w:pStyle w:val="ListBullet"/>
      </w:pPr>
      <w:r>
        <w:rPr>
          <w:rFonts w:ascii="Calibri" w:hAnsi="Calibri" w:eastAsia="Calibri"/>
          <w:b w:val="0"/>
          <w:i w:val="0"/>
          <w:sz w:val="22"/>
        </w:rPr>
        <w:t>Les en-têtes institutionnels / assets PDF sont fournis ou déjà intégrés</w:t>
      </w:r>
    </w:p>
    <w:p>
      <w:pPr>
        <w:pStyle w:val="ListBullet"/>
      </w:pPr>
      <w:r>
        <w:rPr>
          <w:rFonts w:ascii="Calibri" w:hAnsi="Calibri" w:eastAsia="Calibri"/>
          <w:b w:val="0"/>
          <w:i w:val="0"/>
          <w:sz w:val="22"/>
        </w:rPr>
        <w:t>Les libellés métier (DEC, DGES, etc.) correspondent à l’organisation cible</w:t>
      </w:r>
    </w:p>
    <w:p>
      <w:pPr>
        <w:pStyle w:val="Heading2"/>
      </w:pPr>
      <w:r>
        <w:t>12.3 Risques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i w:val="0"/>
                <w:sz w:val="20"/>
              </w:rPr>
              <w:t>Risque</w:t>
            </w:r>
          </w:p>
        </w:tc>
        <w:tc>
          <w:tcPr>
            <w:tcW w:type="dxa" w:w="3249"/>
          </w:tcPr>
          <w:p>
            <w:r>
              <w:rPr>
                <w:rFonts w:ascii="Calibri" w:hAnsi="Calibri" w:eastAsia="Calibri"/>
                <w:b/>
                <w:i w:val="0"/>
                <w:sz w:val="20"/>
              </w:rPr>
              <w:t>Impact</w:t>
            </w:r>
          </w:p>
        </w:tc>
        <w:tc>
          <w:tcPr>
            <w:tcW w:type="dxa" w:w="3249"/>
          </w:tcPr>
          <w:p>
            <w:r>
              <w:rPr>
                <w:rFonts w:ascii="Calibri" w:hAnsi="Calibri" w:eastAsia="Calibri"/>
                <w:b/>
                <w:i w:val="0"/>
                <w:sz w:val="20"/>
              </w:rPr>
              <w:t>Mitigation</w:t>
            </w:r>
          </w:p>
        </w:tc>
      </w:tr>
      <w:tr>
        <w:tc>
          <w:tcPr>
            <w:tcW w:type="dxa" w:w="3249"/>
          </w:tcPr>
          <w:p>
            <w:r>
              <w:rPr>
                <w:rFonts w:ascii="Calibri" w:hAnsi="Calibri" w:eastAsia="Calibri"/>
                <w:b w:val="0"/>
                <w:i w:val="0"/>
                <w:sz w:val="18"/>
              </w:rPr>
              <w:t>PHP absent du serveur</w:t>
            </w:r>
          </w:p>
        </w:tc>
        <w:tc>
          <w:tcPr>
            <w:tcW w:type="dxa" w:w="3249"/>
          </w:tcPr>
          <w:p>
            <w:r>
              <w:rPr>
                <w:rFonts w:ascii="Calibri" w:hAnsi="Calibri" w:eastAsia="Calibri"/>
                <w:b w:val="0"/>
                <w:i w:val="0"/>
                <w:sz w:val="18"/>
              </w:rPr>
              <w:t>PDF officiels indisponibles</w:t>
            </w:r>
          </w:p>
        </w:tc>
        <w:tc>
          <w:tcPr>
            <w:tcW w:type="dxa" w:w="3249"/>
          </w:tcPr>
          <w:p>
            <w:r>
              <w:rPr>
                <w:rFonts w:ascii="Calibri" w:hAnsi="Calibri" w:eastAsia="Calibri"/>
                <w:b w:val="0"/>
                <w:i w:val="0"/>
                <w:sz w:val="18"/>
              </w:rPr>
              <w:t>Documenter le prérequis ; contrôler au démarrage</w:t>
            </w:r>
          </w:p>
        </w:tc>
      </w:tr>
      <w:tr>
        <w:tc>
          <w:tcPr>
            <w:tcW w:type="dxa" w:w="3249"/>
          </w:tcPr>
          <w:p>
            <w:r>
              <w:rPr>
                <w:rFonts w:ascii="Calibri" w:hAnsi="Calibri" w:eastAsia="Calibri"/>
                <w:b w:val="0"/>
                <w:i w:val="0"/>
                <w:sz w:val="18"/>
              </w:rPr>
              <w:t>Mauvaise config SMTP</w:t>
            </w:r>
          </w:p>
        </w:tc>
        <w:tc>
          <w:tcPr>
            <w:tcW w:type="dxa" w:w="3249"/>
          </w:tcPr>
          <w:p>
            <w:r>
              <w:rPr>
                <w:rFonts w:ascii="Calibri" w:hAnsi="Calibri" w:eastAsia="Calibri"/>
                <w:b w:val="0"/>
                <w:i w:val="0"/>
                <w:sz w:val="18"/>
              </w:rPr>
              <w:t>E-mails non reçus</w:t>
            </w:r>
          </w:p>
        </w:tc>
        <w:tc>
          <w:tcPr>
            <w:tcW w:type="dxa" w:w="3249"/>
          </w:tcPr>
          <w:p>
            <w:r>
              <w:rPr>
                <w:rFonts w:ascii="Calibri" w:hAnsi="Calibri" w:eastAsia="Calibri"/>
                <w:b w:val="0"/>
                <w:i w:val="0"/>
                <w:sz w:val="18"/>
              </w:rPr>
              <w:t>File EmailDelivery + logs ; mode dégradé</w:t>
            </w:r>
          </w:p>
        </w:tc>
      </w:tr>
      <w:tr>
        <w:tc>
          <w:tcPr>
            <w:tcW w:type="dxa" w:w="3249"/>
          </w:tcPr>
          <w:p>
            <w:r>
              <w:rPr>
                <w:rFonts w:ascii="Calibri" w:hAnsi="Calibri" w:eastAsia="Calibri"/>
                <w:b w:val="0"/>
                <w:i w:val="0"/>
                <w:sz w:val="18"/>
              </w:rPr>
              <w:t>Données de référentiel incomplètes</w:t>
            </w:r>
          </w:p>
        </w:tc>
        <w:tc>
          <w:tcPr>
            <w:tcW w:type="dxa" w:w="3249"/>
          </w:tcPr>
          <w:p>
            <w:r>
              <w:rPr>
                <w:rFonts w:ascii="Calibri" w:hAnsi="Calibri" w:eastAsia="Calibri"/>
                <w:b w:val="0"/>
                <w:i w:val="0"/>
                <w:sz w:val="18"/>
              </w:rPr>
              <w:t>Centres / communes incohérents</w:t>
            </w:r>
          </w:p>
        </w:tc>
        <w:tc>
          <w:tcPr>
            <w:tcW w:type="dxa" w:w="3249"/>
          </w:tcPr>
          <w:p>
            <w:r>
              <w:rPr>
                <w:rFonts w:ascii="Calibri" w:hAnsi="Calibri" w:eastAsia="Calibri"/>
                <w:b w:val="0"/>
                <w:i w:val="0"/>
                <w:sz w:val="18"/>
              </w:rPr>
              <w:t>Scripts de seed communes et contrôles UI</w:t>
            </w:r>
          </w:p>
        </w:tc>
      </w:tr>
      <w:tr>
        <w:tc>
          <w:tcPr>
            <w:tcW w:type="dxa" w:w="3249"/>
          </w:tcPr>
          <w:p>
            <w:r>
              <w:rPr>
                <w:rFonts w:ascii="Calibri" w:hAnsi="Calibri" w:eastAsia="Calibri"/>
                <w:b w:val="0"/>
                <w:i w:val="0"/>
                <w:sz w:val="18"/>
              </w:rPr>
              <w:t>Confusion Validé vs Admis</w:t>
            </w:r>
          </w:p>
        </w:tc>
        <w:tc>
          <w:tcPr>
            <w:tcW w:type="dxa" w:w="3249"/>
          </w:tcPr>
          <w:p>
            <w:r>
              <w:rPr>
                <w:rFonts w:ascii="Calibri" w:hAnsi="Calibri" w:eastAsia="Calibri"/>
                <w:b w:val="0"/>
                <w:i w:val="0"/>
                <w:sz w:val="18"/>
              </w:rPr>
              <w:t>Mauvaise communication candidat</w:t>
            </w:r>
          </w:p>
        </w:tc>
        <w:tc>
          <w:tcPr>
            <w:tcW w:type="dxa" w:w="3249"/>
          </w:tcPr>
          <w:p>
            <w:r>
              <w:rPr>
                <w:rFonts w:ascii="Calibri" w:hAnsi="Calibri" w:eastAsia="Calibri"/>
                <w:b w:val="0"/>
                <w:i w:val="0"/>
                <w:sz w:val="18"/>
              </w:rPr>
              <w:t>Libellés + guide + tip UI</w:t>
            </w:r>
          </w:p>
        </w:tc>
      </w:tr>
    </w:tbl>
    <w:p/>
    <w:p>
      <w:pPr>
        <w:pStyle w:val="Heading1"/>
      </w:pPr>
      <w:r>
        <w:t>13. Glossaire</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Terme</w:t>
            </w:r>
          </w:p>
        </w:tc>
        <w:tc>
          <w:tcPr>
            <w:tcW w:type="dxa" w:w="4873"/>
          </w:tcPr>
          <w:p>
            <w:r>
              <w:rPr>
                <w:rFonts w:ascii="Calibri" w:hAnsi="Calibri" w:eastAsia="Calibri"/>
                <w:b/>
                <w:i w:val="0"/>
                <w:sz w:val="20"/>
              </w:rPr>
              <w:t>Définition</w:t>
            </w:r>
          </w:p>
        </w:tc>
      </w:tr>
      <w:tr>
        <w:tc>
          <w:tcPr>
            <w:tcW w:type="dxa" w:w="4873"/>
          </w:tcPr>
          <w:p>
            <w:r>
              <w:rPr>
                <w:rFonts w:ascii="Calibri" w:hAnsi="Calibri" w:eastAsia="Calibri"/>
                <w:b w:val="0"/>
                <w:i w:val="0"/>
                <w:sz w:val="18"/>
              </w:rPr>
              <w:t>DEC</w:t>
            </w:r>
          </w:p>
        </w:tc>
        <w:tc>
          <w:tcPr>
            <w:tcW w:type="dxa" w:w="4873"/>
          </w:tcPr>
          <w:p>
            <w:r>
              <w:rPr>
                <w:rFonts w:ascii="Calibri" w:hAnsi="Calibri" w:eastAsia="Calibri"/>
                <w:b w:val="0"/>
                <w:i w:val="0"/>
                <w:sz w:val="18"/>
              </w:rPr>
              <w:t>Direction des Examens et Concours — pilote le Module 1</w:t>
            </w:r>
          </w:p>
        </w:tc>
      </w:tr>
      <w:tr>
        <w:tc>
          <w:tcPr>
            <w:tcW w:type="dxa" w:w="4873"/>
          </w:tcPr>
          <w:p>
            <w:r>
              <w:rPr>
                <w:rFonts w:ascii="Calibri" w:hAnsi="Calibri" w:eastAsia="Calibri"/>
                <w:b w:val="0"/>
                <w:i w:val="0"/>
                <w:sz w:val="18"/>
              </w:rPr>
              <w:t>DGES</w:t>
            </w:r>
          </w:p>
        </w:tc>
        <w:tc>
          <w:tcPr>
            <w:tcW w:type="dxa" w:w="4873"/>
          </w:tcPr>
          <w:p>
            <w:r>
              <w:rPr>
                <w:rFonts w:ascii="Calibri" w:hAnsi="Calibri" w:eastAsia="Calibri"/>
                <w:b w:val="0"/>
                <w:i w:val="0"/>
                <w:sz w:val="18"/>
              </w:rPr>
              <w:t>Direction Générale de l’Enseignement Supérieur — pilote le Module 2</w:t>
            </w:r>
          </w:p>
        </w:tc>
      </w:tr>
      <w:tr>
        <w:tc>
          <w:tcPr>
            <w:tcW w:type="dxa" w:w="4873"/>
          </w:tcPr>
          <w:p>
            <w:r>
              <w:rPr>
                <w:rFonts w:ascii="Calibri" w:hAnsi="Calibri" w:eastAsia="Calibri"/>
                <w:b w:val="0"/>
                <w:i w:val="0"/>
                <w:sz w:val="18"/>
              </w:rPr>
              <w:t>Concours</w:t>
            </w:r>
          </w:p>
        </w:tc>
        <w:tc>
          <w:tcPr>
            <w:tcW w:type="dxa" w:w="4873"/>
          </w:tcPr>
          <w:p>
            <w:r>
              <w:rPr>
                <w:rFonts w:ascii="Calibri" w:hAnsi="Calibri" w:eastAsia="Calibri"/>
                <w:b w:val="0"/>
                <w:i w:val="0"/>
                <w:sz w:val="18"/>
              </w:rPr>
              <w:t>Session d’admission Module 1 avec dates et règles d’éligibilité</w:t>
            </w:r>
          </w:p>
        </w:tc>
      </w:tr>
      <w:tr>
        <w:tc>
          <w:tcPr>
            <w:tcW w:type="dxa" w:w="4873"/>
          </w:tcPr>
          <w:p>
            <w:r>
              <w:rPr>
                <w:rFonts w:ascii="Calibri" w:hAnsi="Calibri" w:eastAsia="Calibri"/>
                <w:b w:val="0"/>
                <w:i w:val="0"/>
                <w:sz w:val="18"/>
              </w:rPr>
              <w:t>Dossier d’inscription</w:t>
            </w:r>
          </w:p>
        </w:tc>
        <w:tc>
          <w:tcPr>
            <w:tcW w:type="dxa" w:w="4873"/>
          </w:tcPr>
          <w:p>
            <w:r>
              <w:rPr>
                <w:rFonts w:ascii="Calibri" w:hAnsi="Calibri" w:eastAsia="Calibri"/>
                <w:b w:val="0"/>
                <w:i w:val="0"/>
                <w:sz w:val="18"/>
              </w:rPr>
              <w:t>Dossier examiné par la commission pour une inscription à un concours</w:t>
            </w:r>
          </w:p>
        </w:tc>
      </w:tr>
      <w:tr>
        <w:tc>
          <w:tcPr>
            <w:tcW w:type="dxa" w:w="4873"/>
          </w:tcPr>
          <w:p>
            <w:r>
              <w:rPr>
                <w:rFonts w:ascii="Calibri" w:hAnsi="Calibri" w:eastAsia="Calibri"/>
                <w:b w:val="0"/>
                <w:i w:val="0"/>
                <w:sz w:val="18"/>
              </w:rPr>
              <w:t>Sous réserve</w:t>
            </w:r>
          </w:p>
        </w:tc>
        <w:tc>
          <w:tcPr>
            <w:tcW w:type="dxa" w:w="4873"/>
          </w:tcPr>
          <w:p>
            <w:r>
              <w:rPr>
                <w:rFonts w:ascii="Calibri" w:hAnsi="Calibri" w:eastAsia="Calibri"/>
                <w:b w:val="0"/>
                <w:i w:val="0"/>
                <w:sz w:val="18"/>
              </w:rPr>
              <w:t>Décision demandant une correction avant validation</w:t>
            </w:r>
          </w:p>
        </w:tc>
      </w:tr>
      <w:tr>
        <w:tc>
          <w:tcPr>
            <w:tcW w:type="dxa" w:w="4873"/>
          </w:tcPr>
          <w:p>
            <w:r>
              <w:rPr>
                <w:rFonts w:ascii="Calibri" w:hAnsi="Calibri" w:eastAsia="Calibri"/>
                <w:b w:val="0"/>
                <w:i w:val="0"/>
                <w:sz w:val="18"/>
              </w:rPr>
              <w:t>Validé (retenu)</w:t>
            </w:r>
          </w:p>
        </w:tc>
        <w:tc>
          <w:tcPr>
            <w:tcW w:type="dxa" w:w="4873"/>
          </w:tcPr>
          <w:p>
            <w:r>
              <w:rPr>
                <w:rFonts w:ascii="Calibri" w:hAnsi="Calibri" w:eastAsia="Calibri"/>
                <w:b w:val="0"/>
                <w:i w:val="0"/>
                <w:sz w:val="18"/>
              </w:rPr>
              <w:t>Admis à composer (pas encore résultat de composition)</w:t>
            </w:r>
          </w:p>
        </w:tc>
      </w:tr>
      <w:tr>
        <w:tc>
          <w:tcPr>
            <w:tcW w:type="dxa" w:w="4873"/>
          </w:tcPr>
          <w:p>
            <w:r>
              <w:rPr>
                <w:rFonts w:ascii="Calibri" w:hAnsi="Calibri" w:eastAsia="Calibri"/>
                <w:b w:val="0"/>
                <w:i w:val="0"/>
                <w:sz w:val="18"/>
              </w:rPr>
              <w:t>Admis / Refusé</w:t>
            </w:r>
          </w:p>
        </w:tc>
        <w:tc>
          <w:tcPr>
            <w:tcW w:type="dxa" w:w="4873"/>
          </w:tcPr>
          <w:p>
            <w:r>
              <w:rPr>
                <w:rFonts w:ascii="Calibri" w:hAnsi="Calibri" w:eastAsia="Calibri"/>
                <w:b w:val="0"/>
                <w:i w:val="0"/>
                <w:sz w:val="18"/>
              </w:rPr>
              <w:t>Résultat après composition</w:t>
            </w:r>
          </w:p>
        </w:tc>
      </w:tr>
      <w:tr>
        <w:tc>
          <w:tcPr>
            <w:tcW w:type="dxa" w:w="4873"/>
          </w:tcPr>
          <w:p>
            <w:r>
              <w:rPr>
                <w:rFonts w:ascii="Calibri" w:hAnsi="Calibri" w:eastAsia="Calibri"/>
                <w:b w:val="0"/>
                <w:i w:val="0"/>
                <w:sz w:val="18"/>
              </w:rPr>
              <w:t>N° de table</w:t>
            </w:r>
          </w:p>
        </w:tc>
        <w:tc>
          <w:tcPr>
            <w:tcW w:type="dxa" w:w="4873"/>
          </w:tcPr>
          <w:p>
            <w:r>
              <w:rPr>
                <w:rFonts w:ascii="Calibri" w:hAnsi="Calibri" w:eastAsia="Calibri"/>
                <w:b w:val="0"/>
                <w:i w:val="0"/>
                <w:sz w:val="18"/>
              </w:rPr>
              <w:t>Identifiant de composition attribué après clôture de l’étude</w:t>
            </w:r>
          </w:p>
        </w:tc>
      </w:tr>
      <w:tr>
        <w:tc>
          <w:tcPr>
            <w:tcW w:type="dxa" w:w="4873"/>
          </w:tcPr>
          <w:p>
            <w:r>
              <w:rPr>
                <w:rFonts w:ascii="Calibri" w:hAnsi="Calibri" w:eastAsia="Calibri"/>
                <w:b w:val="0"/>
                <w:i w:val="0"/>
                <w:sz w:val="18"/>
              </w:rPr>
              <w:t>Campagne</w:t>
            </w:r>
          </w:p>
        </w:tc>
        <w:tc>
          <w:tcPr>
            <w:tcW w:type="dxa" w:w="4873"/>
          </w:tcPr>
          <w:p>
            <w:r>
              <w:rPr>
                <w:rFonts w:ascii="Calibri" w:hAnsi="Calibri" w:eastAsia="Calibri"/>
                <w:b w:val="0"/>
                <w:i w:val="0"/>
                <w:sz w:val="18"/>
              </w:rPr>
              <w:t>Période d’ouverture des candidatures d’un établissement</w:t>
            </w:r>
          </w:p>
        </w:tc>
      </w:tr>
      <w:tr>
        <w:tc>
          <w:tcPr>
            <w:tcW w:type="dxa" w:w="4873"/>
          </w:tcPr>
          <w:p>
            <w:r>
              <w:rPr>
                <w:rFonts w:ascii="Calibri" w:hAnsi="Calibri" w:eastAsia="Calibri"/>
                <w:b w:val="0"/>
                <w:i w:val="0"/>
                <w:sz w:val="18"/>
              </w:rPr>
              <w:t>Quittance</w:t>
            </w:r>
          </w:p>
        </w:tc>
        <w:tc>
          <w:tcPr>
            <w:tcW w:type="dxa" w:w="4873"/>
          </w:tcPr>
          <w:p>
            <w:r>
              <w:rPr>
                <w:rFonts w:ascii="Calibri" w:hAnsi="Calibri" w:eastAsia="Calibri"/>
                <w:b w:val="0"/>
                <w:i w:val="0"/>
                <w:sz w:val="18"/>
              </w:rPr>
              <w:t>Justificatif de paiement déposé puis validé</w:t>
            </w:r>
          </w:p>
        </w:tc>
      </w:tr>
      <w:tr>
        <w:tc>
          <w:tcPr>
            <w:tcW w:type="dxa" w:w="4873"/>
          </w:tcPr>
          <w:p>
            <w:r>
              <w:rPr>
                <w:rFonts w:ascii="Calibri" w:hAnsi="Calibri" w:eastAsia="Calibri"/>
                <w:b w:val="0"/>
                <w:i w:val="0"/>
                <w:sz w:val="18"/>
              </w:rPr>
              <w:t>JWT</w:t>
            </w:r>
          </w:p>
        </w:tc>
        <w:tc>
          <w:tcPr>
            <w:tcW w:type="dxa" w:w="4873"/>
          </w:tcPr>
          <w:p>
            <w:r>
              <w:rPr>
                <w:rFonts w:ascii="Calibri" w:hAnsi="Calibri" w:eastAsia="Calibri"/>
                <w:b w:val="0"/>
                <w:i w:val="0"/>
                <w:sz w:val="18"/>
              </w:rPr>
              <w:t>Jeton d’authentification signé utilisé par l’API</w:t>
            </w:r>
          </w:p>
        </w:tc>
      </w:tr>
      <w:tr>
        <w:tc>
          <w:tcPr>
            <w:tcW w:type="dxa" w:w="4873"/>
          </w:tcPr>
          <w:p>
            <w:r>
              <w:rPr>
                <w:rFonts w:ascii="Calibri" w:hAnsi="Calibri" w:eastAsia="Calibri"/>
                <w:b w:val="0"/>
                <w:i w:val="0"/>
                <w:sz w:val="18"/>
              </w:rPr>
              <w:t>ORM</w:t>
            </w:r>
          </w:p>
        </w:tc>
        <w:tc>
          <w:tcPr>
            <w:tcW w:type="dxa" w:w="4873"/>
          </w:tcPr>
          <w:p>
            <w:r>
              <w:rPr>
                <w:rFonts w:ascii="Calibri" w:hAnsi="Calibri" w:eastAsia="Calibri"/>
                <w:b w:val="0"/>
                <w:i w:val="0"/>
                <w:sz w:val="18"/>
              </w:rPr>
              <w:t>Couche de mapping objet-relationnel (ici Prisma)</w:t>
            </w:r>
          </w:p>
        </w:tc>
      </w:tr>
      <w:tr>
        <w:tc>
          <w:tcPr>
            <w:tcW w:type="dxa" w:w="4873"/>
          </w:tcPr>
          <w:p>
            <w:r>
              <w:rPr>
                <w:rFonts w:ascii="Calibri" w:hAnsi="Calibri" w:eastAsia="Calibri"/>
                <w:b w:val="0"/>
                <w:i w:val="0"/>
                <w:sz w:val="18"/>
              </w:rPr>
              <w:t>MVP</w:t>
            </w:r>
          </w:p>
        </w:tc>
        <w:tc>
          <w:tcPr>
            <w:tcW w:type="dxa" w:w="4873"/>
          </w:tcPr>
          <w:p>
            <w:r>
              <w:rPr>
                <w:rFonts w:ascii="Calibri" w:hAnsi="Calibri" w:eastAsia="Calibri"/>
                <w:b w:val="0"/>
                <w:i w:val="0"/>
                <w:sz w:val="18"/>
              </w:rPr>
              <w:t>Produit minimum viable — première version utilisable du projet</w:t>
            </w:r>
          </w:p>
        </w:tc>
      </w:tr>
    </w:tbl>
    <w:p/>
    <w:p>
      <w:pPr>
        <w:pStyle w:val="Heading1"/>
      </w:pPr>
      <w:r>
        <w:t>14. Annexes</w:t>
      </w:r>
    </w:p>
    <w:p>
      <w:pPr>
        <w:pStyle w:val="Heading2"/>
      </w:pPr>
      <w:r>
        <w:t>Annexe A — Structure logicielle du dépôt</w:t>
      </w:r>
    </w:p>
    <w:p>
      <w:pPr>
        <w:pStyle w:val="ListBullet"/>
      </w:pPr>
      <w:r>
        <w:rPr>
          <w:rFonts w:ascii="Calibri" w:hAnsi="Calibri" w:eastAsia="Calibri"/>
          <w:b w:val="0"/>
          <w:i w:val="0"/>
          <w:sz w:val="22"/>
        </w:rPr>
        <w:t>unipath-front/ : application React (interfaces)</w:t>
      </w:r>
    </w:p>
    <w:p>
      <w:pPr>
        <w:pStyle w:val="ListBullet"/>
      </w:pPr>
      <w:r>
        <w:rPr>
          <w:rFonts w:ascii="Calibri" w:hAnsi="Calibri" w:eastAsia="Calibri"/>
          <w:b w:val="0"/>
          <w:i w:val="0"/>
          <w:sz w:val="22"/>
        </w:rPr>
        <w:t>unipath-api/ : API Express, Prisma, services, scripts</w:t>
      </w:r>
    </w:p>
    <w:p>
      <w:pPr>
        <w:pStyle w:val="ListBullet"/>
      </w:pPr>
      <w:r>
        <w:rPr>
          <w:rFonts w:ascii="Calibri" w:hAnsi="Calibri" w:eastAsia="Calibri"/>
          <w:b w:val="0"/>
          <w:i w:val="0"/>
          <w:sz w:val="22"/>
        </w:rPr>
        <w:t>unipath-api/php/ : scripts FPDF de génération PDF</w:t>
      </w:r>
    </w:p>
    <w:p>
      <w:pPr>
        <w:pStyle w:val="ListBullet"/>
      </w:pPr>
      <w:r>
        <w:rPr>
          <w:rFonts w:ascii="Calibri" w:hAnsi="Calibri" w:eastAsia="Calibri"/>
          <w:b w:val="0"/>
          <w:i w:val="0"/>
          <w:sz w:val="22"/>
        </w:rPr>
        <w:t>unipath-api/prisma/ : schema.prisma et migrations</w:t>
      </w:r>
    </w:p>
    <w:p>
      <w:pPr>
        <w:pStyle w:val="ListBullet"/>
      </w:pPr>
      <w:r>
        <w:rPr>
          <w:rFonts w:ascii="Calibri" w:hAnsi="Calibri" w:eastAsia="Calibri"/>
          <w:b w:val="0"/>
          <w:i w:val="0"/>
          <w:sz w:val="22"/>
        </w:rPr>
        <w:t>docs/ : documentation (guide, cahier des charges)</w:t>
      </w:r>
    </w:p>
    <w:p>
      <w:pPr>
        <w:pStyle w:val="Heading2"/>
      </w:pPr>
      <w:r>
        <w:t>Annexe B — Variables d’environnement essentielles</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i w:val="0"/>
                <w:sz w:val="20"/>
              </w:rPr>
              <w:t>Variable</w:t>
            </w:r>
          </w:p>
        </w:tc>
        <w:tc>
          <w:tcPr>
            <w:tcW w:type="dxa" w:w="4873"/>
          </w:tcPr>
          <w:p>
            <w:r>
              <w:rPr>
                <w:rFonts w:ascii="Calibri" w:hAnsi="Calibri" w:eastAsia="Calibri"/>
                <w:b/>
                <w:i w:val="0"/>
                <w:sz w:val="20"/>
              </w:rPr>
              <w:t>Usage</w:t>
            </w:r>
          </w:p>
        </w:tc>
      </w:tr>
      <w:tr>
        <w:tc>
          <w:tcPr>
            <w:tcW w:type="dxa" w:w="4873"/>
          </w:tcPr>
          <w:p>
            <w:r>
              <w:rPr>
                <w:rFonts w:ascii="Calibri" w:hAnsi="Calibri" w:eastAsia="Calibri"/>
                <w:b w:val="0"/>
                <w:i w:val="0"/>
                <w:sz w:val="18"/>
              </w:rPr>
              <w:t>DATABASE_URL</w:t>
            </w:r>
          </w:p>
        </w:tc>
        <w:tc>
          <w:tcPr>
            <w:tcW w:type="dxa" w:w="4873"/>
          </w:tcPr>
          <w:p>
            <w:r>
              <w:rPr>
                <w:rFonts w:ascii="Calibri" w:hAnsi="Calibri" w:eastAsia="Calibri"/>
                <w:b w:val="0"/>
                <w:i w:val="0"/>
                <w:sz w:val="18"/>
              </w:rPr>
              <w:t>Connexion MySQL (ex. mysql://user:pass@localhost:3306/unipath)</w:t>
            </w:r>
          </w:p>
        </w:tc>
      </w:tr>
      <w:tr>
        <w:tc>
          <w:tcPr>
            <w:tcW w:type="dxa" w:w="4873"/>
          </w:tcPr>
          <w:p>
            <w:r>
              <w:rPr>
                <w:rFonts w:ascii="Calibri" w:hAnsi="Calibri" w:eastAsia="Calibri"/>
                <w:b w:val="0"/>
                <w:i w:val="0"/>
                <w:sz w:val="18"/>
              </w:rPr>
              <w:t>JWT_SECRET / JWT_EXPIRES_IN</w:t>
            </w:r>
          </w:p>
        </w:tc>
        <w:tc>
          <w:tcPr>
            <w:tcW w:type="dxa" w:w="4873"/>
          </w:tcPr>
          <w:p>
            <w:r>
              <w:rPr>
                <w:rFonts w:ascii="Calibri" w:hAnsi="Calibri" w:eastAsia="Calibri"/>
                <w:b w:val="0"/>
                <w:i w:val="0"/>
                <w:sz w:val="18"/>
              </w:rPr>
              <w:t>Signature et durée de vie des jetons</w:t>
            </w:r>
          </w:p>
        </w:tc>
      </w:tr>
      <w:tr>
        <w:tc>
          <w:tcPr>
            <w:tcW w:type="dxa" w:w="4873"/>
          </w:tcPr>
          <w:p>
            <w:r>
              <w:rPr>
                <w:rFonts w:ascii="Calibri" w:hAnsi="Calibri" w:eastAsia="Calibri"/>
                <w:b w:val="0"/>
                <w:i w:val="0"/>
                <w:sz w:val="18"/>
              </w:rPr>
              <w:t>PORT</w:t>
            </w:r>
          </w:p>
        </w:tc>
        <w:tc>
          <w:tcPr>
            <w:tcW w:type="dxa" w:w="4873"/>
          </w:tcPr>
          <w:p>
            <w:r>
              <w:rPr>
                <w:rFonts w:ascii="Calibri" w:hAnsi="Calibri" w:eastAsia="Calibri"/>
                <w:b w:val="0"/>
                <w:i w:val="0"/>
                <w:sz w:val="18"/>
              </w:rPr>
              <w:t>Port d’écoute de l’API (ex. 3001)</w:t>
            </w:r>
          </w:p>
        </w:tc>
      </w:tr>
      <w:tr>
        <w:tc>
          <w:tcPr>
            <w:tcW w:type="dxa" w:w="4873"/>
          </w:tcPr>
          <w:p>
            <w:r>
              <w:rPr>
                <w:rFonts w:ascii="Calibri" w:hAnsi="Calibri" w:eastAsia="Calibri"/>
                <w:b w:val="0"/>
                <w:i w:val="0"/>
                <w:sz w:val="18"/>
              </w:rPr>
              <w:t>APP_URL / FRONTEND_URL</w:t>
            </w:r>
          </w:p>
        </w:tc>
        <w:tc>
          <w:tcPr>
            <w:tcW w:type="dxa" w:w="4873"/>
          </w:tcPr>
          <w:p>
            <w:r>
              <w:rPr>
                <w:rFonts w:ascii="Calibri" w:hAnsi="Calibri" w:eastAsia="Calibri"/>
                <w:b w:val="0"/>
                <w:i w:val="0"/>
                <w:sz w:val="18"/>
              </w:rPr>
              <w:t>URL du frontend pour liens e-mail / CORS</w:t>
            </w:r>
          </w:p>
        </w:tc>
      </w:tr>
      <w:tr>
        <w:tc>
          <w:tcPr>
            <w:tcW w:type="dxa" w:w="4873"/>
          </w:tcPr>
          <w:p>
            <w:r>
              <w:rPr>
                <w:rFonts w:ascii="Calibri" w:hAnsi="Calibri" w:eastAsia="Calibri"/>
                <w:b w:val="0"/>
                <w:i w:val="0"/>
                <w:sz w:val="18"/>
              </w:rPr>
              <w:t>SMTP_* / EMAIL_*</w:t>
            </w:r>
          </w:p>
        </w:tc>
        <w:tc>
          <w:tcPr>
            <w:tcW w:type="dxa" w:w="4873"/>
          </w:tcPr>
          <w:p>
            <w:r>
              <w:rPr>
                <w:rFonts w:ascii="Calibri" w:hAnsi="Calibri" w:eastAsia="Calibri"/>
                <w:b w:val="0"/>
                <w:i w:val="0"/>
                <w:sz w:val="18"/>
              </w:rPr>
              <w:t>Paramètres d’envoi d’e-mails</w:t>
            </w:r>
          </w:p>
        </w:tc>
      </w:tr>
      <w:tr>
        <w:tc>
          <w:tcPr>
            <w:tcW w:type="dxa" w:w="4873"/>
          </w:tcPr>
          <w:p>
            <w:r>
              <w:rPr>
                <w:rFonts w:ascii="Calibri" w:hAnsi="Calibri" w:eastAsia="Calibri"/>
                <w:b w:val="0"/>
                <w:i w:val="0"/>
                <w:sz w:val="18"/>
              </w:rPr>
              <w:t>VITE_API_URL</w:t>
            </w:r>
          </w:p>
        </w:tc>
        <w:tc>
          <w:tcPr>
            <w:tcW w:type="dxa" w:w="4873"/>
          </w:tcPr>
          <w:p>
            <w:r>
              <w:rPr>
                <w:rFonts w:ascii="Calibri" w:hAnsi="Calibri" w:eastAsia="Calibri"/>
                <w:b w:val="0"/>
                <w:i w:val="0"/>
                <w:sz w:val="18"/>
              </w:rPr>
              <w:t>URL de l’API vue par le frontend</w:t>
            </w:r>
          </w:p>
        </w:tc>
      </w:tr>
    </w:tbl>
    <w:p/>
    <w:p>
      <w:pPr>
        <w:pStyle w:val="Heading2"/>
      </w:pPr>
      <w:r>
        <w:t>Annexe C — Prérequis techniques de déploiement local</w:t>
      </w:r>
    </w:p>
    <w:p>
      <w:pPr>
        <w:pStyle w:val="ListNumber"/>
      </w:pPr>
      <w:r>
        <w:rPr>
          <w:rFonts w:ascii="Calibri" w:hAnsi="Calibri" w:eastAsia="Calibri"/>
          <w:b w:val="0"/>
          <w:i w:val="0"/>
          <w:sz w:val="22"/>
        </w:rPr>
        <w:t>Installer Node.js et npm</w:t>
      </w:r>
    </w:p>
    <w:p>
      <w:pPr>
        <w:pStyle w:val="ListNumber"/>
      </w:pPr>
      <w:r>
        <w:rPr>
          <w:rFonts w:ascii="Calibri" w:hAnsi="Calibri" w:eastAsia="Calibri"/>
          <w:b w:val="0"/>
          <w:i w:val="0"/>
          <w:sz w:val="22"/>
        </w:rPr>
        <w:t>Installer / démarrer MySQL (Laragon recommandé sous Windows)</w:t>
      </w:r>
    </w:p>
    <w:p>
      <w:pPr>
        <w:pStyle w:val="ListNumber"/>
      </w:pPr>
      <w:r>
        <w:rPr>
          <w:rFonts w:ascii="Calibri" w:hAnsi="Calibri" w:eastAsia="Calibri"/>
          <w:b w:val="0"/>
          <w:i w:val="0"/>
          <w:sz w:val="22"/>
        </w:rPr>
        <w:t>Installer PHP CLI (souvent fourni par Laragon) et vérifier la commande php</w:t>
      </w:r>
    </w:p>
    <w:p>
      <w:pPr>
        <w:pStyle w:val="ListNumber"/>
      </w:pPr>
      <w:r>
        <w:rPr>
          <w:rFonts w:ascii="Calibri" w:hAnsi="Calibri" w:eastAsia="Calibri"/>
          <w:b w:val="0"/>
          <w:i w:val="0"/>
          <w:sz w:val="22"/>
        </w:rPr>
        <w:t>Cloner le dépôt, configurer les fichiers .env front et API</w:t>
      </w:r>
    </w:p>
    <w:p>
      <w:pPr>
        <w:pStyle w:val="ListNumber"/>
      </w:pPr>
      <w:r>
        <w:rPr>
          <w:rFonts w:ascii="Calibri" w:hAnsi="Calibri" w:eastAsia="Calibri"/>
          <w:b w:val="0"/>
          <w:i w:val="0"/>
          <w:sz w:val="22"/>
        </w:rPr>
        <w:t>Dans unipath-api : npm install, npx prisma migrate deploy (ou migrate dev), seeds utiles</w:t>
      </w:r>
    </w:p>
    <w:p>
      <w:pPr>
        <w:pStyle w:val="ListNumber"/>
      </w:pPr>
      <w:r>
        <w:rPr>
          <w:rFonts w:ascii="Calibri" w:hAnsi="Calibri" w:eastAsia="Calibri"/>
          <w:b w:val="0"/>
          <w:i w:val="0"/>
          <w:sz w:val="22"/>
        </w:rPr>
        <w:t>Démarrer l’API (npm start) puis le front (npm run dev)</w:t>
      </w:r>
    </w:p>
    <w:p>
      <w:pPr>
        <w:pStyle w:val="Heading2"/>
      </w:pPr>
      <w:r>
        <w:t>Annexe D — Documents connexes</w:t>
      </w:r>
    </w:p>
    <w:p>
      <w:pPr>
        <w:pStyle w:val="ListBullet"/>
      </w:pPr>
      <w:r>
        <w:rPr>
          <w:rFonts w:ascii="Calibri" w:hAnsi="Calibri" w:eastAsia="Calibri"/>
          <w:b w:val="0"/>
          <w:i w:val="0"/>
          <w:sz w:val="22"/>
        </w:rPr>
        <w:t>Guide d’utilisation UniPath (Word) — à destination des utilisateurs finaux</w:t>
      </w:r>
    </w:p>
    <w:p>
      <w:pPr>
        <w:pStyle w:val="ListBullet"/>
      </w:pPr>
      <w:r>
        <w:rPr>
          <w:rFonts w:ascii="Calibri" w:hAnsi="Calibri" w:eastAsia="Calibri"/>
          <w:b w:val="0"/>
          <w:i w:val="0"/>
          <w:sz w:val="22"/>
        </w:rPr>
        <w:t>Guide en ligne /guide — contenu adapté au type de compte</w:t>
      </w:r>
    </w:p>
    <w:p>
      <w:pPr>
        <w:pStyle w:val="ListBullet"/>
      </w:pPr>
      <w:r>
        <w:rPr>
          <w:rFonts w:ascii="Calibri" w:hAnsi="Calibri" w:eastAsia="Calibri"/>
          <w:b w:val="0"/>
          <w:i w:val="0"/>
          <w:sz w:val="22"/>
        </w:rPr>
        <w:t>Schéma Prisma — référence technique exhaustive des tables</w:t>
      </w:r>
    </w:p>
    <w:p>
      <w:pPr>
        <w:spacing w:after="160" w:line="240" w:lineRule="auto"/>
        <w:jc w:val="center"/>
      </w:pPr>
      <w:r>
        <w:rPr>
          <w:rFonts w:ascii="Calibri" w:hAnsi="Calibri" w:eastAsia="Calibri"/>
          <w:b/>
          <w:i w:val="0"/>
          <w:sz w:val="22"/>
        </w:rPr>
        <w:t>— Fin du cahier des charges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