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03CCD" w14:textId="77777777" w:rsidR="00791B93" w:rsidRPr="00602E81" w:rsidRDefault="00791B93" w:rsidP="00F770C1">
      <w:pPr>
        <w:jc w:val="center"/>
        <w:rPr>
          <w:rFonts w:eastAsiaTheme="minorEastAsia"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nroAsistentes=cantidad de postulantes asistentes al examen de admisión.</m:t>
          </m:r>
        </m:oMath>
      </m:oMathPara>
    </w:p>
    <w:p w14:paraId="60593FE4" w14:textId="15935B99" w:rsidR="00791B93" w:rsidRPr="00602E81" w:rsidRDefault="00791B93" w:rsidP="00F770C1">
      <w:pPr>
        <w:jc w:val="center"/>
        <w:rPr>
          <w:rFonts w:eastAsiaTheme="minorEastAsia"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cantPertenecientesEI=Cantidad de examenes de postulantes que son exactamente iguales.</m:t>
          </m:r>
        </m:oMath>
      </m:oMathPara>
    </w:p>
    <w:p w14:paraId="646B5738" w14:textId="7A7874C5" w:rsidR="00791B93" w:rsidRPr="00602E81" w:rsidRDefault="00791B93" w:rsidP="00F770C1">
      <w:pPr>
        <w:jc w:val="center"/>
        <w:rPr>
          <w:rFonts w:eastAsiaTheme="minorEastAsia"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cantPertenecientesGP=Cantidad de postulantes pertenecientes al menos a un grupo de patrones parecidos.</m:t>
          </m:r>
        </m:oMath>
      </m:oMathPara>
    </w:p>
    <w:p w14:paraId="009CFC78" w14:textId="30D7A448" w:rsidR="00791B93" w:rsidRPr="00602E81" w:rsidRDefault="00791B93" w:rsidP="00F770C1">
      <w:pPr>
        <w:jc w:val="center"/>
        <w:rPr>
          <w:rFonts w:eastAsiaTheme="minorEastAsia"/>
          <w:sz w:val="14"/>
        </w:rPr>
      </w:pPr>
      <m:oMath>
        <m:r>
          <w:rPr>
            <w:rFonts w:ascii="Cambria Math" w:eastAsiaTheme="minorEastAsia" w:hAnsi="Cambria Math"/>
            <w:sz w:val="14"/>
          </w:rPr>
          <m:t>cantPertenecientesPE=Cantidad de postulantes que tuvieron una elevación alta en su puntaje respecto al anterior examen.</m:t>
        </m:r>
      </m:oMath>
      <w:r w:rsidR="00B23244" w:rsidRPr="00602E81">
        <w:rPr>
          <w:rFonts w:eastAsiaTheme="minorEastAsia"/>
          <w:sz w:val="14"/>
        </w:rPr>
        <w:t xml:space="preserve"> </w:t>
      </w:r>
    </w:p>
    <w:p w14:paraId="5DA14BD8" w14:textId="77777777" w:rsidR="00B23244" w:rsidRPr="00602E81" w:rsidRDefault="00B23244" w:rsidP="00B23244">
      <w:pPr>
        <w:jc w:val="center"/>
        <w:rPr>
          <w:rFonts w:eastAsiaTheme="minorEastAsia"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porcentajeUnificador=Porcentaje de postulantes  que harían que la tasa sea del elemento observado de 100%</m:t>
          </m:r>
        </m:oMath>
      </m:oMathPara>
    </w:p>
    <w:p w14:paraId="0FE77A4F" w14:textId="68409FFA" w:rsidR="00B23244" w:rsidRPr="00602E81" w:rsidRDefault="00B23244" w:rsidP="00B23244">
      <w:pPr>
        <w:jc w:val="center"/>
        <w:rPr>
          <w:rFonts w:eastAsiaTheme="minorEastAsia"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pesoTasa=Peso que tiene una tasa particular para generar la tasa general.</m:t>
          </m:r>
        </m:oMath>
      </m:oMathPara>
    </w:p>
    <w:p w14:paraId="512DC855" w14:textId="77777777" w:rsidR="00791B93" w:rsidRPr="00602E81" w:rsidRDefault="00791B93" w:rsidP="00F770C1">
      <w:pPr>
        <w:jc w:val="center"/>
        <w:rPr>
          <w:rFonts w:eastAsiaTheme="minorEastAsia"/>
          <w:sz w:val="14"/>
        </w:rPr>
      </w:pPr>
      <w:bookmarkStart w:id="0" w:name="_GoBack"/>
      <w:bookmarkEnd w:id="0"/>
    </w:p>
    <w:p w14:paraId="56BAF017" w14:textId="77777777" w:rsidR="00791B93" w:rsidRPr="00602E81" w:rsidRDefault="00791B93" w:rsidP="00F770C1">
      <w:pPr>
        <w:jc w:val="center"/>
        <w:rPr>
          <w:rFonts w:eastAsiaTheme="minorEastAsia"/>
          <w:sz w:val="14"/>
        </w:rPr>
      </w:pPr>
    </w:p>
    <w:p w14:paraId="6A479654" w14:textId="0BD8A42C" w:rsidR="00791B93" w:rsidRPr="00602E81" w:rsidRDefault="00791B93" w:rsidP="00F770C1">
      <w:pPr>
        <w:jc w:val="center"/>
        <w:rPr>
          <w:rFonts w:eastAsiaTheme="minorEastAsia"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tasaGI=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</w:rPr>
                <m:t>cantPertenecientesEI</m:t>
              </m:r>
            </m:num>
            <m:den>
              <m:r>
                <w:rPr>
                  <w:rFonts w:ascii="Cambria Math" w:eastAsiaTheme="minorEastAsia" w:hAnsi="Cambria Math"/>
                  <w:sz w:val="14"/>
                </w:rPr>
                <m:t>nroAsistentes*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</w:rPr>
                <m:t>porcentajeUnificadorGI</m:t>
              </m:r>
            </m:den>
          </m:f>
        </m:oMath>
      </m:oMathPara>
    </w:p>
    <w:p w14:paraId="5DD7C910" w14:textId="6AB9E927" w:rsidR="00791B93" w:rsidRPr="00602E81" w:rsidRDefault="00791B93" w:rsidP="00F770C1">
      <w:pPr>
        <w:jc w:val="center"/>
        <w:rPr>
          <w:rFonts w:eastAsiaTheme="minorEastAsia"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tasaGP=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</w:rPr>
                <m:t>cantPertenecientesGP</m:t>
              </m:r>
            </m:num>
            <m:den>
              <m:r>
                <w:rPr>
                  <w:rFonts w:ascii="Cambria Math" w:eastAsiaTheme="minorEastAsia" w:hAnsi="Cambria Math"/>
                  <w:sz w:val="14"/>
                </w:rPr>
                <m:t>nroAsistentes*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</w:rPr>
                <m:t>porcentajeUnificadorGP</m:t>
              </m:r>
            </m:den>
          </m:f>
        </m:oMath>
      </m:oMathPara>
    </w:p>
    <w:p w14:paraId="52D93F92" w14:textId="216DB245" w:rsidR="00791B93" w:rsidRPr="00602E81" w:rsidRDefault="00791B93" w:rsidP="00F770C1">
      <w:pPr>
        <w:jc w:val="center"/>
        <w:rPr>
          <w:rFonts w:eastAsiaTheme="minorEastAsia"/>
          <w:sz w:val="14"/>
        </w:rPr>
      </w:pPr>
      <m:oMathPara>
        <m:oMath>
          <m:r>
            <w:rPr>
              <w:rFonts w:ascii="Cambria Math" w:eastAsiaTheme="minorEastAsia" w:hAnsi="Cambria Math"/>
              <w:sz w:val="14"/>
            </w:rPr>
            <m:t>tasaPE=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</w:rPr>
                <m:t>cantPertenecientesPE</m:t>
              </m:r>
            </m:num>
            <m:den>
              <m:r>
                <w:rPr>
                  <w:rFonts w:ascii="Cambria Math" w:eastAsiaTheme="minorEastAsia" w:hAnsi="Cambria Math"/>
                  <w:sz w:val="14"/>
                </w:rPr>
                <m:t>nroAsistentes*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</w:rPr>
                <m:t>porcentajeUnificadorPE</m:t>
              </m:r>
            </m:den>
          </m:f>
        </m:oMath>
      </m:oMathPara>
    </w:p>
    <w:p w14:paraId="314CFC5A" w14:textId="77777777" w:rsidR="00791B93" w:rsidRPr="00602E81" w:rsidRDefault="00791B93" w:rsidP="00F770C1">
      <w:pPr>
        <w:jc w:val="center"/>
        <w:rPr>
          <w:rFonts w:eastAsiaTheme="minorEastAsia"/>
          <w:sz w:val="14"/>
        </w:rPr>
      </w:pPr>
    </w:p>
    <w:p w14:paraId="41F3EF43" w14:textId="1819A59D" w:rsidR="00C1660B" w:rsidRPr="00B23244" w:rsidRDefault="00B23244" w:rsidP="00F770C1">
      <w:pPr>
        <w:jc w:val="center"/>
        <w:rPr>
          <w:rFonts w:eastAsiaTheme="minorEastAsia"/>
          <w:sz w:val="14"/>
        </w:rPr>
      </w:pPr>
      <m:oMathPara>
        <m:oMath>
          <m:r>
            <w:rPr>
              <w:rFonts w:ascii="Cambria Math" w:hAnsi="Cambria Math"/>
              <w:sz w:val="14"/>
            </w:rPr>
            <m:t>tasaIrregularidad=</m:t>
          </m:r>
          <m:f>
            <m:fPr>
              <m:ctrlPr>
                <w:rPr>
                  <w:rFonts w:ascii="Cambria Math" w:hAnsi="Cambria Math"/>
                  <w:i/>
                  <w:sz w:val="1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14"/>
                </w:rPr>
                <m:t>pesoTasaGI</m:t>
              </m:r>
              <m:r>
                <w:rPr>
                  <w:rFonts w:ascii="Cambria Math" w:hAnsi="Cambria Math"/>
                  <w:sz w:val="14"/>
                </w:rPr>
                <m:t>*tasaGI+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</w:rPr>
                <m:t>pesoTasaGP</m:t>
              </m:r>
              <m:r>
                <w:rPr>
                  <w:rFonts w:ascii="Cambria Math" w:hAnsi="Cambria Math"/>
                  <w:sz w:val="14"/>
                </w:rPr>
                <m:t>*tasaGP+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</w:rPr>
                <m:t>pesoTasaPE</m:t>
              </m:r>
              <m:r>
                <w:rPr>
                  <w:rFonts w:ascii="Cambria Math" w:hAnsi="Cambria Math"/>
                  <w:sz w:val="14"/>
                </w:rPr>
                <m:t>*tasaPE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14"/>
                </w:rPr>
                <m:t>pesoTasaGI</m:t>
              </m:r>
              <m:r>
                <w:rPr>
                  <w:rFonts w:ascii="Cambria Math" w:hAnsi="Cambria Math"/>
                  <w:sz w:val="1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</w:rPr>
                <m:t>pesoTasaGP</m:t>
              </m:r>
              <m:r>
                <w:rPr>
                  <w:rFonts w:ascii="Cambria Math" w:hAnsi="Cambria Math"/>
                  <w:sz w:val="1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14"/>
                </w:rPr>
                <m:t>pesoTasaPE</m:t>
              </m:r>
            </m:den>
          </m:f>
        </m:oMath>
      </m:oMathPara>
    </w:p>
    <w:p w14:paraId="1CAB27BF" w14:textId="77777777" w:rsidR="00B23244" w:rsidRPr="00B23244" w:rsidRDefault="00B23244" w:rsidP="00F770C1">
      <w:pPr>
        <w:jc w:val="center"/>
        <w:rPr>
          <w:rFonts w:eastAsiaTheme="minorEastAsia"/>
          <w:sz w:val="14"/>
        </w:rPr>
      </w:pPr>
    </w:p>
    <w:sectPr w:rsidR="00B23244" w:rsidRPr="00B23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B30"/>
    <w:rsid w:val="00034330"/>
    <w:rsid w:val="002E0B30"/>
    <w:rsid w:val="00400062"/>
    <w:rsid w:val="00521D51"/>
    <w:rsid w:val="00602E81"/>
    <w:rsid w:val="00775610"/>
    <w:rsid w:val="00791B93"/>
    <w:rsid w:val="007A69B3"/>
    <w:rsid w:val="00B23244"/>
    <w:rsid w:val="00C1660B"/>
    <w:rsid w:val="00F7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79851"/>
  <w15:chartTrackingRefBased/>
  <w15:docId w15:val="{ECB352CE-F16B-4266-867A-FECA21B7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91B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2021-09-08T03:49:00Z</dcterms:created>
  <dcterms:modified xsi:type="dcterms:W3CDTF">2021-09-08T05:10:00Z</dcterms:modified>
</cp:coreProperties>
</file>