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b w:val="1"/>
          <w:sz w:val="32"/>
          <w:szCs w:val="32"/>
          <w:rtl w:val="0"/>
        </w:rPr>
        <w:t xml:space="preserve">PART E: Smithsonian American Museum of 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24"/>
          <w:szCs w:val="24"/>
          <w:rtl w:val="0"/>
        </w:rPr>
        <w:t xml:space="preserve">By: Warren Fehr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 following actions were taken for moving the data from our old database schema to the new unified museum database design agreed upon by the 5 museums.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Explanation for how I got the information for each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 was able to get information from a loners table, and a loaners table, and easily select all the data and transfer it into a version of the new owners table. The major problem I had was reformatting that the address data was not properly formatted, so i had to go in and personally reformat it using UPDATES and INSERTS. I added an entry for my museum to this table,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No major changes needed. I selected all the data from my old tables, and added pertinent values to fill the new attributes(namely setting the databaseentrylocation to 'Smithsonian American Art Museum', the physicalproperty to 'Painting', and the geographic region and country to 'United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 added the data from my old locations table without any issue. I had a few travelling exhibition locations in a separate table in my old db, which was problematic. Thankfully, there weren't many of them, so I just created a few INSERTS with their data manually and inserted it into the locations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 regular exhibitions were selected from the old tables and added into to the new tables without any issues. I had one travelling exhibition in a seperate table, so i converted the information it had and INSERTed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Doors &amp; WorksMediums: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All I needed was to simply select from the old table with a slight change to account for databaseentrylocation primary keys. No modifications were needed for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SponsorExhibitions: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This is a brand new table. I only had one entry in it from the travelling exhibition I had, and I inserted it with no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checked the single entry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ExhibitionLocations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 selected the data from the old table, added in the new primary keys for the museums, and copied it in without any worries. I had to take the entries from a travellingExhibitionLocations, format them to fit the exhibitionlocations format by hand, then manually inserted them in afterwards.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WorkOwners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 made this new table from scratch. I made an entry for all items with their ownership changing to me on the day I acquired them, and then referenced an old transfers/transactions table I had and added info for borrowed,loaned, and sold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created this from scratch, so all I did was the check that all the transaction info was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WorksInsurance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 made this new table using the insurance values from my works table, with the insurance being issued on the day I acquired it.. I did not have any individual insurance values stored for my travelling exhibitions, so I had nothing to reference for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 in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WorkLocations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This table needed a lot of work. My previous version of this table only had arrival times, which was not adequate enough. In the end, I basically had to recreate most the work moving data by hand, from scratch, with inserts and updates, which was long and gruelling.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checked every single item to make sure it had a flawless chain of transfers: It should start in Storage when it was first bought, and should have a set of entries that show its set of movements (without any gaps) to its current location, where it should have a departure time of null (which means it hasn't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ExhibtionWorks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 could basically select the information from my old exhibitionworks table and insert it without any major problems. I had to create new entries for all the items that were in my travelling exhibition and add them in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WorkTransactions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 had several tables covering various transactions, such as loans, borrowing, and sales. I combined them into this one via select statements, marking the transaction type and client for each transaction depending on which table they came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This is brandnew, I simply added an entry for all my works as an 'American' theme, and added an entry for the pieces marked as war pieces as 'War'.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Not much here, just make sure all the pieces that are war pieces are tagged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