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eorgia" w:cs="Georgia" w:eastAsia="Georgia" w:hAnsi="Georgia"/>
          <w:b w:val="1"/>
          <w:sz w:val="24"/>
          <w:szCs w:val="24"/>
          <w:rtl w:val="0"/>
        </w:rPr>
        <w:t xml:space="preserve">Part E - Group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Once everyone had finished preparing their databases for the merge, we used dbVisualizer's export function, which exported our databases to sql files, which contained INSERTS, UPDATES and CREATES which would recreate our database. We then created schemas for each team member on the central database. After we modified the sql files slightly to account for a few errors caused by the export process, each person checked them for errors in their data on the central server, they used select statements to insert their data into our central schema and set of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rtl w:val="0"/>
        </w:rPr>
        <w:t xml:space="preserve">Verification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