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Bold means that I have done that step and it worked without errors</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Add all the owners, including your museum, to the owners table.  You have to add information that is relevant to the owners that did not exist in your previous database</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Move all the works from your old database to the new works table, and synthesize data as necessary to fill in the new fields.</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Move all the data from your old materials table to the new one, no synthesis of new data should be necessary for this one, just put in your museum’s name as per normal.</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ns_owners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