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76363" cy="159572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59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(Richard Granger)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trigger suggestions: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-trigger that moves works and changes appropriate tables when an exhibit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-trigger that moves works and changes appropriate table when an exhibit begins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-trigger that adds to the works owners table when a transaction occurs that is a ‘sale’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-trigger that adds to the works owners table when a transaction occurs that is ‘destruction of item’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-trigger that changes the locations of works in travelling exhibitions automatically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-trigger that will update the insurance values of works that are sent out on travelling 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-trigger(S) for tables that will automatically add an entry to the transactions table (I think this one is important)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-when an item moves in or out of an exhibition change its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-when an item moves at all change its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-when an item is sold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-these are all triggers that we should add to try and make transactions as automatic as 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-check if an item purchased by the museum has been owned by that museum before (Sam’s idea) (For same char and num id)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(Warren)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Currently, for </w:t>
      </w:r>
      <w:r w:rsidDel="00000000" w:rsidR="00000000" w:rsidRPr="00000000">
        <w:rPr>
          <w:rtl w:val="0"/>
        </w:rPr>
        <w:t xml:space="preserve">WorkLocations</w:t>
      </w:r>
      <w:r w:rsidDel="00000000" w:rsidR="00000000" w:rsidRPr="00000000">
        <w:rPr>
          <w:rtl w:val="0"/>
        </w:rPr>
        <w:t xml:space="preserve">, we leave the wonownershipend null and fill it in later. </w:t>
      </w:r>
      <w:r w:rsidDel="00000000" w:rsidR="00000000" w:rsidRPr="00000000">
        <w:rPr>
          <w:b w:val="1"/>
          <w:rtl w:val="0"/>
        </w:rPr>
        <w:t xml:space="preserve">We should fill it automatically when someone adds a new owners entry for an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ohamed Kassem" w:id="1" w:date="2016-12-05T17:1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not a trigger according to the definition mentioned in the report.</w:t>
      </w:r>
    </w:p>
  </w:comment>
  <w:comment w:author="Mohamed Kassem" w:id="0" w:date="2016-12-03T14:43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the works suppose to go after the exhibitions ends? To storage.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png"/></Relationships>
</file>