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Creating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Team 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doors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if exists doorview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doorview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dormuseumnameorigin,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dorlocationnameorigin,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dormuseumnamedestination,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dorlocationnamedestination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exhibitionlocations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if exists exhibitionlocationsview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exhibitionlocationsview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eloexhibitname,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eloexhibitdatestart,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elolocationname,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elomuseumoflocation,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elomuseumofexhibition,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elolocationdatestart,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elolocationdateend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exhibitionlocations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exhibitions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if exists exhibitionsview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exhibitionsview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exhexhibitname,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exhmuseumname,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exhexhibitdatestart,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exhexhibitdateend,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exhexhibitdescription,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exhsecuritypersonname,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exhistravellingexhibition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exhibitions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exhibitionworks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if exists exhibitionworksview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exhibitionworksview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exwexhibitname,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exwexhibitdatestart,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exwmuseumofexhibition,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exwworkcharid,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exwworknumid,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exwworkdatabaseentrymuseum,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exwdateworkadded,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exwdateworkremoved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exhibitionworks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locations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if exists locationsview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locationsview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loclocationname,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locbuildingname,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locistravellingexhibitionlocation,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loclocationsuggestedcapacitymin,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loclocationsuggestedcapacitymax,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loclocationmeasurementwidth,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loclocationmeasurementlength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owners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if exists ownersview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ownersview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ownname,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ownemail,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owncity,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ownstate,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ownstreetname,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ownbuildingnumber,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ownispartnermuseum,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ownphonenumber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owners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sponsorexhibitions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if exists sponsorexhibitionsview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sponsorexhibitionsview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spesponsorname,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speexhibitname,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spemuseumname,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speexhibitdatestart,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spesponsoramount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sponsorexhibitions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themes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if exists themesview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themesview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wthworkcharid,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wthworknumid,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wthworkdatabaseentrylocation,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wththeme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worklocations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if exists worklocationsview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worklocationsview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wolworkcharid,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wolworknumid,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wolworkdatabaseentrymuseum,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wollocationname,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wolmuseumname,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wolworktimearrival,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wolworktimedeparture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worklocations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workowners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if exists workownersview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workownersview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wonworkcharid,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wonworknumid,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wonworkdatabaseentrylocation,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wonownername,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wonownershipdatestart,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wonownershipdateend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workowners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if exists worksview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worksview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worworkcharid,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worworknumid,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wordatabaseentrymuseum,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worworkname,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worworkdescription,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worworkphysicalproperty,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worworkclassification,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worworkcreator,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worworkcreationdate,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worworkborrowable,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worworkgeographicregionoforigin,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worworkcountryoforigin,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worworkfieldofscience,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worworkcreationtimeperiod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worksinsurance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if exists worksinsuranceview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worksinsuranceview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winworkcharid,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winworknumid,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winworkdatabaseentrylocation,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winworkinsurevalue,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wininsuredatestart,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wininsuredateend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worksinsurance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worksmedium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if exists worksmediumview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worksmediumview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wmeworkcharid,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wmeworknumid,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wmedatabaseentrymuseum,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wmeworkmedium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worksmedium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worktransaction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if exists worktransactionview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worktransactionview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wtrworkcharid,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wtrworknumid,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wtrworkdatabaseentrymuseum,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wtrmuseuminvolved,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wtrclient,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wtrtransactiontype,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wtrtransactiontime,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