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684A64">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D9DF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E1445E" w:rsidRDefault="00E1445E" w:rsidP="00FA01CD">
      <w:pPr>
        <w:rPr>
          <w:i/>
          <w:sz w:val="28"/>
          <w:szCs w:val="28"/>
        </w:rPr>
      </w:pPr>
    </w:p>
    <w:p w:rsidR="00684A64" w:rsidRDefault="00684A64" w:rsidP="00FA01CD">
      <w:pPr>
        <w:rPr>
          <w:b/>
          <w:sz w:val="28"/>
          <w:szCs w:val="28"/>
        </w:rPr>
      </w:pPr>
      <w:r>
        <w:rPr>
          <w:b/>
          <w:sz w:val="28"/>
          <w:szCs w:val="28"/>
        </w:rPr>
        <w:t>Player: Move</w:t>
      </w:r>
    </w:p>
    <w:p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684A64" w:rsidRDefault="00684A64" w:rsidP="00FA01CD">
      <w:pPr>
        <w:rPr>
          <w:sz w:val="28"/>
          <w:szCs w:val="28"/>
        </w:rPr>
      </w:pPr>
    </w:p>
    <w:p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rsidR="001D2F37" w:rsidRPr="001D2F37" w:rsidRDefault="001D2F37" w:rsidP="001D2F37">
      <w:pPr>
        <w:ind w:left="2880"/>
        <w:rPr>
          <w:sz w:val="28"/>
          <w:szCs w:val="28"/>
        </w:rPr>
      </w:pPr>
      <w:r>
        <w:rPr>
          <w:sz w:val="28"/>
          <w:szCs w:val="28"/>
        </w:rPr>
        <w:t>-The player has moved the movement amount for the robot</w:t>
      </w:r>
    </w:p>
    <w:p w:rsidR="00E1445E" w:rsidRDefault="00217168" w:rsidP="00FA01CD">
      <w:pPr>
        <w:rPr>
          <w:sz w:val="28"/>
          <w:szCs w:val="28"/>
        </w:rPr>
      </w:pPr>
      <w:r>
        <w:rPr>
          <w:noProof/>
          <w:sz w:val="28"/>
          <w:szCs w:val="28"/>
          <w:lang w:eastAsia="en-CA"/>
        </w:rPr>
        <w:drawing>
          <wp:inline distT="0" distB="0" distL="0" distR="0">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7168" w:rsidRDefault="00217168" w:rsidP="00FA01CD">
      <w:pPr>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217168" w:rsidRDefault="00217168" w:rsidP="00FA01CD">
      <w:pPr>
        <w:rPr>
          <w:i/>
          <w:sz w:val="28"/>
          <w:szCs w:val="28"/>
        </w:rPr>
      </w:pPr>
    </w:p>
    <w:p w:rsidR="00217168" w:rsidRDefault="00197B06" w:rsidP="00FA01CD">
      <w:pPr>
        <w:rPr>
          <w:b/>
          <w:sz w:val="28"/>
          <w:szCs w:val="28"/>
        </w:rPr>
      </w:pPr>
      <w:r>
        <w:rPr>
          <w:b/>
          <w:sz w:val="28"/>
          <w:szCs w:val="28"/>
        </w:rPr>
        <w:t>Player: Attack</w:t>
      </w:r>
    </w:p>
    <w:p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20D85" w:rsidRDefault="00020D85" w:rsidP="00FA01CD">
      <w:pPr>
        <w:rPr>
          <w:sz w:val="28"/>
          <w:szCs w:val="28"/>
        </w:rPr>
      </w:pPr>
    </w:p>
    <w:p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020D85" w:rsidRDefault="00020D85" w:rsidP="00020D85">
      <w:pPr>
        <w:ind w:left="2880"/>
        <w:rPr>
          <w:sz w:val="28"/>
          <w:szCs w:val="28"/>
        </w:rPr>
      </w:pPr>
      <w:r>
        <w:rPr>
          <w:sz w:val="28"/>
          <w:szCs w:val="28"/>
        </w:rPr>
        <w:t>-The enemy robot is within shooting range of the player’s robot</w:t>
      </w:r>
    </w:p>
    <w:p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rsidR="00020D85" w:rsidRDefault="00020D85" w:rsidP="00020D85">
      <w:pPr>
        <w:ind w:left="2880" w:hanging="2160"/>
        <w:rPr>
          <w:b/>
          <w:sz w:val="28"/>
          <w:szCs w:val="28"/>
        </w:rPr>
      </w:pPr>
      <w:r>
        <w:rPr>
          <w:b/>
          <w:noProof/>
          <w:sz w:val="28"/>
          <w:szCs w:val="28"/>
          <w:lang w:eastAsia="en-CA"/>
        </w:rPr>
        <w:drawing>
          <wp:inline distT="0" distB="0" distL="0" distR="0">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20D85" w:rsidRDefault="00020D85" w:rsidP="00020D85">
      <w:pPr>
        <w:ind w:left="2880" w:hanging="2160"/>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rsidR="00873092" w:rsidRDefault="00873092" w:rsidP="00020D85">
      <w:pPr>
        <w:ind w:left="2880" w:hanging="2160"/>
        <w:rPr>
          <w:i/>
          <w:sz w:val="28"/>
          <w:szCs w:val="28"/>
        </w:rPr>
      </w:pPr>
    </w:p>
    <w:p w:rsidR="00873092" w:rsidRDefault="00873092" w:rsidP="00873092">
      <w:pPr>
        <w:rPr>
          <w:b/>
          <w:sz w:val="28"/>
          <w:szCs w:val="28"/>
        </w:rPr>
      </w:pPr>
      <w:r>
        <w:rPr>
          <w:b/>
          <w:sz w:val="28"/>
          <w:szCs w:val="28"/>
        </w:rPr>
        <w:t>Player: End Turn</w:t>
      </w:r>
    </w:p>
    <w:p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rsidR="00873092" w:rsidRDefault="00873092" w:rsidP="00873092">
      <w:pPr>
        <w:ind w:left="2880" w:hanging="2160"/>
        <w:rPr>
          <w:sz w:val="28"/>
          <w:szCs w:val="28"/>
        </w:rPr>
      </w:pPr>
    </w:p>
    <w:p w:rsidR="00873092" w:rsidRDefault="00873092" w:rsidP="00873092">
      <w:pPr>
        <w:ind w:left="2880" w:hanging="2160"/>
        <w:rPr>
          <w:sz w:val="28"/>
          <w:szCs w:val="28"/>
        </w:rPr>
      </w:pPr>
      <w:r>
        <w:rPr>
          <w:noProof/>
          <w:sz w:val="28"/>
          <w:szCs w:val="28"/>
          <w:lang w:eastAsia="en-CA"/>
        </w:rPr>
        <w:drawing>
          <wp:inline distT="0" distB="0" distL="0" distR="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rsidR="00873092" w:rsidRDefault="00873092" w:rsidP="00873092">
      <w:pPr>
        <w:ind w:left="720"/>
        <w:rPr>
          <w:i/>
          <w:sz w:val="28"/>
          <w:szCs w:val="28"/>
        </w:rPr>
      </w:pPr>
    </w:p>
    <w:p w:rsidR="00873092" w:rsidRDefault="00873092" w:rsidP="00873092">
      <w:pPr>
        <w:ind w:left="720"/>
        <w:rPr>
          <w:i/>
          <w:sz w:val="28"/>
          <w:szCs w:val="28"/>
        </w:rPr>
      </w:pPr>
    </w:p>
    <w:p w:rsidR="00873092" w:rsidRPr="00873092" w:rsidRDefault="00873092" w:rsidP="00873092">
      <w:pPr>
        <w:ind w:left="720"/>
        <w:rPr>
          <w:sz w:val="28"/>
          <w:szCs w:val="28"/>
        </w:rPr>
      </w:pPr>
      <w:bookmarkStart w:id="0" w:name="_GoBack"/>
      <w:bookmarkEnd w:id="0"/>
    </w:p>
    <w:p w:rsidR="00873092" w:rsidRPr="00020D85" w:rsidRDefault="00873092" w:rsidP="00873092">
      <w:pPr>
        <w:ind w:left="2880" w:hanging="2160"/>
        <w:rPr>
          <w:b/>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020D85"/>
    <w:rsid w:val="000503EE"/>
    <w:rsid w:val="00144D3F"/>
    <w:rsid w:val="00197B06"/>
    <w:rsid w:val="001D2F37"/>
    <w:rsid w:val="00217168"/>
    <w:rsid w:val="00324718"/>
    <w:rsid w:val="003871F6"/>
    <w:rsid w:val="003D19C3"/>
    <w:rsid w:val="003D5714"/>
    <w:rsid w:val="0067110D"/>
    <w:rsid w:val="00684A64"/>
    <w:rsid w:val="00697E4F"/>
    <w:rsid w:val="007D0345"/>
    <w:rsid w:val="00873092"/>
    <w:rsid w:val="008C0E2B"/>
    <w:rsid w:val="008C67DA"/>
    <w:rsid w:val="00A465F1"/>
    <w:rsid w:val="00B50945"/>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10</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16</cp:revision>
  <dcterms:created xsi:type="dcterms:W3CDTF">2016-09-27T22:46:00Z</dcterms:created>
  <dcterms:modified xsi:type="dcterms:W3CDTF">2016-09-30T01:00:00Z</dcterms:modified>
</cp:coreProperties>
</file>