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b/>
          <w:sz w:val="56"/>
        </w:rPr>
        <w:t>MODERN MULTI-TENANT ERP SaaS</w:t>
      </w:r>
    </w:p>
    <w:p>
      <w:pPr>
        <w:jc w:val="center"/>
      </w:pPr>
      <w:r>
        <w:rPr>
          <w:sz w:val="26"/>
        </w:rPr>
        <w:t>Product Proposal • Architecture • Functional Specification • Delivery Blueprint</w:t>
      </w:r>
    </w:p>
    <w:p>
      <w:pPr>
        <w:jc w:val="center"/>
      </w:pPr>
      <w:r>
        <w:rPr>
          <w:b/>
        </w:rPr>
        <w:t>ASP.NET Core Web API + SQL Server + React/TypeScript</w:t>
      </w:r>
    </w:p>
    <w:p>
      <w:pPr>
        <w:jc w:val="center"/>
      </w:pPr>
      <w:r>
        <w:rPr>
          <w:i/>
        </w:rPr>
        <w:t>Designed for busy retail shops, stores, distributors, service businesses and multi-branch organizations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 xml:space="preserve">This proposal defines a commercial-grade, multi-tenant ERP platform that can be sold as a SaaS product to businesses with one or many branches. </w:t>
        <w:br/>
        <w:t>The central design principle is configuration over code: business behavior, modules, permissions, workflows, document templates, taxes, currencies, numbering, reports and supported data transformations should be controlled from administration wherever appropriate.</w:t>
      </w:r>
    </w:p>
    <w:p>
      <w:pPr>
        <w:pStyle w:val="Heading2"/>
      </w:pPr>
      <w:r>
        <w:t>Product goals</w:t>
      </w:r>
    </w:p>
    <w:p>
      <w:pPr>
        <w:pStyle w:val="ListBullet"/>
      </w:pPr>
      <w:r>
        <w:t>Fast POS and operational screens suitable for busy retail counters.</w:t>
      </w:r>
    </w:p>
    <w:p>
      <w:pPr>
        <w:pStyle w:val="ListBullet"/>
      </w:pPr>
      <w:r>
        <w:t>Multi-company, multi-branch, multi-warehouse and multi-terminal support.</w:t>
      </w:r>
    </w:p>
    <w:p>
      <w:pPr>
        <w:pStyle w:val="ListBullet"/>
      </w:pPr>
      <w:r>
        <w:t>Dynamic modules and business rules enabled/disabled without tenant-specific code.</w:t>
      </w:r>
    </w:p>
    <w:p>
      <w:pPr>
        <w:pStyle w:val="ListBullet"/>
      </w:pPr>
      <w:r>
        <w:t>Fine-grained RBAC with role, permission and branch/data scope.</w:t>
      </w:r>
    </w:p>
    <w:p>
      <w:pPr>
        <w:pStyle w:val="ListBullet"/>
      </w:pPr>
      <w:r>
        <w:t>Strong audit trails and controlled transaction history.</w:t>
      </w:r>
    </w:p>
    <w:p>
      <w:pPr>
        <w:pStyle w:val="ListBullet"/>
      </w:pPr>
      <w:r>
        <w:t>Configurable reporting, document templates, taxes, currencies and numbering.</w:t>
      </w:r>
    </w:p>
    <w:p>
      <w:pPr>
        <w:pStyle w:val="ListBullet"/>
      </w:pPr>
      <w:r>
        <w:t>Safe support for legitimate reporting/tax adjustments without overwriting source transactions.</w:t>
      </w:r>
    </w:p>
    <w:p>
      <w:pPr>
        <w:pStyle w:val="ListBullet"/>
      </w:pPr>
      <w:r>
        <w:t>Modern responsive UI with light/dark/custom themes and localization.</w:t>
      </w:r>
    </w:p>
    <w:p>
      <w:pPr>
        <w:pStyle w:val="ListBullet"/>
      </w:pPr>
      <w:r>
        <w:t>Scalable SaaS architecture for hundreds to thousands of tenants.</w:t>
      </w:r>
    </w:p>
    <w:p>
      <w:pPr>
        <w:pStyle w:val="Heading1"/>
      </w:pPr>
      <w:r>
        <w:t>2. Critical Rule: Original Data vs Reporting/Adjustment Views</w:t>
      </w:r>
    </w:p>
    <w:p>
      <w:r>
        <w:t xml:space="preserve">Requests such as changing the reporting date of sales after a cutoff, excluding selected products from a particular report, or presenting a different tax view must never overwrite or delete the original sale. </w:t>
        <w:br/>
        <w:t>The ERP should retain the source transaction and create a separate, versioned transformation/reporting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 Transaction</w:t>
            </w:r>
          </w:p>
        </w:tc>
        <w:tc>
          <w:tcPr>
            <w:tcW w:type="dxa" w:w="3408"/>
            <w:vAlign w:val="center"/>
          </w:tcPr>
          <w:p>
            <w:r>
              <w:t>Operational truth</w:t>
            </w:r>
          </w:p>
        </w:tc>
        <w:tc>
          <w:tcPr>
            <w:tcW w:type="dxa" w:w="3408"/>
            <w:vAlign w:val="center"/>
          </w:tcPr>
          <w:p>
            <w:r>
              <w:t>Sale #SO-10025 at 14:35 on 8 Oct</w:t>
            </w:r>
          </w:p>
        </w:tc>
      </w:tr>
      <w:tr>
        <w:tc>
          <w:tcPr>
            <w:tcW w:type="dxa" w:w="3408"/>
            <w:vAlign w:val="center"/>
          </w:tcPr>
          <w:p>
            <w:r>
              <w:t>Business Rule</w:t>
            </w:r>
          </w:p>
        </w:tc>
        <w:tc>
          <w:tcPr>
            <w:tcW w:type="dxa" w:w="3408"/>
            <w:vAlign w:val="center"/>
          </w:tcPr>
          <w:p>
            <w:r>
              <w:t>Tenant-specific behavior</w:t>
            </w:r>
          </w:p>
        </w:tc>
        <w:tc>
          <w:tcPr>
            <w:tcW w:type="dxa" w:w="3408"/>
            <w:vAlign w:val="center"/>
          </w:tcPr>
          <w:p>
            <w:r>
              <w:t>After 14:00, reporting date = next business day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Transformation</w:t>
            </w:r>
          </w:p>
        </w:tc>
        <w:tc>
          <w:tcPr>
            <w:tcW w:type="dxa" w:w="3408"/>
            <w:vAlign w:val="center"/>
          </w:tcPr>
          <w:p>
            <w:r>
              <w:t>Derived result</w:t>
            </w:r>
          </w:p>
        </w:tc>
        <w:tc>
          <w:tcPr>
            <w:tcW w:type="dxa" w:w="3408"/>
            <w:vAlign w:val="center"/>
          </w:tcPr>
          <w:p>
            <w:r>
              <w:t>Reporting date becomes 9 Oct</w:t>
            </w:r>
          </w:p>
        </w:tc>
      </w:tr>
      <w:tr>
        <w:tc>
          <w:tcPr>
            <w:tcW w:type="dxa" w:w="3408"/>
            <w:vAlign w:val="center"/>
          </w:tcPr>
          <w:p>
            <w:r>
              <w:t>Report View</w:t>
            </w:r>
          </w:p>
        </w:tc>
        <w:tc>
          <w:tcPr>
            <w:tcW w:type="dxa" w:w="3408"/>
            <w:vAlign w:val="center"/>
          </w:tcPr>
          <w:p>
            <w:r>
              <w:t>Uses source + rules</w:t>
            </w:r>
          </w:p>
        </w:tc>
        <w:tc>
          <w:tcPr>
            <w:tcW w:type="dxa" w:w="3408"/>
            <w:vAlign w:val="center"/>
          </w:tcPr>
          <w:p>
            <w:r>
              <w:t>Daily tax report grouped by reporting date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Audit Log</w:t>
            </w:r>
          </w:p>
        </w:tc>
        <w:tc>
          <w:tcPr>
            <w:tcW w:type="dxa" w:w="3408"/>
            <w:vAlign w:val="center"/>
          </w:tcPr>
          <w:p>
            <w:r>
              <w:t>Who/when/why</w:t>
            </w:r>
          </w:p>
        </w:tc>
        <w:tc>
          <w:tcPr>
            <w:tcW w:type="dxa" w:w="3408"/>
            <w:vAlign w:val="center"/>
          </w:tcPr>
          <w:p>
            <w:r>
              <w:t>Admin changed rule; old/new versions retained</w:t>
            </w:r>
          </w:p>
        </w:tc>
      </w:tr>
    </w:tbl>
    <w:p/>
    <w:p>
      <w:r>
        <w:t xml:space="preserve">Do not implement hidden “fake sales”. Use explicit concepts such as Reporting Adjustments, Posting Rules, Tax Treatment Rules or Management Reporting Views. </w:t>
        <w:br/>
        <w:t>This is essential for reconciliation, auditability and future integrations.</w:t>
      </w:r>
    </w:p>
    <w:p>
      <w:pPr>
        <w:pStyle w:val="Heading1"/>
      </w:pPr>
      <w:r>
        <w:t>3. SaaS Tenant &amp; Organization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Platform</w:t>
            </w:r>
          </w:p>
        </w:tc>
        <w:tc>
          <w:tcPr>
            <w:tcW w:type="dxa" w:w="3408"/>
            <w:vAlign w:val="center"/>
          </w:tcPr>
          <w:p>
            <w:r>
              <w:t>Super Admin</w:t>
            </w:r>
          </w:p>
        </w:tc>
        <w:tc>
          <w:tcPr>
            <w:tcW w:type="dxa" w:w="3408"/>
            <w:vAlign w:val="center"/>
          </w:tcPr>
          <w:p>
            <w:r>
              <w:t>Owns SaaS configuration, plans, global features and tenant administration.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Tenant</w:t>
            </w:r>
          </w:p>
        </w:tc>
        <w:tc>
          <w:tcPr>
            <w:tcW w:type="dxa" w:w="3408"/>
            <w:vAlign w:val="center"/>
          </w:tcPr>
          <w:p>
            <w:r>
              <w:t>Company / Organization</w:t>
            </w:r>
          </w:p>
        </w:tc>
        <w:tc>
          <w:tcPr>
            <w:tcW w:type="dxa" w:w="3408"/>
            <w:vAlign w:val="center"/>
          </w:tcPr>
          <w:p>
            <w:r>
              <w:t>Customer account and isolated business data.</w:t>
            </w:r>
          </w:p>
        </w:tc>
      </w:tr>
      <w:tr>
        <w:tc>
          <w:tcPr>
            <w:tcW w:type="dxa" w:w="3408"/>
            <w:vAlign w:val="center"/>
          </w:tcPr>
          <w:p>
            <w:r>
              <w:t>Business Unit</w:t>
            </w:r>
          </w:p>
        </w:tc>
        <w:tc>
          <w:tcPr>
            <w:tcW w:type="dxa" w:w="3408"/>
            <w:vAlign w:val="center"/>
          </w:tcPr>
          <w:p>
            <w:r>
              <w:t>Business Type / Division</w:t>
            </w:r>
          </w:p>
        </w:tc>
        <w:tc>
          <w:tcPr>
            <w:tcW w:type="dxa" w:w="3408"/>
            <w:vAlign w:val="center"/>
          </w:tcPr>
          <w:p>
            <w:r>
              <w:t>Retail, wholesale, restaurant, service, distribution, etc.</w:t>
            </w:r>
          </w:p>
        </w:tc>
      </w:tr>
      <w:tr>
        <w:tc>
          <w:tcPr>
            <w:tcW w:type="dxa" w:w="3408"/>
            <w:vAlign w:val="center"/>
          </w:tcPr>
          <w:p>
            <w:r>
              <w:t>Branch</w:t>
            </w:r>
          </w:p>
        </w:tc>
        <w:tc>
          <w:tcPr>
            <w:tcW w:type="dxa" w:w="3408"/>
            <w:vAlign w:val="center"/>
          </w:tcPr>
          <w:p>
            <w:r>
              <w:t>Outlet</w:t>
            </w:r>
          </w:p>
        </w:tc>
        <w:tc>
          <w:tcPr>
            <w:tcW w:type="dxa" w:w="3408"/>
            <w:vAlign w:val="center"/>
          </w:tcPr>
          <w:p>
            <w:r>
              <w:t>Physical or logical operating location.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Warehouse</w:t>
            </w:r>
          </w:p>
        </w:tc>
        <w:tc>
          <w:tcPr>
            <w:tcW w:type="dxa" w:w="3408"/>
            <w:vAlign w:val="center"/>
          </w:tcPr>
          <w:p>
            <w:r>
              <w:t>Stock Location</w:t>
            </w:r>
          </w:p>
        </w:tc>
        <w:tc>
          <w:tcPr>
            <w:tcW w:type="dxa" w:w="3408"/>
            <w:vAlign w:val="center"/>
          </w:tcPr>
          <w:p>
            <w:r>
              <w:t>Inventory ownership and movement.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Terminal</w:t>
            </w:r>
          </w:p>
        </w:tc>
        <w:tc>
          <w:tcPr>
            <w:tcW w:type="dxa" w:w="3408"/>
            <w:vAlign w:val="center"/>
          </w:tcPr>
          <w:p>
            <w:r>
              <w:t>POS / Device</w:t>
            </w:r>
          </w:p>
        </w:tc>
        <w:tc>
          <w:tcPr>
            <w:tcW w:type="dxa" w:w="3408"/>
            <w:vAlign w:val="center"/>
          </w:tcPr>
          <w:p>
            <w:r>
              <w:t>Cashier workstation or mobile POS.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User</w:t>
            </w:r>
          </w:p>
        </w:tc>
        <w:tc>
          <w:tcPr>
            <w:tcW w:type="dxa" w:w="3408"/>
            <w:vAlign w:val="center"/>
          </w:tcPr>
          <w:p>
            <w:r>
              <w:t>Employee / Owner</w:t>
            </w:r>
          </w:p>
        </w:tc>
        <w:tc>
          <w:tcPr>
            <w:tcW w:type="dxa" w:w="3408"/>
            <w:vAlign w:val="center"/>
          </w:tcPr>
          <w:p>
            <w:r>
              <w:t>Login identity.</w:t>
            </w:r>
          </w:p>
        </w:tc>
      </w:tr>
      <w:tr>
        <w:tc>
          <w:tcPr>
            <w:tcW w:type="dxa" w:w="3408"/>
            <w:vAlign w:val="center"/>
          </w:tcPr>
          <w:p>
            <w:r>
              <w:t>Role</w:t>
            </w:r>
          </w:p>
        </w:tc>
        <w:tc>
          <w:tcPr>
            <w:tcW w:type="dxa" w:w="3408"/>
            <w:vAlign w:val="center"/>
          </w:tcPr>
          <w:p>
            <w:r>
              <w:t>Job Role</w:t>
            </w:r>
          </w:p>
        </w:tc>
        <w:tc>
          <w:tcPr>
            <w:tcW w:type="dxa" w:w="3408"/>
            <w:vAlign w:val="center"/>
          </w:tcPr>
          <w:p>
            <w:r>
              <w:t>Permissions and scope.</w:t>
            </w:r>
          </w:p>
        </w:tc>
      </w:tr>
      <w:tr>
        <w:tc>
          <w:tcPr>
            <w:tcW w:type="dxa" w:w="3408"/>
            <w:vAlign w:val="center"/>
          </w:tcPr>
          <w:p>
            <w:r>
              <w:t>Customer/Vendor</w:t>
            </w:r>
          </w:p>
        </w:tc>
        <w:tc>
          <w:tcPr>
            <w:tcW w:type="dxa" w:w="3408"/>
            <w:vAlign w:val="center"/>
          </w:tcPr>
          <w:p>
            <w:r>
              <w:t>Master Party</w:t>
            </w:r>
          </w:p>
        </w:tc>
        <w:tc>
          <w:tcPr>
            <w:tcW w:type="dxa" w:w="3408"/>
            <w:vAlign w:val="center"/>
          </w:tcPr>
          <w:p>
            <w:r>
              <w:t>Commercial relationships.</w:t>
            </w:r>
          </w:p>
        </w:tc>
      </w:tr>
    </w:tbl>
    <w:p/>
    <w:p>
      <w:pPr>
        <w:pStyle w:val="Heading1"/>
      </w:pPr>
      <w:r>
        <w:t>4. Multi-Tenancy &amp; Data Isolation</w:t>
      </w:r>
    </w:p>
    <w:p>
      <w:pPr>
        <w:pStyle w:val="ListBullet"/>
      </w:pPr>
      <w:r>
        <w:t>TenantId on every tenant-owned table, enforced in application/data access.</w:t>
      </w:r>
    </w:p>
    <w:p>
      <w:pPr>
        <w:pStyle w:val="ListBullet"/>
      </w:pPr>
      <w:r>
        <w:t>Never trust a TenantId supplied by the browser; resolve tenant context from authenticated identity/session.</w:t>
      </w:r>
    </w:p>
    <w:p>
      <w:pPr>
        <w:pStyle w:val="ListBullet"/>
      </w:pPr>
      <w:r>
        <w:t>Use global query filters where appropriate plus repository/service safeguards.</w:t>
      </w:r>
    </w:p>
    <w:p>
      <w:pPr>
        <w:pStyle w:val="ListBullet"/>
      </w:pPr>
      <w:r>
        <w:t>Consider SQL Server Row-Level Security as an additional defense for sensitive deployments.</w:t>
      </w:r>
    </w:p>
    <w:p>
      <w:pPr>
        <w:pStyle w:val="ListBullet"/>
      </w:pPr>
      <w:r>
        <w:t>Every background job carries explicit tenant context.</w:t>
      </w:r>
    </w:p>
    <w:p>
      <w:pPr>
        <w:pStyle w:val="ListBullet"/>
      </w:pPr>
      <w:r>
        <w:t>Cache keys include tenant and relevant scope.</w:t>
      </w:r>
    </w:p>
    <w:p>
      <w:pPr>
        <w:pStyle w:val="ListBullet"/>
      </w:pPr>
      <w:r>
        <w:t>Object/file storage is tenant-isolated.</w:t>
      </w:r>
    </w:p>
    <w:p>
      <w:pPr>
        <w:pStyle w:val="ListBullet"/>
      </w:pPr>
      <w:r>
        <w:t>Search and analytics indexes are tenant-aware.</w:t>
      </w:r>
    </w:p>
    <w:p>
      <w:pPr>
        <w:pStyle w:val="ListBullet"/>
      </w:pPr>
      <w:r>
        <w:t>Privileged Super Admin operations use explicit audited workflows.</w:t>
      </w:r>
    </w:p>
    <w:p>
      <w:pPr>
        <w:pStyle w:val="ListBullet"/>
      </w:pPr>
      <w:r>
        <w:t>Enterprise tier may offer database-per-tenant isolation.</w:t>
      </w:r>
    </w:p>
    <w:p>
      <w:pPr>
        <w:pStyle w:val="Heading1"/>
      </w:pPr>
      <w:r>
        <w:t>5. ERP Functional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Core functionality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Dashboard</w:t>
            </w:r>
          </w:p>
        </w:tc>
        <w:tc>
          <w:tcPr>
            <w:tcW w:type="dxa" w:w="5112"/>
            <w:vAlign w:val="center"/>
          </w:tcPr>
          <w:p>
            <w:r>
              <w:t>KPIs, alerts, tasks, approvals, branch comparison.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POS</w:t>
            </w:r>
          </w:p>
        </w:tc>
        <w:tc>
          <w:tcPr>
            <w:tcW w:type="dxa" w:w="5112"/>
            <w:vAlign w:val="center"/>
          </w:tcPr>
          <w:p>
            <w:r>
              <w:t>Barcode, fast search, discounts, holds, split payments, returns, receipts.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Sales</w:t>
            </w:r>
          </w:p>
        </w:tc>
        <w:tc>
          <w:tcPr>
            <w:tcW w:type="dxa" w:w="5112"/>
            <w:vAlign w:val="center"/>
          </w:tcPr>
          <w:p>
            <w:r>
              <w:t>Quotes, orders, invoices, credit sales, returns, payments.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Purchasing</w:t>
            </w:r>
          </w:p>
        </w:tc>
        <w:tc>
          <w:tcPr>
            <w:tcW w:type="dxa" w:w="5112"/>
            <w:vAlign w:val="center"/>
          </w:tcPr>
          <w:p>
            <w:r>
              <w:t>Suppliers, purchase orders, GRN, supplier invoices, returns.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Inventory</w:t>
            </w:r>
          </w:p>
        </w:tc>
        <w:tc>
          <w:tcPr>
            <w:tcW w:type="dxa" w:w="5112"/>
            <w:vAlign w:val="center"/>
          </w:tcPr>
          <w:p>
            <w:r>
              <w:t>Products, variants, batches, serials, expiry, transfers, adjustments, counts.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Warehouse</w:t>
            </w:r>
          </w:p>
        </w:tc>
        <w:tc>
          <w:tcPr>
            <w:tcW w:type="dxa" w:w="5112"/>
            <w:vAlign w:val="center"/>
          </w:tcPr>
          <w:p>
            <w:r>
              <w:t>Locations, bins, receiving, picking and transfers.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Customers</w:t>
            </w:r>
          </w:p>
        </w:tc>
        <w:tc>
          <w:tcPr>
            <w:tcW w:type="dxa" w:w="5112"/>
            <w:vAlign w:val="center"/>
          </w:tcPr>
          <w:p>
            <w:r>
              <w:t>Profiles, pricing groups, credit limits, loyalty, statements.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Suppliers</w:t>
            </w:r>
          </w:p>
        </w:tc>
        <w:tc>
          <w:tcPr>
            <w:tcW w:type="dxa" w:w="5112"/>
            <w:vAlign w:val="center"/>
          </w:tcPr>
          <w:p>
            <w:r>
              <w:t>Profiles, terms, balances and purchase history.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Finance</w:t>
            </w:r>
          </w:p>
        </w:tc>
        <w:tc>
          <w:tcPr>
            <w:tcW w:type="dxa" w:w="5112"/>
            <w:vAlign w:val="center"/>
          </w:tcPr>
          <w:p>
            <w:r>
              <w:t>Cash/bank, receivables, payables, expenses, journals and reconciliation.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Tax</w:t>
            </w:r>
          </w:p>
        </w:tc>
        <w:tc>
          <w:tcPr>
            <w:tcW w:type="dxa" w:w="5112"/>
            <w:vAlign w:val="center"/>
          </w:tcPr>
          <w:p>
            <w:r>
              <w:t>Tax profiles, rates, exemptions, periods and auditable rules.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Reports</w:t>
            </w:r>
          </w:p>
        </w:tc>
        <w:tc>
          <w:tcPr>
            <w:tcW w:type="dxa" w:w="5112"/>
            <w:vAlign w:val="center"/>
          </w:tcPr>
          <w:p>
            <w:r>
              <w:t>Operational, financial, inventory, tax and management reports.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HR-lite</w:t>
            </w:r>
          </w:p>
        </w:tc>
        <w:tc>
          <w:tcPr>
            <w:tcW w:type="dxa" w:w="5112"/>
            <w:vAlign w:val="center"/>
          </w:tcPr>
          <w:p>
            <w:r>
              <w:t>Employees, roles, attendance hooks and commissions.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CRM-lite</w:t>
            </w:r>
          </w:p>
        </w:tc>
        <w:tc>
          <w:tcPr>
            <w:tcW w:type="dxa" w:w="5112"/>
            <w:vAlign w:val="center"/>
          </w:tcPr>
          <w:p>
            <w:r>
              <w:t>Leads, follow-ups and customer notes.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Expenses</w:t>
            </w:r>
          </w:p>
        </w:tc>
        <w:tc>
          <w:tcPr>
            <w:tcW w:type="dxa" w:w="5112"/>
            <w:vAlign w:val="center"/>
          </w:tcPr>
          <w:p>
            <w:r>
              <w:t>Categories, approvals, attachments and branch allocation.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Assets</w:t>
            </w:r>
          </w:p>
        </w:tc>
        <w:tc>
          <w:tcPr>
            <w:tcW w:type="dxa" w:w="5112"/>
            <w:vAlign w:val="center"/>
          </w:tcPr>
          <w:p>
            <w:r>
              <w:t>Asset register and optional depreciation integration.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Documents</w:t>
            </w:r>
          </w:p>
        </w:tc>
        <w:tc>
          <w:tcPr>
            <w:tcW w:type="dxa" w:w="5112"/>
            <w:vAlign w:val="center"/>
          </w:tcPr>
          <w:p>
            <w:r>
              <w:t>Invoices, receipts, quotations, delivery notes and statements.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Workflow</w:t>
            </w:r>
          </w:p>
        </w:tc>
        <w:tc>
          <w:tcPr>
            <w:tcW w:type="dxa" w:w="5112"/>
            <w:vAlign w:val="center"/>
          </w:tcPr>
          <w:p>
            <w:r>
              <w:t>Approvals, thresholds, maker-checker and escalations.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Notifications</w:t>
            </w:r>
          </w:p>
        </w:tc>
        <w:tc>
          <w:tcPr>
            <w:tcW w:type="dxa" w:w="5112"/>
            <w:vAlign w:val="center"/>
          </w:tcPr>
          <w:p>
            <w:r>
              <w:t>Email/SMS/WhatsApp provider hooks and in-app alerts.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Integrations</w:t>
            </w:r>
          </w:p>
        </w:tc>
        <w:tc>
          <w:tcPr>
            <w:tcW w:type="dxa" w:w="5112"/>
            <w:vAlign w:val="center"/>
          </w:tcPr>
          <w:p>
            <w:r>
              <w:t>Payments, accounting, e-commerce and external APIs.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Administration</w:t>
            </w:r>
          </w:p>
        </w:tc>
        <w:tc>
          <w:tcPr>
            <w:tcW w:type="dxa" w:w="5112"/>
            <w:vAlign w:val="center"/>
          </w:tcPr>
          <w:p>
            <w:r>
              <w:t>Users, roles, branches, modules, rules, audit, backup and configuration.</w:t>
            </w:r>
          </w:p>
        </w:tc>
      </w:tr>
    </w:tbl>
    <w:p/>
    <w:p>
      <w:pPr>
        <w:pStyle w:val="Heading1"/>
      </w:pPr>
      <w:r>
        <w:t>6. Dynamic Configuration Engine</w:t>
      </w:r>
    </w:p>
    <w:p>
      <w:r>
        <w:t>The major SaaS differentiator should be a centralized configuration engine. Configuration is versioned, scoped and auditable.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Possible scope</w:t>
            </w:r>
          </w:p>
        </w:tc>
      </w:tr>
      <w:tr>
        <w:tc>
          <w:tcPr>
            <w:tcW w:type="dxa" w:w="5112"/>
            <w:vAlign w:val="center"/>
          </w:tcPr>
          <w:p>
            <w:r>
              <w:t>Feature flags</w:t>
            </w:r>
          </w:p>
        </w:tc>
        <w:tc>
          <w:tcPr>
            <w:tcW w:type="dxa" w:w="5112"/>
            <w:vAlign w:val="center"/>
          </w:tcPr>
          <w:p>
            <w:r>
              <w:t>Global → Plan → Tenant → Business Unit → Branch → Role</w:t>
            </w:r>
          </w:p>
        </w:tc>
      </w:tr>
      <w:tr>
        <w:tc>
          <w:tcPr>
            <w:tcW w:type="dxa" w:w="5112"/>
            <w:vAlign w:val="center"/>
          </w:tcPr>
          <w:p>
            <w:r>
              <w:t>Business rules</w:t>
            </w:r>
          </w:p>
        </w:tc>
        <w:tc>
          <w:tcPr>
            <w:tcW w:type="dxa" w:w="5112"/>
            <w:vAlign w:val="center"/>
          </w:tcPr>
          <w:p>
            <w:r>
              <w:t>Global → Tenant → Branch → Terminal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Approval rules</w:t>
            </w:r>
          </w:p>
        </w:tc>
        <w:tc>
          <w:tcPr>
            <w:tcW w:type="dxa" w:w="5112"/>
            <w:vAlign w:val="center"/>
          </w:tcPr>
          <w:p>
            <w:r>
              <w:t>Module → transaction → amount/user/branch</w:t>
            </w:r>
          </w:p>
        </w:tc>
      </w:tr>
      <w:tr>
        <w:tc>
          <w:tcPr>
            <w:tcW w:type="dxa" w:w="5112"/>
            <w:vAlign w:val="center"/>
          </w:tcPr>
          <w:p>
            <w:r>
              <w:t>Tax rules</w:t>
            </w:r>
          </w:p>
        </w:tc>
        <w:tc>
          <w:tcPr>
            <w:tcW w:type="dxa" w:w="5112"/>
            <w:vAlign w:val="center"/>
          </w:tcPr>
          <w:p>
            <w:r>
              <w:t>Tenant → branch → product/category → effective date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Pricing</w:t>
            </w:r>
          </w:p>
        </w:tc>
        <w:tc>
          <w:tcPr>
            <w:tcW w:type="dxa" w:w="5112"/>
            <w:vAlign w:val="center"/>
          </w:tcPr>
          <w:p>
            <w:r>
              <w:t>Customer group → branch → product/category → date range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Workflow</w:t>
            </w:r>
          </w:p>
        </w:tc>
        <w:tc>
          <w:tcPr>
            <w:tcW w:type="dxa" w:w="5112"/>
            <w:vAlign w:val="center"/>
          </w:tcPr>
          <w:p>
            <w:r>
              <w:t>Module → transaction → status transition → role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Report views</w:t>
            </w:r>
          </w:p>
        </w:tc>
        <w:tc>
          <w:tcPr>
            <w:tcW w:type="dxa" w:w="5112"/>
            <w:vAlign w:val="center"/>
          </w:tcPr>
          <w:p>
            <w:r>
              <w:t>Tenant → report → role → user</w:t>
            </w:r>
          </w:p>
        </w:tc>
      </w:tr>
      <w:tr>
        <w:tc>
          <w:tcPr>
            <w:tcW w:type="dxa" w:w="5112"/>
            <w:vAlign w:val="center"/>
          </w:tcPr>
          <w:p>
            <w:r>
              <w:t>UI/theme</w:t>
            </w:r>
          </w:p>
        </w:tc>
        <w:tc>
          <w:tcPr>
            <w:tcW w:type="dxa" w:w="5112"/>
            <w:vAlign w:val="center"/>
          </w:tcPr>
          <w:p>
            <w:r>
              <w:t>Tenant → user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Localization</w:t>
            </w:r>
          </w:p>
        </w:tc>
        <w:tc>
          <w:tcPr>
            <w:tcW w:type="dxa" w:w="5112"/>
            <w:vAlign w:val="center"/>
          </w:tcPr>
          <w:p>
            <w:r>
              <w:t>Tenant → branch → user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 templates</w:t>
            </w:r>
          </w:p>
        </w:tc>
        <w:tc>
          <w:tcPr>
            <w:tcW w:type="dxa" w:w="5112"/>
            <w:vAlign w:val="center"/>
          </w:tcPr>
          <w:p>
            <w:r>
              <w:t>Tenant → document type → branch</w:t>
            </w:r>
          </w:p>
        </w:tc>
      </w:tr>
      <w:tr>
        <w:tc>
          <w:tcPr>
            <w:tcW w:type="dxa" w:w="5112"/>
            <w:vAlign w:val="center"/>
          </w:tcPr>
          <w:p>
            <w:r>
              <w:t>Notifications</w:t>
            </w:r>
          </w:p>
        </w:tc>
        <w:tc>
          <w:tcPr>
            <w:tcW w:type="dxa" w:w="5112"/>
            <w:vAlign w:val="center"/>
          </w:tcPr>
          <w:p>
            <w:r>
              <w:t>Event → tenant → role/user</w:t>
            </w:r>
          </w:p>
        </w:tc>
      </w:tr>
    </w:tbl>
    <w:p/>
    <w:p>
      <w:pPr>
        <w:pStyle w:val="Heading1"/>
      </w:pPr>
      <w:r>
        <w:t>7. Business Rule Engine</w:t>
      </w:r>
    </w:p>
    <w:p>
      <w:pPr>
        <w:pStyle w:val="ListBullet"/>
      </w:pPr>
      <w:r>
        <w:t>Rules stored as structured metadata/JSON, never as arbitrary executable code.</w:t>
      </w:r>
    </w:p>
    <w:p>
      <w:pPr>
        <w:pStyle w:val="ListBullet"/>
      </w:pPr>
      <w:r>
        <w:t>Conditions: date/time, branch, terminal, role, product/category, customer group, amount, payment type, stock level, tax profile and transaction status.</w:t>
      </w:r>
    </w:p>
    <w:p>
      <w:pPr>
        <w:pStyle w:val="ListBullet"/>
      </w:pPr>
      <w:r>
        <w:t>Actions: reporting date, approval requirement, discount limits, price list, notification, document template, restriction or auditable adjustment.</w:t>
      </w:r>
    </w:p>
    <w:p>
      <w:pPr>
        <w:pStyle w:val="ListBullet"/>
      </w:pPr>
      <w:r>
        <w:t>EffectiveFrom/EffectiveTo, priority and activation status.</w:t>
      </w:r>
    </w:p>
    <w:p>
      <w:pPr>
        <w:pStyle w:val="ListBullet"/>
      </w:pPr>
      <w:r>
        <w:t>Draft → validate → simulate → publish lifecycle.</w:t>
      </w:r>
    </w:p>
    <w:p>
      <w:pPr>
        <w:pStyle w:val="ListBullet"/>
      </w:pPr>
      <w:r>
        <w:t>Rule versioning and rollback.</w:t>
      </w:r>
    </w:p>
    <w:p>
      <w:pPr>
        <w:pStyle w:val="ListBullet"/>
      </w:pPr>
      <w:r>
        <w:t>Execution trace showing which rule affected a transaction.</w:t>
      </w:r>
    </w:p>
    <w:p>
      <w:pPr>
        <w:pStyle w:val="ListBullet"/>
      </w:pPr>
      <w:r>
        <w:t>Tenant users cannot upload executable code or arbitrary SQL.</w:t>
      </w:r>
    </w:p>
    <w:p>
      <w:pPr>
        <w:pStyle w:val="Heading1"/>
      </w:pPr>
      <w:r>
        <w:t>8. Security &amp; Permission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Permission</w:t>
            </w:r>
          </w:p>
        </w:tc>
        <w:tc>
          <w:tcPr>
            <w:tcW w:type="dxa" w:w="5112"/>
            <w:vAlign w:val="center"/>
          </w:tcPr>
          <w:p>
            <w:r>
              <w:t>Sales.Invoice.Create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Action</w:t>
            </w:r>
          </w:p>
        </w:tc>
        <w:tc>
          <w:tcPr>
            <w:tcW w:type="dxa" w:w="5112"/>
            <w:vAlign w:val="center"/>
          </w:tcPr>
          <w:p>
            <w:r>
              <w:t>Create / Read / Update / Delete / Approve / Export / Print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Resource</w:t>
            </w:r>
          </w:p>
        </w:tc>
        <w:tc>
          <w:tcPr>
            <w:tcW w:type="dxa" w:w="5112"/>
            <w:vAlign w:val="center"/>
          </w:tcPr>
          <w:p>
            <w:r>
              <w:t>Invoice / Product / Report / User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Scope</w:t>
            </w:r>
          </w:p>
        </w:tc>
        <w:tc>
          <w:tcPr>
            <w:tcW w:type="dxa" w:w="5112"/>
            <w:vAlign w:val="center"/>
          </w:tcPr>
          <w:p>
            <w:r>
              <w:t>All branches / selected branches / own branch / own records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Workflow</w:t>
            </w:r>
          </w:p>
        </w:tc>
        <w:tc>
          <w:tcPr>
            <w:tcW w:type="dxa" w:w="5112"/>
            <w:vAlign w:val="center"/>
          </w:tcPr>
          <w:p>
            <w:r>
              <w:t>Maker / Checker / Approver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Condition</w:t>
            </w:r>
          </w:p>
        </w:tc>
        <w:tc>
          <w:tcPr>
            <w:tcW w:type="dxa" w:w="5112"/>
            <w:vAlign w:val="center"/>
          </w:tcPr>
          <w:p>
            <w:r>
              <w:t>Amount &lt;= limit, status = Draft</w:t>
            </w:r>
          </w:p>
        </w:tc>
      </w:tr>
    </w:tbl>
    <w:p/>
    <w:p>
      <w:pPr>
        <w:pStyle w:val="ListBullet"/>
      </w:pPr>
      <w:r>
        <w:t>ASP.NET Core Identity or a dedicated identity service.</w:t>
      </w:r>
    </w:p>
    <w:p>
      <w:pPr>
        <w:pStyle w:val="ListBullet"/>
      </w:pPr>
      <w:r>
        <w:t>Short-lived access tokens with refresh-token rotation where applicable.</w:t>
      </w:r>
    </w:p>
    <w:p>
      <w:pPr>
        <w:pStyle w:val="ListBullet"/>
      </w:pPr>
      <w:r>
        <w:t>MFA for privileged users; strongly recommended/mandatory for Super Admin.</w:t>
      </w:r>
    </w:p>
    <w:p>
      <w:pPr>
        <w:pStyle w:val="ListBullet"/>
      </w:pPr>
      <w:r>
        <w:t>Secure password hashing using framework standards.</w:t>
      </w:r>
    </w:p>
    <w:p>
      <w:pPr>
        <w:pStyle w:val="ListBullet"/>
      </w:pPr>
      <w:r>
        <w:t>Rate limiting, lockout/risk controls and brute-force protection.</w:t>
      </w:r>
    </w:p>
    <w:p>
      <w:pPr>
        <w:pStyle w:val="ListBullet"/>
      </w:pPr>
      <w:r>
        <w:t>Tenant-aware authorization policies and handlers.</w:t>
      </w:r>
    </w:p>
    <w:p>
      <w:pPr>
        <w:pStyle w:val="ListBullet"/>
      </w:pPr>
      <w:r>
        <w:t>Strict input validation, CORS policy and security headers.</w:t>
      </w:r>
    </w:p>
    <w:p>
      <w:pPr>
        <w:pStyle w:val="ListBullet"/>
      </w:pPr>
      <w:r>
        <w:t>Secrets stored in environment/secret manager, never source code.</w:t>
      </w:r>
    </w:p>
    <w:p>
      <w:pPr>
        <w:pStyle w:val="ListBullet"/>
      </w:pPr>
      <w:r>
        <w:t>Encryption in transit and appropriate encryption at rest.</w:t>
      </w:r>
    </w:p>
    <w:p>
      <w:pPr>
        <w:pStyle w:val="ListBullet"/>
      </w:pPr>
      <w:r>
        <w:t>Audit login, failed login, role/permission changes, exports and configuration changes.</w:t>
      </w:r>
    </w:p>
    <w:p>
      <w:pPr>
        <w:pStyle w:val="ListBullet"/>
      </w:pPr>
      <w:r>
        <w:t>Explicit, time-limited and audited support sessions.</w:t>
      </w:r>
    </w:p>
    <w:p>
      <w:pPr>
        <w:pStyle w:val="Heading1"/>
      </w:pPr>
      <w:r>
        <w:t>9. Recommended Backend Architecture</w:t>
      </w:r>
    </w:p>
    <w:p>
      <w:r>
        <w:t>Start with a Modular Monolith using Clean Architecture and strong module boundaries. This gives much faster development and deployment than starting with many microservices, while keeping a path to future service extraction.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ERP.Api</w:t>
            </w:r>
          </w:p>
        </w:tc>
        <w:tc>
          <w:tcPr>
            <w:tcW w:type="dxa" w:w="5112"/>
            <w:vAlign w:val="center"/>
          </w:tcPr>
          <w:p>
            <w:r>
              <w:t>Controllers/endpoints, middleware, authentication, OpenAPI.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ERP.Application</w:t>
            </w:r>
          </w:p>
        </w:tc>
        <w:tc>
          <w:tcPr>
            <w:tcW w:type="dxa" w:w="5112"/>
            <w:vAlign w:val="center"/>
          </w:tcPr>
          <w:p>
            <w:r>
              <w:t>Use cases, commands/queries, DTOs, validation and orchestration.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ERP.Domain</w:t>
            </w:r>
          </w:p>
        </w:tc>
        <w:tc>
          <w:tcPr>
            <w:tcW w:type="dxa" w:w="5112"/>
            <w:vAlign w:val="center"/>
          </w:tcPr>
          <w:p>
            <w:r>
              <w:t>Entities, value objects, domain rules, events and interfaces.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ERP.Infrastructure</w:t>
            </w:r>
          </w:p>
        </w:tc>
        <w:tc>
          <w:tcPr>
            <w:tcW w:type="dxa" w:w="5112"/>
            <w:vAlign w:val="center"/>
          </w:tcPr>
          <w:p>
            <w:r>
              <w:t>EF Core, Dapper, SQL Server, storage, email and integrations.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ERP.Persistence</w:t>
            </w:r>
          </w:p>
        </w:tc>
        <w:tc>
          <w:tcPr>
            <w:tcW w:type="dxa" w:w="5112"/>
            <w:vAlign w:val="center"/>
          </w:tcPr>
          <w:p>
            <w:r>
              <w:t>DbContext, migrations, repositories and database scripts.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ERP.Contracts</w:t>
            </w:r>
          </w:p>
        </w:tc>
        <w:tc>
          <w:tcPr>
            <w:tcW w:type="dxa" w:w="5112"/>
            <w:vAlign w:val="center"/>
          </w:tcPr>
          <w:p>
            <w:r>
              <w:t>API/integration contracts and events.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ERP.Reporting</w:t>
            </w:r>
          </w:p>
        </w:tc>
        <w:tc>
          <w:tcPr>
            <w:tcW w:type="dxa" w:w="5112"/>
            <w:vAlign w:val="center"/>
          </w:tcPr>
          <w:p>
            <w:r>
              <w:t>Report definitions, read queries, exports.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ERP.BackgroundJobs</w:t>
            </w:r>
          </w:p>
        </w:tc>
        <w:tc>
          <w:tcPr>
            <w:tcW w:type="dxa" w:w="5112"/>
            <w:vAlign w:val="center"/>
          </w:tcPr>
          <w:p>
            <w:r>
              <w:t>Scheduled jobs, notifications and async processing.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Tests</w:t>
            </w:r>
          </w:p>
        </w:tc>
        <w:tc>
          <w:tcPr>
            <w:tcW w:type="dxa" w:w="5112"/>
            <w:vAlign w:val="center"/>
          </w:tcPr>
          <w:p>
            <w:r>
              <w:t>Unit, integration, API, security and E2E tests.</w:t>
            </w:r>
          </w:p>
        </w:tc>
      </w:tr>
    </w:tbl>
    <w:p/>
    <w:p>
      <w:r>
        <w:t>Use Dependency Injection throughout. Avoid service-locator patterns and keep controllers thin.</w:t>
      </w:r>
    </w:p>
    <w:p>
      <w:pPr>
        <w:pStyle w:val="Heading2"/>
      </w:pPr>
      <w:r>
        <w:t>10. Backend Folder Design</w:t>
      </w:r>
    </w:p>
    <w:p>
      <w:r>
        <w:t>src/</w:t>
        <w:br/>
        <w:t xml:space="preserve">  ERP.Api/</w:t>
        <w:br/>
        <w:t xml:space="preserve">    Controllers/ Middleware/ Authentication/ OpenApi/</w:t>
        <w:br/>
        <w:t xml:space="preserve">  ERP.Application/</w:t>
        <w:br/>
        <w:t xml:space="preserve">    Common/ Features/ Behaviors/ Validators/ DTOs/</w:t>
        <w:br/>
        <w:t xml:space="preserve">    Features/Sales/</w:t>
        <w:br/>
        <w:t xml:space="preserve">    Features/Purchasing/</w:t>
        <w:br/>
        <w:t xml:space="preserve">    Features/Inventory/</w:t>
        <w:br/>
        <w:t xml:space="preserve">    Features/Reports/</w:t>
        <w:br/>
        <w:t xml:space="preserve">    Features/Administration/</w:t>
        <w:br/>
        <w:t xml:space="preserve">  ERP.Domain/</w:t>
        <w:br/>
        <w:t xml:space="preserve">    Common/ Entities/ ValueObjects/ Enums/ Events/ Interfaces/</w:t>
        <w:br/>
        <w:t xml:space="preserve">  ERP.Infrastructure/</w:t>
        <w:br/>
        <w:t xml:space="preserve">    Identity/ Persistence/ Repositories/ Services/ Integrations/ Storage/</w:t>
        <w:br/>
        <w:t xml:space="preserve">  ERP.Reporting/</w:t>
        <w:br/>
        <w:t xml:space="preserve">    Definitions/ Queries/ Export/</w:t>
        <w:br/>
        <w:t xml:space="preserve">  ERP.BackgroundJobs/</w:t>
        <w:br/>
        <w:t>tests/</w:t>
        <w:br/>
        <w:t xml:space="preserve">  ERP.UnitTests/ ERP.IntegrationTests/ ERP.ApiTests/</w:t>
      </w:r>
    </w:p>
    <w:p>
      <w:pPr>
        <w:pStyle w:val="Heading1"/>
      </w:pPr>
      <w:r>
        <w:t>11. Recommended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Framework</w:t>
            </w:r>
          </w:p>
        </w:tc>
        <w:tc>
          <w:tcPr>
            <w:tcW w:type="dxa" w:w="5112"/>
            <w:vAlign w:val="center"/>
          </w:tcPr>
          <w:p>
            <w:r>
              <w:t>React + TypeScript + Vite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State</w:t>
            </w:r>
          </w:p>
        </w:tc>
        <w:tc>
          <w:tcPr>
            <w:tcW w:type="dxa" w:w="5112"/>
            <w:vAlign w:val="center"/>
          </w:tcPr>
          <w:p>
            <w:r>
              <w:t>Redux Toolkit for global state/session; local state for local concerns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Server data</w:t>
            </w:r>
          </w:p>
        </w:tc>
        <w:tc>
          <w:tcPr>
            <w:tcW w:type="dxa" w:w="5112"/>
            <w:vAlign w:val="center"/>
          </w:tcPr>
          <w:p>
            <w:r>
              <w:t>TanStack Query or equivalent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Forms</w:t>
            </w:r>
          </w:p>
        </w:tc>
        <w:tc>
          <w:tcPr>
            <w:tcW w:type="dxa" w:w="5112"/>
            <w:vAlign w:val="center"/>
          </w:tcPr>
          <w:p>
            <w:r>
              <w:t>React Hook Form + schema 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UI</w:t>
            </w:r>
          </w:p>
        </w:tc>
        <w:tc>
          <w:tcPr>
            <w:tcW w:type="dxa" w:w="5112"/>
            <w:vAlign w:val="center"/>
          </w:tcPr>
          <w:p>
            <w:r>
              <w:t>MUI, Ant Design, or a consistent custom design system</w:t>
            </w:r>
          </w:p>
        </w:tc>
      </w:tr>
      <w:tr>
        <w:tc>
          <w:tcPr>
            <w:tcW w:type="dxa" w:w="5112"/>
            <w:vAlign w:val="center"/>
          </w:tcPr>
          <w:p>
            <w:r>
              <w:t>Theme</w:t>
            </w:r>
          </w:p>
        </w:tc>
        <w:tc>
          <w:tcPr>
            <w:tcW w:type="dxa" w:w="5112"/>
            <w:vAlign w:val="center"/>
          </w:tcPr>
          <w:p>
            <w:r>
              <w:t>Light, dark, high contrast and tenant branding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Localization</w:t>
            </w:r>
          </w:p>
        </w:tc>
        <w:tc>
          <w:tcPr>
            <w:tcW w:type="dxa" w:w="5112"/>
            <w:vAlign w:val="center"/>
          </w:tcPr>
          <w:p>
            <w:r>
              <w:t>i18n with tenant/user locale</w:t>
            </w:r>
          </w:p>
        </w:tc>
      </w:tr>
      <w:tr>
        <w:tc>
          <w:tcPr>
            <w:tcW w:type="dxa" w:w="5112"/>
            <w:vAlign w:val="center"/>
          </w:tcPr>
          <w:p>
            <w:r>
              <w:t>POS</w:t>
            </w:r>
          </w:p>
        </w:tc>
        <w:tc>
          <w:tcPr>
            <w:tcW w:type="dxa" w:w="5112"/>
            <w:vAlign w:val="center"/>
          </w:tcPr>
          <w:p>
            <w:r>
              <w:t>Keyboard-first, barcode-friendly, minimal-click interface</w:t>
            </w:r>
          </w:p>
        </w:tc>
      </w:tr>
      <w:tr>
        <w:tc>
          <w:tcPr>
            <w:tcW w:type="dxa" w:w="5112"/>
            <w:vAlign w:val="center"/>
          </w:tcPr>
          <w:p>
            <w:r>
              <w:t>Offline</w:t>
            </w:r>
          </w:p>
        </w:tc>
        <w:tc>
          <w:tcPr>
            <w:tcW w:type="dxa" w:w="5112"/>
            <w:vAlign w:val="center"/>
          </w:tcPr>
          <w:p>
            <w:r>
              <w:t>Optional controlled PWA/offline POS queue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Testing</w:t>
            </w:r>
          </w:p>
        </w:tc>
        <w:tc>
          <w:tcPr>
            <w:tcW w:type="dxa" w:w="5112"/>
            <w:vAlign w:val="center"/>
          </w:tcPr>
          <w:p>
            <w:r>
              <w:t>React Testing Library + Playwright</w:t>
            </w:r>
          </w:p>
        </w:tc>
      </w:tr>
    </w:tbl>
    <w:p/>
    <w:p>
      <w:pPr>
        <w:pStyle w:val="Heading2"/>
      </w:pPr>
      <w:r>
        <w:t>12. Frontend Folder Design</w:t>
      </w:r>
    </w:p>
    <w:p>
      <w:r>
        <w:t>src/</w:t>
        <w:br/>
        <w:t xml:space="preserve">  app/ routes/ layouts/</w:t>
        <w:br/>
        <w:t xml:space="preserve">  modules/</w:t>
        <w:br/>
        <w:t xml:space="preserve">    auth/ dashboard/ pos/ sales/ purchasing/ inventory/</w:t>
        <w:br/>
        <w:t xml:space="preserve">    customers/ reports/ administration/</w:t>
        <w:br/>
        <w:t xml:space="preserve">  components/ features/ hooks/</w:t>
        <w:br/>
        <w:t xml:space="preserve">  services/ api/ store/ permissions/</w:t>
        <w:br/>
        <w:t xml:space="preserve">  config/ i18n/ theme/ utils/ types/</w:t>
      </w:r>
    </w:p>
    <w:p>
      <w:pPr>
        <w:pStyle w:val="Heading1"/>
      </w:pPr>
      <w:r>
        <w:t>13. SQL Server Data Architecture</w:t>
      </w:r>
    </w:p>
    <w:p>
      <w:pPr>
        <w:pStyle w:val="ListBullet"/>
      </w:pPr>
      <w:r>
        <w:t>Normalized transactional model for core ERP data.</w:t>
      </w:r>
    </w:p>
    <w:p>
      <w:pPr>
        <w:pStyle w:val="ListBullet"/>
      </w:pPr>
      <w:r>
        <w:t>Append-only stock movement and audit/ledger patterns where history matters.</w:t>
      </w:r>
    </w:p>
    <w:p>
      <w:pPr>
        <w:pStyle w:val="ListBullet"/>
      </w:pPr>
      <w:r>
        <w:t>Separate reporting/read models for heavy analytics.</w:t>
      </w:r>
    </w:p>
    <w:p>
      <w:pPr>
        <w:pStyle w:val="ListBullet"/>
      </w:pPr>
      <w:r>
        <w:t>Temporal/history tables for configuration and selected master data.</w:t>
      </w:r>
    </w:p>
    <w:p>
      <w:pPr>
        <w:pStyle w:val="ListBullet"/>
      </w:pPr>
      <w:r>
        <w:t>Unique constraints scoped by TenantId/BranchId.</w:t>
      </w:r>
    </w:p>
    <w:p>
      <w:pPr>
        <w:pStyle w:val="ListBullet"/>
      </w:pPr>
      <w:r>
        <w:t>rowversion/concurrency tokens to prevent lost updates.</w:t>
      </w:r>
    </w:p>
    <w:p>
      <w:pPr>
        <w:pStyle w:val="ListBullet"/>
      </w:pPr>
      <w:r>
        <w:t>Soft delete only where business/legal requirements allow.</w:t>
      </w:r>
    </w:p>
    <w:p>
      <w:pPr>
        <w:pStyle w:val="ListBullet"/>
      </w:pPr>
      <w:r>
        <w:t>Indexes designed around TenantId + BranchId + date/status access patterns.</w:t>
      </w:r>
    </w:p>
    <w:p>
      <w:pPr>
        <w:pStyle w:val="ListBullet"/>
      </w:pPr>
      <w:r>
        <w:t>Partition large transaction/history tables when scale requires.</w:t>
      </w:r>
    </w:p>
    <w:p>
      <w:pPr>
        <w:pStyle w:val="ListBullet"/>
      </w:pPr>
      <w:r>
        <w:t>EF Core for transactional work; Dapper for performance-sensitive read/report queries.</w:t>
      </w:r>
    </w:p>
    <w:p>
      <w:pPr>
        <w:pStyle w:val="ListBullet"/>
      </w:pPr>
      <w:r>
        <w:t>Stored procedures selectively for heavy reporting, reconciliation and bulk operations.</w:t>
      </w:r>
    </w:p>
    <w:p>
      <w:pPr>
        <w:pStyle w:val="Heading1"/>
      </w:pPr>
      <w:r>
        <w:t>14. Core Database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Representative tables</w:t>
            </w:r>
          </w:p>
        </w:tc>
      </w:tr>
      <w:tr>
        <w:tc>
          <w:tcPr>
            <w:tcW w:type="dxa" w:w="5112"/>
            <w:vAlign w:val="center"/>
          </w:tcPr>
          <w:p>
            <w:r>
              <w:t>Tenant</w:t>
            </w:r>
          </w:p>
        </w:tc>
        <w:tc>
          <w:tcPr>
            <w:tcW w:type="dxa" w:w="5112"/>
            <w:vAlign w:val="center"/>
          </w:tcPr>
          <w:p>
            <w:r>
              <w:t>Tenants, TenantPlans, TenantSettings, TenantFeatures</w:t>
            </w:r>
          </w:p>
        </w:tc>
      </w:tr>
      <w:tr>
        <w:tc>
          <w:tcPr>
            <w:tcW w:type="dxa" w:w="5112"/>
            <w:vAlign w:val="center"/>
          </w:tcPr>
          <w:p>
            <w:r>
              <w:t>Organization</w:t>
            </w:r>
          </w:p>
        </w:tc>
        <w:tc>
          <w:tcPr>
            <w:tcW w:type="dxa" w:w="5112"/>
            <w:vAlign w:val="center"/>
          </w:tcPr>
          <w:p>
            <w:r>
              <w:t>Companies, BusinessUnits, Branches, Warehouses, Terminals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Identity</w:t>
            </w:r>
          </w:p>
        </w:tc>
        <w:tc>
          <w:tcPr>
            <w:tcW w:type="dxa" w:w="5112"/>
            <w:vAlign w:val="center"/>
          </w:tcPr>
          <w:p>
            <w:r>
              <w:t>Users, Roles, Permissions, RolePermissions, UserRoles, UserScopes</w:t>
            </w:r>
          </w:p>
        </w:tc>
      </w:tr>
      <w:tr>
        <w:tc>
          <w:tcPr>
            <w:tcW w:type="dxa" w:w="5112"/>
            <w:vAlign w:val="center"/>
          </w:tcPr>
          <w:p>
            <w:r>
              <w:t>Catalog</w:t>
            </w:r>
          </w:p>
        </w:tc>
        <w:tc>
          <w:tcPr>
            <w:tcW w:type="dxa" w:w="5112"/>
            <w:vAlign w:val="center"/>
          </w:tcPr>
          <w:p>
            <w:r>
              <w:t>Products, Categories, Brands, Units, Variants, Barcodes, PriceLists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Inventory</w:t>
            </w:r>
          </w:p>
        </w:tc>
        <w:tc>
          <w:tcPr>
            <w:tcW w:type="dxa" w:w="5112"/>
            <w:vAlign w:val="center"/>
          </w:tcPr>
          <w:p>
            <w:r>
              <w:t>StockBalances, StockMovements, Transfers, Adjustments, Batches, Serials</w:t>
            </w:r>
          </w:p>
        </w:tc>
      </w:tr>
      <w:tr>
        <w:tc>
          <w:tcPr>
            <w:tcW w:type="dxa" w:w="5112"/>
            <w:vAlign w:val="center"/>
          </w:tcPr>
          <w:p>
            <w:r>
              <w:t>Sales</w:t>
            </w:r>
          </w:p>
        </w:tc>
        <w:tc>
          <w:tcPr>
            <w:tcW w:type="dxa" w:w="5112"/>
            <w:vAlign w:val="center"/>
          </w:tcPr>
          <w:p>
            <w:r>
              <w:t>Sales, SaleLines, Payments, Returns, ReturnLines, Discounts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Purchasing</w:t>
            </w:r>
          </w:p>
        </w:tc>
        <w:tc>
          <w:tcPr>
            <w:tcW w:type="dxa" w:w="5112"/>
            <w:vAlign w:val="center"/>
          </w:tcPr>
          <w:p>
            <w:r>
              <w:t>PurchaseOrders, GRNs, PurchaseInvoices, SupplierPayments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Finance</w:t>
            </w:r>
          </w:p>
        </w:tc>
        <w:tc>
          <w:tcPr>
            <w:tcW w:type="dxa" w:w="5112"/>
            <w:vAlign w:val="center"/>
          </w:tcPr>
          <w:p>
            <w:r>
              <w:t>Accounts, Journals, Receivables, Payables, CashTransactions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Tax</w:t>
            </w:r>
          </w:p>
        </w:tc>
        <w:tc>
          <w:tcPr>
            <w:tcW w:type="dxa" w:w="5112"/>
            <w:vAlign w:val="center"/>
          </w:tcPr>
          <w:p>
            <w:r>
              <w:t>TaxProfiles, TaxRates, TaxRules, TaxPeriods, TaxAdjustments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t>Rules</w:t>
            </w:r>
          </w:p>
        </w:tc>
        <w:tc>
          <w:tcPr>
            <w:tcW w:type="dxa" w:w="5112"/>
            <w:vAlign w:val="center"/>
          </w:tcPr>
          <w:p>
            <w:r>
              <w:t>BusinessRules, RuleVersions, RuleAssignments, RuleExecutionLogs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Reports</w:t>
            </w:r>
          </w:p>
        </w:tc>
        <w:tc>
          <w:tcPr>
            <w:tcW w:type="dxa" w:w="5112"/>
            <w:vAlign w:val="center"/>
          </w:tcPr>
          <w:p>
            <w:r>
              <w:t>ReportDefinitions, ReportParameters, SavedViews, ReportSchedules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Workflow</w:t>
            </w:r>
          </w:p>
        </w:tc>
        <w:tc>
          <w:tcPr>
            <w:tcW w:type="dxa" w:w="5112"/>
            <w:vAlign w:val="center"/>
          </w:tcPr>
          <w:p>
            <w:r>
              <w:t>WorkflowDefinitions, WorkflowSteps, ApprovalRequests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</w:t>
            </w:r>
          </w:p>
        </w:tc>
        <w:tc>
          <w:tcPr>
            <w:tcW w:type="dxa" w:w="5112"/>
            <w:vAlign w:val="center"/>
          </w:tcPr>
          <w:p>
            <w:r>
              <w:t>AuditEvents, SecurityEvents, ConfigurationHistory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Documents</w:t>
            </w:r>
          </w:p>
        </w:tc>
        <w:tc>
          <w:tcPr>
            <w:tcW w:type="dxa" w:w="5112"/>
            <w:vAlign w:val="center"/>
          </w:tcPr>
          <w:p>
            <w:r>
              <w:t>DocumentTemplates, DocumentSequences, GeneratedDocuments</w:t>
            </w:r>
          </w:p>
        </w:tc>
      </w:tr>
    </w:tbl>
    <w:p/>
    <w:p>
      <w:pPr>
        <w:pStyle w:val="Heading1"/>
      </w:pPr>
      <w:r>
        <w:t>15. Busy-Shop POS Requirements</w:t>
      </w:r>
    </w:p>
    <w:p>
      <w:pPr>
        <w:pStyle w:val="ListBullet"/>
      </w:pPr>
      <w:r>
        <w:t>Barcode scanner-first operation.</w:t>
      </w:r>
    </w:p>
    <w:p>
      <w:pPr>
        <w:pStyle w:val="ListBullet"/>
      </w:pPr>
      <w:r>
        <w:t>Keyboard shortcuts and touch-friendly controls.</w:t>
      </w:r>
    </w:p>
    <w:p>
      <w:pPr>
        <w:pStyle w:val="ListBullet"/>
      </w:pPr>
      <w:r>
        <w:t>Search by barcode/SKU/name/alias.</w:t>
      </w:r>
    </w:p>
    <w:p>
      <w:pPr>
        <w:pStyle w:val="ListBullet"/>
      </w:pPr>
      <w:r>
        <w:t>Walk-in or registered customer.</w:t>
      </w:r>
    </w:p>
    <w:p>
      <w:pPr>
        <w:pStyle w:val="ListBullet"/>
      </w:pPr>
      <w:r>
        <w:t>Cash, card, bank transfer, split payments and configurable methods.</w:t>
      </w:r>
    </w:p>
    <w:p>
      <w:pPr>
        <w:pStyle w:val="ListBullet"/>
      </w:pPr>
      <w:r>
        <w:t>Hold/resume cart.</w:t>
      </w:r>
    </w:p>
    <w:p>
      <w:pPr>
        <w:pStyle w:val="ListBullet"/>
      </w:pPr>
      <w:r>
        <w:t>Discount permissions and approval thresholds.</w:t>
      </w:r>
    </w:p>
    <w:p>
      <w:pPr>
        <w:pStyle w:val="ListBullet"/>
      </w:pPr>
      <w:r>
        <w:t>Price override with permission.</w:t>
      </w:r>
    </w:p>
    <w:p>
      <w:pPr>
        <w:pStyle w:val="ListBullet"/>
      </w:pPr>
      <w:r>
        <w:t>Returns/exchanges linked to original invoice.</w:t>
      </w:r>
    </w:p>
    <w:p>
      <w:pPr>
        <w:pStyle w:val="ListBullet"/>
      </w:pPr>
      <w:r>
        <w:t>Receipt reprint with permission.</w:t>
      </w:r>
    </w:p>
    <w:p>
      <w:pPr>
        <w:pStyle w:val="ListBullet"/>
      </w:pPr>
      <w:r>
        <w:t>Cash drawer opening/closing and shift reconciliation.</w:t>
      </w:r>
    </w:p>
    <w:p>
      <w:pPr>
        <w:pStyle w:val="ListBullet"/>
      </w:pPr>
      <w:r>
        <w:t>Suspended transaction recovery.</w:t>
      </w:r>
    </w:p>
    <w:p>
      <w:pPr>
        <w:pStyle w:val="ListBullet"/>
      </w:pPr>
      <w:r>
        <w:t>Optional controlled offline queue with idempotent synchronization.</w:t>
      </w:r>
    </w:p>
    <w:p>
      <w:pPr>
        <w:pStyle w:val="ListBullet"/>
      </w:pPr>
      <w:r>
        <w:t>End-of-day cashier reconciliation.</w:t>
      </w:r>
    </w:p>
    <w:p>
      <w:pPr>
        <w:pStyle w:val="Heading1"/>
      </w:pPr>
      <w:r>
        <w:t>16. Inventory &amp; Product Engine</w:t>
      </w:r>
    </w:p>
    <w:p>
      <w:pPr>
        <w:pStyle w:val="ListBullet"/>
      </w:pPr>
      <w:r>
        <w:t>Simple products, variants, bundles/kits and service items.</w:t>
      </w:r>
    </w:p>
    <w:p>
      <w:pPr>
        <w:pStyle w:val="ListBullet"/>
      </w:pPr>
      <w:r>
        <w:t>SKU, barcode, alternate barcode and supplier code.</w:t>
      </w:r>
    </w:p>
    <w:p>
      <w:pPr>
        <w:pStyle w:val="ListBullet"/>
      </w:pPr>
      <w:r>
        <w:t>Units of measure and conversions.</w:t>
      </w:r>
    </w:p>
    <w:p>
      <w:pPr>
        <w:pStyle w:val="ListBullet"/>
      </w:pPr>
      <w:r>
        <w:t>Batch/lot, expiry and serial numbers.</w:t>
      </w:r>
    </w:p>
    <w:p>
      <w:pPr>
        <w:pStyle w:val="ListBullet"/>
      </w:pPr>
      <w:r>
        <w:t>Min/reorder/max stock.</w:t>
      </w:r>
    </w:p>
    <w:p>
      <w:pPr>
        <w:pStyle w:val="ListBullet"/>
      </w:pPr>
      <w:r>
        <w:t>Branch-specific stock and pricing.</w:t>
      </w:r>
    </w:p>
    <w:p>
      <w:pPr>
        <w:pStyle w:val="ListBullet"/>
      </w:pPr>
      <w:r>
        <w:t>Stock transfer and approval.</w:t>
      </w:r>
    </w:p>
    <w:p>
      <w:pPr>
        <w:pStyle w:val="ListBullet"/>
      </w:pPr>
      <w:r>
        <w:t>Stock count with variance workflow.</w:t>
      </w:r>
    </w:p>
    <w:p>
      <w:pPr>
        <w:pStyle w:val="ListBullet"/>
      </w:pPr>
      <w:r>
        <w:t>Configurable stock valuation strategy.</w:t>
      </w:r>
    </w:p>
    <w:p>
      <w:pPr>
        <w:pStyle w:val="ListBullet"/>
      </w:pPr>
      <w:r>
        <w:t>Reconciliation from current balance back to stock movements.</w:t>
      </w:r>
    </w:p>
    <w:p>
      <w:pPr>
        <w:pStyle w:val="Heading1"/>
      </w:pPr>
      <w:r>
        <w:t>17. Reporting &amp; Documentation Engine</w:t>
      </w:r>
    </w:p>
    <w:p>
      <w:pPr>
        <w:pStyle w:val="ListBullet"/>
      </w:pPr>
      <w:r>
        <w:t>Report catalog for Sales, Purchases, Inventory, Finance, Tax, Customers, Suppliers and Operations.</w:t>
      </w:r>
    </w:p>
    <w:p>
      <w:pPr>
        <w:pStyle w:val="ListBullet"/>
      </w:pPr>
      <w:r>
        <w:t>Parameter-driven reports with branch/date/product/category/user/payment filters.</w:t>
      </w:r>
    </w:p>
    <w:p>
      <w:pPr>
        <w:pStyle w:val="ListBullet"/>
      </w:pPr>
      <w:r>
        <w:t>Saved views per user/role.</w:t>
      </w:r>
    </w:p>
    <w:p>
      <w:pPr>
        <w:pStyle w:val="ListBullet"/>
      </w:pPr>
      <w:r>
        <w:t>PDF, Excel and CSV export subject to permission.</w:t>
      </w:r>
    </w:p>
    <w:p>
      <w:pPr>
        <w:pStyle w:val="ListBullet"/>
      </w:pPr>
      <w:r>
        <w:t>Scheduled reports and delivery.</w:t>
      </w:r>
    </w:p>
    <w:p>
      <w:pPr>
        <w:pStyle w:val="ListBullet"/>
      </w:pPr>
      <w:r>
        <w:t>Dashboard widgets based on reusable report queries.</w:t>
      </w:r>
    </w:p>
    <w:p>
      <w:pPr>
        <w:pStyle w:val="ListBullet"/>
      </w:pPr>
      <w:r>
        <w:t>Report versioning and execution logs.</w:t>
      </w:r>
    </w:p>
    <w:p>
      <w:pPr>
        <w:pStyle w:val="ListBullet"/>
      </w:pPr>
      <w:r>
        <w:t>Configurable invoice/receipt/quotation/delivery-note/statement templates.</w:t>
      </w:r>
    </w:p>
    <w:p>
      <w:pPr>
        <w:pStyle w:val="ListBullet"/>
      </w:pPr>
      <w:r>
        <w:t>Sensitive exports are auditable.</w:t>
      </w:r>
    </w:p>
    <w:p>
      <w:pPr>
        <w:pStyle w:val="Heading1"/>
      </w:pPr>
      <w:r>
        <w:t>18. Tax &amp; Reporting Transformation Engine</w:t>
      </w:r>
    </w:p>
    <w:p>
      <w:r>
        <w:t xml:space="preserve">Different shops may require different reporting behavior. Implement this as a Tax/Reporting Transformation Engine rather than changing source sales. </w:t>
        <w:br/>
        <w:t>For example, a tenant can configure a cutoff at 14:00 so transactions after that time receive a next-business-day reporting date. Another tenant can configure selected product/category exclusions for a particular management report. The original sale remains unchanged.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Example configuration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Cutoff reporting date</w:t>
            </w:r>
          </w:p>
        </w:tc>
        <w:tc>
          <w:tcPr>
            <w:tcW w:type="dxa" w:w="5112"/>
            <w:vAlign w:val="center"/>
          </w:tcPr>
          <w:p>
            <w:r>
              <w:t>After 14:00 → reporting date + 1 business day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 exclusion</w:t>
            </w:r>
          </w:p>
        </w:tc>
        <w:tc>
          <w:tcPr>
            <w:tcW w:type="dxa" w:w="5112"/>
            <w:vAlign w:val="center"/>
          </w:tcPr>
          <w:p>
            <w:r>
              <w:t>Exclude selected SKU/category from selected report</w:t>
            </w:r>
          </w:p>
        </w:tc>
      </w:tr>
      <w:tr>
        <w:tc>
          <w:tcPr>
            <w:tcW w:type="dxa" w:w="5112"/>
            <w:vAlign w:val="center"/>
          </w:tcPr>
          <w:p>
            <w:r>
              <w:t>Branch mapping</w:t>
            </w:r>
          </w:p>
        </w:tc>
        <w:tc>
          <w:tcPr>
            <w:tcW w:type="dxa" w:w="5112"/>
            <w:vAlign w:val="center"/>
          </w:tcPr>
          <w:p>
            <w:r>
              <w:t>Branch A → reporting group Zone 1</w:t>
            </w:r>
          </w:p>
        </w:tc>
      </w:tr>
      <w:tr>
        <w:tc>
          <w:tcPr>
            <w:tcW w:type="dxa" w:w="5112"/>
            <w:vAlign w:val="center"/>
          </w:tcPr>
          <w:p>
            <w:r>
              <w:t>Tax mapping</w:t>
            </w:r>
          </w:p>
        </w:tc>
        <w:tc>
          <w:tcPr>
            <w:tcW w:type="dxa" w:w="5112"/>
            <w:vAlign w:val="center"/>
          </w:tcPr>
          <w:p>
            <w:r>
              <w:t>Product tax category → rate by effective date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Rounding</w:t>
            </w:r>
          </w:p>
        </w:tc>
        <w:tc>
          <w:tcPr>
            <w:tcW w:type="dxa" w:w="5112"/>
            <w:vAlign w:val="center"/>
          </w:tcPr>
          <w:p>
            <w:r>
              <w:t>Invoice/report rounding mode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Customer classification</w:t>
            </w:r>
          </w:p>
        </w:tc>
        <w:tc>
          <w:tcPr>
            <w:tcW w:type="dxa" w:w="5112"/>
            <w:vAlign w:val="center"/>
          </w:tcPr>
          <w:p>
            <w:r>
              <w:t>Customer group → reporting treatment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 date</w:t>
            </w:r>
          </w:p>
        </w:tc>
        <w:tc>
          <w:tcPr>
            <w:tcW w:type="dxa" w:w="5112"/>
            <w:vAlign w:val="center"/>
          </w:tcPr>
          <w:p>
            <w:r>
              <w:t>Separate document date from reporting/posting date where legally permitted</w:t>
            </w:r>
          </w:p>
        </w:tc>
      </w:tr>
    </w:tbl>
    <w:p/>
    <w:p>
      <w:r>
        <w:t>Every transformation should record RuleVersionId, effective date, execution time, affected transaction IDs and reconciliation totals. Jurisdiction-specific tax treatment must remain compliant with applicable law and should be reviewed by the customer's accountant/tax adviser.</w:t>
      </w:r>
    </w:p>
    <w:p>
      <w:pPr>
        <w:pStyle w:val="Heading1"/>
      </w:pPr>
      <w:r>
        <w:t>19. Super Admin Portal</w:t>
      </w:r>
    </w:p>
    <w:p>
      <w:pPr>
        <w:pStyle w:val="ListBullet"/>
      </w:pPr>
      <w:r>
        <w:t>Tenant creation, suspension, trial, plans and subscription controls.</w:t>
      </w:r>
    </w:p>
    <w:p>
      <w:pPr>
        <w:pStyle w:val="ListBullet"/>
      </w:pPr>
      <w:r>
        <w:t>Global module catalog and feature flags.</w:t>
      </w:r>
    </w:p>
    <w:p>
      <w:pPr>
        <w:pStyle w:val="ListBullet"/>
      </w:pPr>
      <w:r>
        <w:t>Plan feature limits and tenant overrides.</w:t>
      </w:r>
    </w:p>
    <w:p>
      <w:pPr>
        <w:pStyle w:val="ListBullet"/>
      </w:pPr>
      <w:r>
        <w:t>Role and permission templates.</w:t>
      </w:r>
    </w:p>
    <w:p>
      <w:pPr>
        <w:pStyle w:val="ListBullet"/>
      </w:pPr>
      <w:r>
        <w:t>Global security policies.</w:t>
      </w:r>
    </w:p>
    <w:p>
      <w:pPr>
        <w:pStyle w:val="ListBullet"/>
      </w:pPr>
      <w:r>
        <w:t>Global rule/report templates.</w:t>
      </w:r>
    </w:p>
    <w:p>
      <w:pPr>
        <w:pStyle w:val="ListBullet"/>
      </w:pPr>
      <w:r>
        <w:t>System health dashboard.</w:t>
      </w:r>
    </w:p>
    <w:p>
      <w:pPr>
        <w:pStyle w:val="ListBullet"/>
      </w:pPr>
      <w:r>
        <w:t>Background job monitoring.</w:t>
      </w:r>
    </w:p>
    <w:p>
      <w:pPr>
        <w:pStyle w:val="ListBullet"/>
      </w:pPr>
      <w:r>
        <w:t>Audit/security explorer.</w:t>
      </w:r>
    </w:p>
    <w:p>
      <w:pPr>
        <w:pStyle w:val="ListBullet"/>
      </w:pPr>
      <w:r>
        <w:t>Audited support sessions.</w:t>
      </w:r>
    </w:p>
    <w:p>
      <w:pPr>
        <w:pStyle w:val="ListBullet"/>
      </w:pPr>
      <w:r>
        <w:t>Configuration history.</w:t>
      </w:r>
    </w:p>
    <w:p>
      <w:pPr>
        <w:pStyle w:val="ListBullet"/>
      </w:pPr>
      <w:r>
        <w:t>Notification provider status.</w:t>
      </w:r>
    </w:p>
    <w:p>
      <w:pPr>
        <w:pStyle w:val="ListBullet"/>
      </w:pPr>
      <w:r>
        <w:t>Integration status.</w:t>
      </w:r>
    </w:p>
    <w:p>
      <w:pPr>
        <w:pStyle w:val="ListBullet"/>
      </w:pPr>
      <w:r>
        <w:t>Tenant usage: users, branches, transactions, storage and API calls.</w:t>
      </w:r>
    </w:p>
    <w:p>
      <w:pPr>
        <w:pStyle w:val="ListBullet"/>
      </w:pPr>
      <w:r>
        <w:t>Global announcements and maintenance controls.</w:t>
      </w:r>
    </w:p>
    <w:p>
      <w:pPr>
        <w:pStyle w:val="Heading2"/>
      </w:pPr>
      <w:r>
        <w:t>20. Super Admin Navigation</w:t>
      </w:r>
    </w:p>
    <w:p>
      <w:r>
        <w:t>Top bar: Global Search | Notifications | Support Sessions | Profile</w:t>
        <w:br/>
        <w:t>Sidebar:</w:t>
        <w:br/>
        <w:t>Overview</w:t>
        <w:br/>
        <w:t>Tenants</w:t>
        <w:br/>
        <w:t>Plans &amp; Billing</w:t>
        <w:br/>
        <w:t>Feature Catalog</w:t>
        <w:br/>
        <w:t>Modules</w:t>
        <w:br/>
        <w:t>Roles &amp; Permissions</w:t>
        <w:br/>
        <w:t>Business Rules</w:t>
        <w:br/>
        <w:t>Reports</w:t>
        <w:br/>
        <w:t>Tax &amp; Compliance</w:t>
        <w:br/>
        <w:t>Integrations</w:t>
        <w:br/>
        <w:t>Jobs &amp; Queues</w:t>
        <w:br/>
        <w:t>Audit &amp; Security</w:t>
        <w:br/>
        <w:t>System Health</w:t>
        <w:br/>
        <w:t>Documentation</w:t>
        <w:br/>
        <w:t>Settings</w:t>
        <w:br/>
        <w:br/>
        <w:t>Dashboard cards:</w:t>
        <w:br/>
        <w:t>Active Tenants | Subscription Metrics | Transactions Today | API Health</w:t>
        <w:br/>
        <w:t>Failed Jobs | Security Alerts | Storage | Active Users</w:t>
        <w:br/>
        <w:t>Tenant Growth | Transaction Volume | Module Adoption | Error Rate</w:t>
      </w:r>
    </w:p>
    <w:p>
      <w:pPr>
        <w:pStyle w:val="Heading1"/>
      </w:pPr>
      <w:r>
        <w:t>21. What “100% Dynamic Customization” Should Mean</w:t>
      </w:r>
    </w:p>
    <w:p>
      <w:r>
        <w:t xml:space="preserve">Target 90–100% business configuration without code for supported business behavior, rather than literally making every software behavior editable. </w:t>
        <w:br/>
        <w:t>Security primitives, tenant isolation, cryptography and core integrity constraints must remain code-controlled.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Dynamic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Code-controlled</w:t>
            </w:r>
          </w:p>
        </w:tc>
      </w:tr>
      <w:tr>
        <w:tc>
          <w:tcPr>
            <w:tcW w:type="dxa" w:w="5112"/>
            <w:vAlign w:val="center"/>
          </w:tcPr>
          <w:p>
            <w:r>
              <w:t>Modules/features</w:t>
            </w:r>
          </w:p>
        </w:tc>
        <w:tc>
          <w:tcPr>
            <w:tcW w:type="dxa" w:w="5112"/>
            <w:vAlign w:val="center"/>
          </w:tcPr>
          <w:p>
            <w:r>
              <w:t>Authentication primitives</w:t>
            </w:r>
          </w:p>
        </w:tc>
      </w:tr>
      <w:tr>
        <w:tc>
          <w:tcPr>
            <w:tcW w:type="dxa" w:w="5112"/>
            <w:vAlign w:val="center"/>
          </w:tcPr>
          <w:p>
            <w:r>
              <w:t>Roles/permissions</w:t>
            </w:r>
          </w:p>
        </w:tc>
        <w:tc>
          <w:tcPr>
            <w:tcW w:type="dxa" w:w="5112"/>
            <w:vAlign w:val="center"/>
          </w:tcPr>
          <w:p>
            <w:r>
              <w:t>Cryptography</w:t>
            </w:r>
          </w:p>
        </w:tc>
      </w:tr>
      <w:tr>
        <w:tc>
          <w:tcPr>
            <w:tcW w:type="dxa" w:w="5112"/>
            <w:vAlign w:val="center"/>
          </w:tcPr>
          <w:p>
            <w:r>
              <w:t>Branches/warehouses</w:t>
            </w:r>
          </w:p>
        </w:tc>
        <w:tc>
          <w:tcPr>
            <w:tcW w:type="dxa" w:w="5112"/>
            <w:vAlign w:val="center"/>
          </w:tcPr>
          <w:p>
            <w:r>
              <w:t>Tenant isolation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Taxes/rates</w:t>
            </w:r>
          </w:p>
        </w:tc>
        <w:tc>
          <w:tcPr>
            <w:tcW w:type="dxa" w:w="5112"/>
            <w:vAlign w:val="center"/>
          </w:tcPr>
          <w:p>
            <w:r>
              <w:t>Core data integrity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Documents</w:t>
            </w:r>
          </w:p>
        </w:tc>
        <w:tc>
          <w:tcPr>
            <w:tcW w:type="dxa" w:w="5112"/>
            <w:vAlign w:val="center"/>
          </w:tcPr>
          <w:p>
            <w:r>
              <w:t>Safe query execution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Numbering</w:t>
            </w:r>
          </w:p>
        </w:tc>
        <w:tc>
          <w:tcPr>
            <w:tcW w:type="dxa" w:w="5112"/>
            <w:vAlign w:val="center"/>
          </w:tcPr>
          <w:p>
            <w:r>
              <w:t>Authorization engine implementation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Reports/filters</w:t>
            </w:r>
          </w:p>
        </w:tc>
        <w:tc>
          <w:tcPr>
            <w:tcW w:type="dxa" w:w="5112"/>
            <w:vAlign w:val="center"/>
          </w:tcPr>
          <w:p>
            <w:r>
              <w:t>Payment security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Workflows</w:t>
            </w:r>
          </w:p>
        </w:tc>
        <w:tc>
          <w:tcPr>
            <w:tcW w:type="dxa" w:w="5112"/>
            <w:vAlign w:val="center"/>
          </w:tcPr>
          <w:p>
            <w:r>
              <w:t>Runtime/infrastructure protections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Pricing rules</w:t>
            </w:r>
          </w:p>
        </w:tc>
        <w:tc>
          <w:tcPr>
            <w:tcW w:type="dxa" w:w="5112"/>
            <w:vAlign w:val="center"/>
          </w:tcPr>
          <w:p>
            <w:r>
              <w:t>Core audit mechanisms</w:t>
            </w:r>
          </w:p>
        </w:tc>
      </w:tr>
    </w:tbl>
    <w:p/>
    <w:p>
      <w:pPr>
        <w:pStyle w:val="Heading1"/>
      </w:pPr>
      <w:r>
        <w:t>22. API Design Standards</w:t>
      </w:r>
    </w:p>
    <w:p>
      <w:pPr>
        <w:pStyle w:val="ListBullet"/>
      </w:pPr>
      <w:r>
        <w:t>Version APIs from day one: /api/v1/...</w:t>
      </w:r>
    </w:p>
    <w:p>
      <w:pPr>
        <w:pStyle w:val="ListBullet"/>
      </w:pPr>
      <w:r>
        <w:t>REST for core operations; SignalR for useful real-time events.</w:t>
      </w:r>
    </w:p>
    <w:p>
      <w:pPr>
        <w:pStyle w:val="ListBullet"/>
      </w:pPr>
      <w:r>
        <w:t>Standard error contract using ProblemDetails and correlation IDs.</w:t>
      </w:r>
    </w:p>
    <w:p>
      <w:pPr>
        <w:pStyle w:val="ListBullet"/>
      </w:pPr>
      <w:r>
        <w:t>Idempotency keys for retryable payment/order operations.</w:t>
      </w:r>
    </w:p>
    <w:p>
      <w:pPr>
        <w:pStyle w:val="ListBullet"/>
      </w:pPr>
      <w:r>
        <w:t>Pagination, filtering and sorting for large datasets.</w:t>
      </w:r>
    </w:p>
    <w:p>
      <w:pPr>
        <w:pStyle w:val="ListBullet"/>
      </w:pPr>
      <w:r>
        <w:t>OpenAPI/Swagger documentation.</w:t>
      </w:r>
    </w:p>
    <w:p>
      <w:pPr>
        <w:pStyle w:val="ListBullet"/>
      </w:pPr>
      <w:r>
        <w:t>Optimistic concurrency using rowversion/ETag where appropriate.</w:t>
      </w:r>
    </w:p>
    <w:p>
      <w:pPr>
        <w:pStyle w:val="ListBullet"/>
      </w:pPr>
      <w:r>
        <w:t>Tenant/plan-aware rate limits.</w:t>
      </w:r>
    </w:p>
    <w:p>
      <w:pPr>
        <w:pStyle w:val="ListBullet"/>
      </w:pPr>
      <w:r>
        <w:t>Scoped, revocable integration API keys.</w:t>
      </w:r>
    </w:p>
    <w:p>
      <w:pPr>
        <w:pStyle w:val="Heading1"/>
      </w:pPr>
      <w:r>
        <w:t>23. Performance &amp; Reliability</w:t>
      </w:r>
    </w:p>
    <w:p>
      <w:pPr>
        <w:pStyle w:val="ListBullet"/>
      </w:pPr>
      <w:r>
        <w:t>Async I/O throughout.</w:t>
      </w:r>
    </w:p>
    <w:p>
      <w:pPr>
        <w:pStyle w:val="ListBullet"/>
      </w:pPr>
      <w:r>
        <w:t>Short, predictable POS transaction path.</w:t>
      </w:r>
    </w:p>
    <w:p>
      <w:pPr>
        <w:pStyle w:val="ListBullet"/>
      </w:pPr>
      <w:r>
        <w:t>Tenant-aware Redis caching for configuration/reference data.</w:t>
      </w:r>
    </w:p>
    <w:p>
      <w:pPr>
        <w:pStyle w:val="ListBullet"/>
      </w:pPr>
      <w:r>
        <w:t>Background queue for email, reports, exports and non-critical integrations.</w:t>
      </w:r>
    </w:p>
    <w:p>
      <w:pPr>
        <w:pStyle w:val="ListBullet"/>
      </w:pPr>
      <w:r>
        <w:t>Read models for dashboards and heavy reports.</w:t>
      </w:r>
    </w:p>
    <w:p>
      <w:pPr>
        <w:pStyle w:val="ListBullet"/>
      </w:pPr>
      <w:r>
        <w:t>Pagination and streaming for large exports.</w:t>
      </w:r>
    </w:p>
    <w:p>
      <w:pPr>
        <w:pStyle w:val="ListBullet"/>
      </w:pPr>
      <w:r>
        <w:t>Health checks for API, SQL Server, cache and workers.</w:t>
      </w:r>
    </w:p>
    <w:p>
      <w:pPr>
        <w:pStyle w:val="ListBullet"/>
      </w:pPr>
      <w:r>
        <w:t>Structured logging with correlation IDs.</w:t>
      </w:r>
    </w:p>
    <w:p>
      <w:pPr>
        <w:pStyle w:val="ListBullet"/>
      </w:pPr>
      <w:r>
        <w:t>OpenTelemetry metrics/traces.</w:t>
      </w:r>
    </w:p>
    <w:p>
      <w:pPr>
        <w:pStyle w:val="ListBullet"/>
      </w:pPr>
      <w:r>
        <w:t>Defined SLOs for availability, POS response time and reporting.</w:t>
      </w:r>
    </w:p>
    <w:p>
      <w:pPr>
        <w:pStyle w:val="Heading1"/>
      </w:pPr>
      <w:r>
        <w:t>24. Deployment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Frontend</w:t>
            </w:r>
          </w:p>
        </w:tc>
        <w:tc>
          <w:tcPr>
            <w:tcW w:type="dxa" w:w="5112"/>
            <w:vAlign w:val="center"/>
          </w:tcPr>
          <w:p>
            <w:r>
              <w:t>React/TypeScript behind CDN/reverse proxy</w:t>
            </w:r>
          </w:p>
        </w:tc>
      </w:tr>
      <w:tr>
        <w:tc>
          <w:tcPr>
            <w:tcW w:type="dxa" w:w="5112"/>
            <w:vAlign w:val="center"/>
          </w:tcPr>
          <w:p>
            <w:r>
              <w:t>API</w:t>
            </w:r>
          </w:p>
        </w:tc>
        <w:tc>
          <w:tcPr>
            <w:tcW w:type="dxa" w:w="5112"/>
            <w:vAlign w:val="center"/>
          </w:tcPr>
          <w:p>
            <w:r>
              <w:t>ASP.NET Core container(s)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Database</w:t>
            </w:r>
          </w:p>
        </w:tc>
        <w:tc>
          <w:tcPr>
            <w:tcW w:type="dxa" w:w="5112"/>
            <w:vAlign w:val="center"/>
          </w:tcPr>
          <w:p>
            <w:r>
              <w:t>SQL Server managed service or secured VM/cluster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Cache</w:t>
            </w:r>
          </w:p>
        </w:tc>
        <w:tc>
          <w:tcPr>
            <w:tcW w:type="dxa" w:w="5112"/>
            <w:vAlign w:val="center"/>
          </w:tcPr>
          <w:p>
            <w:r>
              <w:t>Redis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Workers</w:t>
            </w:r>
          </w:p>
        </w:tc>
        <w:tc>
          <w:tcPr>
            <w:tcW w:type="dxa" w:w="5112"/>
            <w:vAlign w:val="center"/>
          </w:tcPr>
          <w:p>
            <w:r>
              <w:t>Hangfire or queue-based workers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Storage</w:t>
            </w:r>
          </w:p>
        </w:tc>
        <w:tc>
          <w:tcPr>
            <w:tcW w:type="dxa" w:w="5112"/>
            <w:vAlign w:val="center"/>
          </w:tcPr>
          <w:p>
            <w:r>
              <w:t>Azure Blob/S3-compatible object storage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Proxy/WAF</w:t>
            </w:r>
          </w:p>
        </w:tc>
        <w:tc>
          <w:tcPr>
            <w:tcW w:type="dxa" w:w="5112"/>
            <w:vAlign w:val="center"/>
          </w:tcPr>
          <w:p>
            <w:r>
              <w:t>Cloud load balancer / Nginx / WAF</w:t>
            </w:r>
          </w:p>
        </w:tc>
      </w:tr>
      <w:tr>
        <w:tc>
          <w:tcPr>
            <w:tcW w:type="dxa" w:w="5112"/>
            <w:vAlign w:val="center"/>
          </w:tcPr>
          <w:p>
            <w:r>
              <w:t>CI/CD</w:t>
            </w:r>
          </w:p>
        </w:tc>
        <w:tc>
          <w:tcPr>
            <w:tcW w:type="dxa" w:w="5112"/>
            <w:vAlign w:val="center"/>
          </w:tcPr>
          <w:p>
            <w:r>
              <w:t>GitHub Actions, Azure DevOps or Jenkins</w:t>
            </w:r>
          </w:p>
        </w:tc>
      </w:tr>
      <w:tr>
        <w:tc>
          <w:tcPr>
            <w:tcW w:type="dxa" w:w="5112"/>
            <w:vAlign w:val="center"/>
          </w:tcPr>
          <w:p>
            <w:r>
              <w:t>Observability</w:t>
            </w:r>
          </w:p>
        </w:tc>
        <w:tc>
          <w:tcPr>
            <w:tcW w:type="dxa" w:w="5112"/>
            <w:vAlign w:val="center"/>
          </w:tcPr>
          <w:p>
            <w:r>
              <w:t>OpenTelemetry + centralized logs + metrics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Secrets</w:t>
            </w:r>
          </w:p>
        </w:tc>
        <w:tc>
          <w:tcPr>
            <w:tcW w:type="dxa" w:w="5112"/>
            <w:vAlign w:val="center"/>
          </w:tcPr>
          <w:p>
            <w:r>
              <w:t>Cloud secret manager/Vault equivalent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Containers</w:t>
            </w:r>
          </w:p>
        </w:tc>
        <w:tc>
          <w:tcPr>
            <w:tcW w:type="dxa" w:w="5112"/>
            <w:vAlign w:val="center"/>
          </w:tcPr>
          <w:p>
            <w:r>
              <w:t>Docker</w:t>
            </w:r>
          </w:p>
        </w:tc>
      </w:tr>
      <w:tr>
        <w:tc>
          <w:tcPr>
            <w:tcW w:type="dxa" w:w="5112"/>
            <w:vAlign w:val="center"/>
          </w:tcPr>
          <w:p>
            <w:r>
              <w:t>Orchestration</w:t>
            </w:r>
          </w:p>
        </w:tc>
        <w:tc>
          <w:tcPr>
            <w:tcW w:type="dxa" w:w="5112"/>
            <w:vAlign w:val="center"/>
          </w:tcPr>
          <w:p>
            <w:r>
              <w:t>Start simple; adopt Kubernetes when scale requires</w:t>
            </w:r>
          </w:p>
        </w:tc>
      </w:tr>
    </w:tbl>
    <w:p/>
    <w:p>
      <w:pPr>
        <w:pStyle w:val="Heading2"/>
      </w:pPr>
      <w:r>
        <w:t>25. Environments</w:t>
      </w:r>
    </w:p>
    <w:p>
      <w:pPr>
        <w:pStyle w:val="ListBullet"/>
      </w:pPr>
      <w:r>
        <w:t>Local Development</w:t>
      </w:r>
    </w:p>
    <w:p>
      <w:pPr>
        <w:pStyle w:val="ListBullet"/>
      </w:pPr>
      <w:r>
        <w:t>Development</w:t>
      </w:r>
    </w:p>
    <w:p>
      <w:pPr>
        <w:pStyle w:val="ListBullet"/>
      </w:pPr>
      <w:r>
        <w:t>QA/Test</w:t>
      </w:r>
    </w:p>
    <w:p>
      <w:pPr>
        <w:pStyle w:val="ListBullet"/>
      </w:pPr>
      <w:r>
        <w:t>Staging/UAT</w:t>
      </w:r>
    </w:p>
    <w:p>
      <w:pPr>
        <w:pStyle w:val="ListBullet"/>
      </w:pPr>
      <w:r>
        <w:t>Production</w:t>
      </w:r>
    </w:p>
    <w:p>
      <w:pPr>
        <w:pStyle w:val="ListBullet"/>
      </w:pPr>
      <w:r>
        <w:t>Optional Disaster Recovery</w:t>
      </w:r>
    </w:p>
    <w:p>
      <w:pPr>
        <w:pStyle w:val="Heading1"/>
      </w:pPr>
      <w:r>
        <w:t>26.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Unit</w:t>
            </w:r>
          </w:p>
        </w:tc>
        <w:tc>
          <w:tcPr>
            <w:tcW w:type="dxa" w:w="5112"/>
            <w:vAlign w:val="center"/>
          </w:tcPr>
          <w:p>
            <w:r>
              <w:t>Domain rules, calculations, rule evaluation, permission decisions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Integration</w:t>
            </w:r>
          </w:p>
        </w:tc>
        <w:tc>
          <w:tcPr>
            <w:tcW w:type="dxa" w:w="5112"/>
            <w:vAlign w:val="center"/>
          </w:tcPr>
          <w:p>
            <w:r>
              <w:t>SQL Server, repositories and external providers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API</w:t>
            </w:r>
          </w:p>
        </w:tc>
        <w:tc>
          <w:tcPr>
            <w:tcW w:type="dxa" w:w="5112"/>
            <w:vAlign w:val="center"/>
          </w:tcPr>
          <w:p>
            <w:r>
              <w:t>Auth, authorization, validation, CRUD and workflows</w:t>
            </w:r>
          </w:p>
        </w:tc>
      </w:tr>
      <w:tr>
        <w:tc>
          <w:tcPr>
            <w:tcW w:type="dxa" w:w="5112"/>
            <w:vAlign w:val="center"/>
          </w:tcPr>
          <w:p>
            <w:r>
              <w:t>UI</w:t>
            </w:r>
          </w:p>
        </w:tc>
        <w:tc>
          <w:tcPr>
            <w:tcW w:type="dxa" w:w="5112"/>
            <w:vAlign w:val="center"/>
          </w:tcPr>
          <w:p>
            <w:r>
              <w:t>Critical journeys and permission states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E2E</w:t>
            </w:r>
          </w:p>
        </w:tc>
        <w:tc>
          <w:tcPr>
            <w:tcW w:type="dxa" w:w="5112"/>
            <w:vAlign w:val="center"/>
          </w:tcPr>
          <w:p>
            <w:r>
              <w:t>Sale → payment → receipt → reporting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</w:t>
            </w:r>
          </w:p>
        </w:tc>
        <w:tc>
          <w:tcPr>
            <w:tcW w:type="dxa" w:w="5112"/>
            <w:vAlign w:val="center"/>
          </w:tcPr>
          <w:p>
            <w:r>
              <w:t>OWASP-oriented tests and tenant-isolation tests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t>Concurrent POS users, reports and API throughput</w:t>
            </w:r>
          </w:p>
        </w:tc>
      </w:tr>
      <w:tr>
        <w:tc>
          <w:tcPr>
            <w:tcW w:type="dxa" w:w="5112"/>
            <w:vAlign w:val="center"/>
          </w:tcPr>
          <w:p>
            <w:r>
              <w:t>Migration</w:t>
            </w:r>
          </w:p>
        </w:tc>
        <w:tc>
          <w:tcPr>
            <w:tcW w:type="dxa" w:w="5112"/>
            <w:vAlign w:val="center"/>
          </w:tcPr>
          <w:p>
            <w:r>
              <w:t>Upgrade/data integrity and rollback procedures</w:t>
            </w:r>
          </w:p>
        </w:tc>
      </w:tr>
    </w:tbl>
    <w:p/>
    <w:p>
      <w:pPr>
        <w:pStyle w:val="Heading1"/>
      </w:pPr>
      <w:r>
        <w:t>27. Documentation Deliverables</w:t>
      </w:r>
    </w:p>
    <w:p>
      <w:pPr>
        <w:pStyle w:val="ListBullet"/>
      </w:pPr>
      <w:r>
        <w:t>Product Requirements Document (PRD).</w:t>
      </w:r>
    </w:p>
    <w:p>
      <w:pPr>
        <w:pStyle w:val="ListBullet"/>
      </w:pPr>
      <w:r>
        <w:t>Architecture Decision Records.</w:t>
      </w:r>
    </w:p>
    <w:p>
      <w:pPr>
        <w:pStyle w:val="ListBullet"/>
      </w:pPr>
      <w:r>
        <w:t>Database ERD and data dictionary.</w:t>
      </w:r>
    </w:p>
    <w:p>
      <w:pPr>
        <w:pStyle w:val="ListBullet"/>
      </w:pPr>
      <w:r>
        <w:t>OpenAPI/API documentation.</w:t>
      </w:r>
    </w:p>
    <w:p>
      <w:pPr>
        <w:pStyle w:val="ListBullet"/>
      </w:pPr>
      <w:r>
        <w:t>Permission matrix.</w:t>
      </w:r>
    </w:p>
    <w:p>
      <w:pPr>
        <w:pStyle w:val="ListBullet"/>
      </w:pPr>
      <w:r>
        <w:t>Module configuration guide.</w:t>
      </w:r>
    </w:p>
    <w:p>
      <w:pPr>
        <w:pStyle w:val="ListBullet"/>
      </w:pPr>
      <w:r>
        <w:t>Business-rule guide.</w:t>
      </w:r>
    </w:p>
    <w:p>
      <w:pPr>
        <w:pStyle w:val="ListBullet"/>
      </w:pPr>
      <w:r>
        <w:t>POS user manual.</w:t>
      </w:r>
    </w:p>
    <w:p>
      <w:pPr>
        <w:pStyle w:val="ListBullet"/>
      </w:pPr>
      <w:r>
        <w:t>Inventory/purchasing manual.</w:t>
      </w:r>
    </w:p>
    <w:p>
      <w:pPr>
        <w:pStyle w:val="ListBullet"/>
      </w:pPr>
      <w:r>
        <w:t>Super Admin manual.</w:t>
      </w:r>
    </w:p>
    <w:p>
      <w:pPr>
        <w:pStyle w:val="ListBullet"/>
      </w:pPr>
      <w:r>
        <w:t>Tenant Admin manual.</w:t>
      </w:r>
    </w:p>
    <w:p>
      <w:pPr>
        <w:pStyle w:val="ListBullet"/>
      </w:pPr>
      <w:r>
        <w:t>Report catalog and parameter dictionary.</w:t>
      </w:r>
    </w:p>
    <w:p>
      <w:pPr>
        <w:pStyle w:val="ListBullet"/>
      </w:pPr>
      <w:r>
        <w:t>Deployment/runbook.</w:t>
      </w:r>
    </w:p>
    <w:p>
      <w:pPr>
        <w:pStyle w:val="ListBullet"/>
      </w:pPr>
      <w:r>
        <w:t>Backup/restore runbook.</w:t>
      </w:r>
    </w:p>
    <w:p>
      <w:pPr>
        <w:pStyle w:val="ListBullet"/>
      </w:pPr>
      <w:r>
        <w:t>Disaster recovery plan.</w:t>
      </w:r>
    </w:p>
    <w:p>
      <w:pPr>
        <w:pStyle w:val="ListBullet"/>
      </w:pPr>
      <w:r>
        <w:t>Security incident response procedure.</w:t>
      </w:r>
    </w:p>
    <w:p>
      <w:pPr>
        <w:pStyle w:val="ListBullet"/>
      </w:pPr>
      <w:r>
        <w:t>Release/change-management process.</w:t>
      </w:r>
    </w:p>
    <w:p>
      <w:pPr>
        <w:pStyle w:val="Heading1"/>
      </w:pPr>
      <w:r>
        <w:t>28.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Indicative duration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0. Foundation</w:t>
            </w:r>
          </w:p>
        </w:tc>
        <w:tc>
          <w:tcPr>
            <w:tcW w:type="dxa" w:w="3408"/>
            <w:vAlign w:val="center"/>
          </w:tcPr>
          <w:p>
            <w:r>
              <w:t>Requirements, UX, tenancy, architecture, CI/CD, standards</w:t>
            </w:r>
          </w:p>
        </w:tc>
        <w:tc>
          <w:tcPr>
            <w:tcW w:type="dxa" w:w="3408"/>
            <w:vAlign w:val="center"/>
          </w:tcPr>
          <w:p>
            <w:r>
              <w:t>2–3 weeks</w:t>
            </w:r>
          </w:p>
        </w:tc>
      </w:tr>
      <w:tr>
        <w:tc>
          <w:tcPr>
            <w:tcW w:type="dxa" w:w="3408"/>
            <w:vAlign w:val="center"/>
          </w:tcPr>
          <w:p>
            <w:r>
              <w:t>1. Platform core</w:t>
            </w:r>
          </w:p>
        </w:tc>
        <w:tc>
          <w:tcPr>
            <w:tcW w:type="dxa" w:w="3408"/>
            <w:vAlign w:val="center"/>
          </w:tcPr>
          <w:p>
            <w:r>
              <w:t>Identity, tenant, branch, roles, permissions, audit, configuration</w:t>
            </w:r>
          </w:p>
        </w:tc>
        <w:tc>
          <w:tcPr>
            <w:tcW w:type="dxa" w:w="3408"/>
            <w:vAlign w:val="center"/>
          </w:tcPr>
          <w:p>
            <w:r>
              <w:t>4–6 weeks</w:t>
            </w:r>
          </w:p>
        </w:tc>
      </w:tr>
      <w:tr>
        <w:tc>
          <w:tcPr>
            <w:tcW w:type="dxa" w:w="3408"/>
            <w:vAlign w:val="center"/>
          </w:tcPr>
          <w:p>
            <w:r>
              <w:t>2. Product &amp; inventory</w:t>
            </w:r>
          </w:p>
        </w:tc>
        <w:tc>
          <w:tcPr>
            <w:tcW w:type="dxa" w:w="3408"/>
            <w:vAlign w:val="center"/>
          </w:tcPr>
          <w:p>
            <w:r>
              <w:t>Catalog, pricing, warehouses, stock ledger, transfers</w:t>
            </w:r>
          </w:p>
        </w:tc>
        <w:tc>
          <w:tcPr>
            <w:tcW w:type="dxa" w:w="3408"/>
            <w:vAlign w:val="center"/>
          </w:tcPr>
          <w:p>
            <w:r>
              <w:t>5–7 weeks</w:t>
            </w:r>
          </w:p>
        </w:tc>
      </w:tr>
      <w:tr>
        <w:tc>
          <w:tcPr>
            <w:tcW w:type="dxa" w:w="3408"/>
            <w:vAlign w:val="center"/>
          </w:tcPr>
          <w:p>
            <w:r>
              <w:t>3. POS &amp; sales</w:t>
            </w:r>
          </w:p>
        </w:tc>
        <w:tc>
          <w:tcPr>
            <w:tcW w:type="dxa" w:w="3408"/>
            <w:vAlign w:val="center"/>
          </w:tcPr>
          <w:p>
            <w:r>
              <w:t>POS, invoices, payments, returns, shifts, receipts</w:t>
            </w:r>
          </w:p>
        </w:tc>
        <w:tc>
          <w:tcPr>
            <w:tcW w:type="dxa" w:w="3408"/>
            <w:vAlign w:val="center"/>
          </w:tcPr>
          <w:p>
            <w:r>
              <w:t>5–7 weeks</w:t>
            </w:r>
          </w:p>
        </w:tc>
      </w:tr>
      <w:tr>
        <w:tc>
          <w:tcPr>
            <w:tcW w:type="dxa" w:w="3408"/>
            <w:vAlign w:val="center"/>
          </w:tcPr>
          <w:p>
            <w:r>
              <w:t>4. Purchasing</w:t>
            </w:r>
          </w:p>
        </w:tc>
        <w:tc>
          <w:tcPr>
            <w:tcW w:type="dxa" w:w="3408"/>
            <w:vAlign w:val="center"/>
          </w:tcPr>
          <w:p>
            <w:r>
              <w:t>Suppliers, PO, GRN, invoices, returns</w:t>
            </w:r>
          </w:p>
        </w:tc>
        <w:tc>
          <w:tcPr>
            <w:tcW w:type="dxa" w:w="3408"/>
            <w:vAlign w:val="center"/>
          </w:tcPr>
          <w:p>
            <w:r>
              <w:t>3–5 weeks</w:t>
            </w:r>
          </w:p>
        </w:tc>
      </w:tr>
      <w:tr>
        <w:tc>
          <w:tcPr>
            <w:tcW w:type="dxa" w:w="3408"/>
            <w:vAlign w:val="center"/>
          </w:tcPr>
          <w:p>
            <w:r>
              <w:t>5. Reporting</w:t>
            </w:r>
          </w:p>
        </w:tc>
        <w:tc>
          <w:tcPr>
            <w:tcW w:type="dxa" w:w="3408"/>
            <w:vAlign w:val="center"/>
          </w:tcPr>
          <w:p>
            <w:r>
              <w:t>Report engine, exports, dashboards, templates</w:t>
            </w:r>
          </w:p>
        </w:tc>
        <w:tc>
          <w:tcPr>
            <w:tcW w:type="dxa" w:w="3408"/>
            <w:vAlign w:val="center"/>
          </w:tcPr>
          <w:p>
            <w:r>
              <w:t>4–6 weeks</w:t>
            </w:r>
          </w:p>
        </w:tc>
      </w:tr>
      <w:tr>
        <w:tc>
          <w:tcPr>
            <w:tcW w:type="dxa" w:w="3408"/>
            <w:vAlign w:val="center"/>
          </w:tcPr>
          <w:p>
            <w:r>
              <w:t>6. Tax/rules</w:t>
            </w:r>
          </w:p>
        </w:tc>
        <w:tc>
          <w:tcPr>
            <w:tcW w:type="dxa" w:w="3408"/>
            <w:vAlign w:val="center"/>
          </w:tcPr>
          <w:p>
            <w:r>
              <w:t>Transformation engine, effective dating, reconciliation</w:t>
            </w:r>
          </w:p>
        </w:tc>
        <w:tc>
          <w:tcPr>
            <w:tcW w:type="dxa" w:w="3408"/>
            <w:vAlign w:val="center"/>
          </w:tcPr>
          <w:p>
            <w:r>
              <w:t>3–5 weeks</w:t>
            </w:r>
          </w:p>
        </w:tc>
      </w:tr>
      <w:tr>
        <w:tc>
          <w:tcPr>
            <w:tcW w:type="dxa" w:w="3408"/>
            <w:vAlign w:val="center"/>
          </w:tcPr>
          <w:p>
            <w:r>
              <w:t>7. SaaS admin</w:t>
            </w:r>
          </w:p>
        </w:tc>
        <w:tc>
          <w:tcPr>
            <w:tcW w:type="dxa" w:w="3408"/>
            <w:vAlign w:val="center"/>
          </w:tcPr>
          <w:p>
            <w:r>
              <w:t>Plans, features, tenant administration, usage</w:t>
            </w:r>
          </w:p>
        </w:tc>
        <w:tc>
          <w:tcPr>
            <w:tcW w:type="dxa" w:w="3408"/>
            <w:vAlign w:val="center"/>
          </w:tcPr>
          <w:p>
            <w:r>
              <w:t>3–5 weeks</w:t>
            </w:r>
          </w:p>
        </w:tc>
      </w:tr>
      <w:tr>
        <w:tc>
          <w:tcPr>
            <w:tcW w:type="dxa" w:w="3408"/>
            <w:vAlign w:val="center"/>
          </w:tcPr>
          <w:p>
            <w:r>
              <w:t>8. Hardening</w:t>
            </w:r>
          </w:p>
        </w:tc>
        <w:tc>
          <w:tcPr>
            <w:tcW w:type="dxa" w:w="3408"/>
            <w:vAlign w:val="center"/>
          </w:tcPr>
          <w:p>
            <w:r>
              <w:t>Security, performance, E2E, UAT, production readiness</w:t>
            </w:r>
          </w:p>
        </w:tc>
        <w:tc>
          <w:tcPr>
            <w:tcW w:type="dxa" w:w="3408"/>
            <w:vAlign w:val="center"/>
          </w:tcPr>
          <w:p>
            <w:r>
              <w:t>4–6 weeks</w:t>
            </w:r>
          </w:p>
        </w:tc>
      </w:tr>
    </w:tbl>
    <w:p/>
    <w:p>
      <w:r>
        <w:t>A serious commercial first release is a multi-month project for a small experienced team. The architecture allows an MVP to launch earlier without creating a rewrite trap.</w:t>
      </w:r>
    </w:p>
    <w:p>
      <w:pPr>
        <w:pStyle w:val="Heading1"/>
      </w:pPr>
      <w:r>
        <w:t>29. Recommended Initial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Initial need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Product/Technical Lead</w:t>
            </w:r>
          </w:p>
        </w:tc>
        <w:tc>
          <w:tcPr>
            <w:tcW w:type="dxa" w:w="5112"/>
            <w:vAlign w:val="center"/>
          </w:tcPr>
          <w:p>
            <w: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t>Senior ASP.NET Core Engineer</w:t>
            </w:r>
          </w:p>
        </w:tc>
        <w:tc>
          <w:tcPr>
            <w:tcW w:type="dxa" w:w="5112"/>
            <w:vAlign w:val="center"/>
          </w:tcPr>
          <w:p>
            <w:r>
              <w:t>1–2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Backend Engineer</w:t>
            </w:r>
          </w:p>
        </w:tc>
        <w:tc>
          <w:tcPr>
            <w:tcW w:type="dxa" w:w="5112"/>
            <w:vAlign w:val="center"/>
          </w:tcPr>
          <w:p>
            <w:r>
              <w:t>1–2</w:t>
            </w:r>
          </w:p>
        </w:tc>
      </w:tr>
      <w:tr>
        <w:tc>
          <w:tcPr>
            <w:tcW w:type="dxa" w:w="5112"/>
            <w:vAlign w:val="center"/>
          </w:tcPr>
          <w:p>
            <w:r>
              <w:t>React/TypeScript Engineer</w:t>
            </w:r>
          </w:p>
        </w:tc>
        <w:tc>
          <w:tcPr>
            <w:tcW w:type="dxa" w:w="5112"/>
            <w:vAlign w:val="center"/>
          </w:tcPr>
          <w:p>
            <w:r>
              <w:t>1–2</w:t>
            </w:r>
          </w:p>
        </w:tc>
      </w:tr>
      <w:tr>
        <w:tc>
          <w:tcPr>
            <w:tcW w:type="dxa" w:w="5112"/>
            <w:vAlign w:val="center"/>
          </w:tcPr>
          <w:p>
            <w:r>
              <w:t>QA/Automation Engineer</w:t>
            </w:r>
          </w:p>
        </w:tc>
        <w:tc>
          <w:tcPr>
            <w:tcW w:type="dxa" w:w="5112"/>
            <w:vAlign w:val="center"/>
          </w:tcPr>
          <w:p>
            <w: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t>UI/UX Designer</w:t>
            </w:r>
          </w:p>
        </w:tc>
        <w:tc>
          <w:tcPr>
            <w:tcW w:type="dxa" w:w="5112"/>
            <w:vAlign w:val="center"/>
          </w:tcPr>
          <w:p>
            <w:r>
              <w:t>0.5–1</w:t>
            </w:r>
          </w:p>
        </w:tc>
      </w:tr>
      <w:tr>
        <w:tc>
          <w:tcPr>
            <w:tcW w:type="dxa" w:w="5112"/>
            <w:vAlign w:val="center"/>
          </w:tcPr>
          <w:p>
            <w:r>
              <w:t>DevOps/Cloud Engineer</w:t>
            </w:r>
          </w:p>
        </w:tc>
        <w:tc>
          <w:tcPr>
            <w:tcW w:type="dxa" w:w="5112"/>
            <w:vAlign w:val="center"/>
          </w:tcPr>
          <w:p>
            <w:r>
              <w:t>0.5–1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Accounting/business-domain consultant</w:t>
            </w:r>
          </w:p>
        </w:tc>
        <w:tc>
          <w:tcPr>
            <w:tcW w:type="dxa" w:w="5112"/>
            <w:vAlign w:val="center"/>
          </w:tcPr>
          <w:p>
            <w:r>
              <w:t>Part-time</w:t>
            </w:r>
          </w:p>
        </w:tc>
      </w:tr>
    </w:tbl>
    <w:p/>
    <w:p>
      <w:pPr>
        <w:pStyle w:val="Heading1"/>
      </w:pPr>
      <w:r>
        <w:t>30. SaaS Commercial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Plan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Typical controls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Starter</w:t>
            </w:r>
          </w:p>
        </w:tc>
        <w:tc>
          <w:tcPr>
            <w:tcW w:type="dxa" w:w="5112"/>
            <w:vAlign w:val="center"/>
          </w:tcPr>
          <w:p>
            <w:r>
              <w:t>1 branch, limited users, POS + sales + inventory</w:t>
            </w:r>
          </w:p>
        </w:tc>
      </w:tr>
      <w:tr>
        <w:tc>
          <w:tcPr>
            <w:tcW w:type="dxa" w:w="5112"/>
            <w:vAlign w:val="center"/>
          </w:tcPr>
          <w:p>
            <w:r>
              <w:t>Business</w:t>
            </w:r>
          </w:p>
        </w:tc>
        <w:tc>
          <w:tcPr>
            <w:tcW w:type="dxa" w:w="5112"/>
            <w:vAlign w:val="center"/>
          </w:tcPr>
          <w:p>
            <w:r>
              <w:t>Multiple branches, advanced reports, purchasing, approvals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Professional</w:t>
            </w:r>
          </w:p>
        </w:tc>
        <w:tc>
          <w:tcPr>
            <w:tcW w:type="dxa" w:w="5112"/>
            <w:vAlign w:val="center"/>
          </w:tcPr>
          <w:p>
            <w:r>
              <w:t>Advanced rules, integrations, automation and analytics</w:t>
            </w:r>
          </w:p>
        </w:tc>
      </w:tr>
      <w:tr>
        <w:tc>
          <w:tcPr>
            <w:tcW w:type="dxa" w:w="5112"/>
            <w:vAlign w:val="center"/>
          </w:tcPr>
          <w:p>
            <w:r>
              <w:t>Enterprise</w:t>
            </w:r>
          </w:p>
        </w:tc>
        <w:tc>
          <w:tcPr>
            <w:tcW w:type="dxa" w:w="5112"/>
            <w:vAlign w:val="center"/>
          </w:tcPr>
          <w:p>
            <w:r>
              <w:t>Custom limits, dedicated DB option, SSO and SLA</w:t>
            </w:r>
          </w:p>
        </w:tc>
      </w:tr>
    </w:tbl>
    <w:p/>
    <w:p>
      <w:pPr>
        <w:pStyle w:val="ListBullet"/>
      </w:pPr>
      <w:r>
        <w:t>Price by branch + active users + optional modules.</w:t>
      </w:r>
    </w:p>
    <w:p>
      <w:pPr>
        <w:pStyle w:val="ListBullet"/>
      </w:pPr>
      <w:r>
        <w:t>Offer add-ons for advanced reporting, integrations, messaging and storage.</w:t>
      </w:r>
    </w:p>
    <w:p>
      <w:pPr>
        <w:pStyle w:val="ListBullet"/>
      </w:pPr>
      <w:r>
        <w:t>Keep subscription/billing logic separate from feature-flag logic.</w:t>
      </w:r>
    </w:p>
    <w:p>
      <w:pPr>
        <w:pStyle w:val="Heading1"/>
      </w:pPr>
      <w:r>
        <w:t>31. Key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Cross-tenant leak</w:t>
            </w:r>
          </w:p>
        </w:tc>
        <w:tc>
          <w:tcPr>
            <w:tcW w:type="dxa" w:w="5112"/>
            <w:vAlign w:val="center"/>
          </w:tcPr>
          <w:p>
            <w:r>
              <w:t>Tenant context, policy enforcement and automated isolation tests</w:t>
            </w:r>
          </w:p>
        </w:tc>
      </w:tr>
      <w:tr>
        <w:tc>
          <w:tcPr>
            <w:tcW w:type="dxa" w:w="5112"/>
            <w:vAlign w:val="center"/>
          </w:tcPr>
          <w:p>
            <w:r>
              <w:t>Unauthorized discount</w:t>
            </w:r>
          </w:p>
        </w:tc>
        <w:tc>
          <w:tcPr>
            <w:tcW w:type="dxa" w:w="5112"/>
            <w:vAlign w:val="center"/>
          </w:tcPr>
          <w:p>
            <w:r>
              <w:t>Permission + approval workflow + audit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 transaction manipulation</w:t>
            </w:r>
          </w:p>
        </w:tc>
        <w:tc>
          <w:tcPr>
            <w:tcW w:type="dxa" w:w="5112"/>
            <w:vAlign w:val="center"/>
          </w:tcPr>
          <w:p>
            <w:r>
              <w:t>Controlled history + adjustment layer</w:t>
            </w:r>
          </w:p>
        </w:tc>
      </w:tr>
      <w:tr>
        <w:tc>
          <w:tcPr>
            <w:tcW w:type="dxa" w:w="5112"/>
            <w:vAlign w:val="center"/>
          </w:tcPr>
          <w:p>
            <w:r>
              <w:t>Slow reports</w:t>
            </w:r>
          </w:p>
        </w:tc>
        <w:tc>
          <w:tcPr>
            <w:tcW w:type="dxa" w:w="5112"/>
            <w:vAlign w:val="center"/>
          </w:tcPr>
          <w:p>
            <w:r>
              <w:t>Read models/background reports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Configuration errors</w:t>
            </w:r>
          </w:p>
        </w:tc>
        <w:tc>
          <w:tcPr>
            <w:tcW w:type="dxa" w:w="5112"/>
            <w:vAlign w:val="center"/>
          </w:tcPr>
          <w:p>
            <w:r>
              <w:t>Draft/test/publish + validation + rollback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Database growth</w:t>
            </w:r>
          </w:p>
        </w:tc>
        <w:tc>
          <w:tcPr>
            <w:tcW w:type="dxa" w:w="5112"/>
            <w:vAlign w:val="center"/>
          </w:tcPr>
          <w:p>
            <w:r>
              <w:t>Partitioning/archiving/read models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Support abuse</w:t>
            </w:r>
          </w:p>
        </w:tc>
        <w:tc>
          <w:tcPr>
            <w:tcW w:type="dxa" w:w="5112"/>
            <w:vAlign w:val="center"/>
          </w:tcPr>
          <w:p>
            <w:r>
              <w:t>Audited, time-limited support sessions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Offline duplication</w:t>
            </w:r>
          </w:p>
        </w:tc>
        <w:tc>
          <w:tcPr>
            <w:tcW w:type="dxa" w:w="5112"/>
            <w:vAlign w:val="center"/>
          </w:tcPr>
          <w:p>
            <w:r>
              <w:t>Idempotency + synchronization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Tax non-compliance</w:t>
            </w:r>
          </w:p>
        </w:tc>
        <w:tc>
          <w:tcPr>
            <w:tcW w:type="dxa" w:w="5112"/>
            <w:vAlign w:val="center"/>
          </w:tcPr>
          <w:p>
            <w:r>
              <w:t>Jurisdiction-specific rules + accountant review</w:t>
            </w:r>
          </w:p>
        </w:tc>
      </w:tr>
    </w:tbl>
    <w:p/>
    <w:p>
      <w:pPr>
        <w:pStyle w:val="Heading1"/>
      </w:pPr>
      <w:r>
        <w:t>32. Commercial Release Definition of Done</w:t>
      </w:r>
    </w:p>
    <w:p>
      <w:pPr>
        <w:pStyle w:val="ListBullet"/>
      </w:pPr>
      <w:r>
        <w:t>Every module has authorization and tenant-isolation tests.</w:t>
      </w:r>
    </w:p>
    <w:p>
      <w:pPr>
        <w:pStyle w:val="ListBullet"/>
      </w:pPr>
      <w:r>
        <w:t>Critical transactions are fully auditable.</w:t>
      </w:r>
    </w:p>
    <w:p>
      <w:pPr>
        <w:pStyle w:val="ListBullet"/>
      </w:pPr>
      <w:r>
        <w:t>POS sales and returns reconcile correctly.</w:t>
      </w:r>
    </w:p>
    <w:p>
      <w:pPr>
        <w:pStyle w:val="ListBullet"/>
      </w:pPr>
      <w:r>
        <w:t>Inventory ledger reconciles with stock balances.</w:t>
      </w:r>
    </w:p>
    <w:p>
      <w:pPr>
        <w:pStyle w:val="ListBullet"/>
      </w:pPr>
      <w:r>
        <w:t>Reports can trace results to source transactions.</w:t>
      </w:r>
    </w:p>
    <w:p>
      <w:pPr>
        <w:pStyle w:val="ListBullet"/>
      </w:pPr>
      <w:r>
        <w:t>Configuration changes are versioned and reversible.</w:t>
      </w:r>
    </w:p>
    <w:p>
      <w:pPr>
        <w:pStyle w:val="ListBullet"/>
      </w:pPr>
      <w:r>
        <w:t>Super Admin cannot accidentally cross tenant boundaries through normal UI.</w:t>
      </w:r>
    </w:p>
    <w:p>
      <w:pPr>
        <w:pStyle w:val="ListBullet"/>
      </w:pPr>
      <w:r>
        <w:t>Backups are restored in testing, not merely configured.</w:t>
      </w:r>
    </w:p>
    <w:p>
      <w:pPr>
        <w:pStyle w:val="ListBullet"/>
      </w:pPr>
      <w:r>
        <w:t>Monitoring and alerting are operational.</w:t>
      </w:r>
    </w:p>
    <w:p>
      <w:pPr>
        <w:pStyle w:val="ListBullet"/>
      </w:pPr>
      <w:r>
        <w:t>API and user documentation are published.</w:t>
      </w:r>
    </w:p>
    <w:p>
      <w:pPr>
        <w:pStyle w:val="ListBullet"/>
      </w:pPr>
      <w:r>
        <w:t>Load, security and UAT testing completed for target launch scale.</w:t>
      </w:r>
    </w:p>
    <w:p>
      <w:pPr>
        <w:pStyle w:val="Heading1"/>
      </w:pPr>
      <w:r>
        <w:t>33. Reference Architecture</w:t>
      </w:r>
    </w:p>
    <w:p>
      <w:r>
        <w:t>Users / POS / Admin Web</w:t>
        <w:br/>
        <w:t xml:space="preserve">        │</w:t>
        <w:br/>
        <w:t xml:space="preserve">        ▼</w:t>
        <w:br/>
        <w:t>CDN / Reverse Proxy / WAF</w:t>
        <w:br/>
        <w:t xml:space="preserve">        │</w:t>
        <w:br/>
        <w:t xml:space="preserve">        ▼</w:t>
        <w:br/>
        <w:t>ASP.NET Core API</w:t>
        <w:br/>
        <w:t xml:space="preserve"> ├── Authentication &amp; Tenant Context</w:t>
        <w:br/>
        <w:t xml:space="preserve"> ├── Authorization / Policy Engine</w:t>
        <w:br/>
        <w:t xml:space="preserve"> ├── Application Use Cases</w:t>
        <w:br/>
        <w:t xml:space="preserve"> ├── Domain Modules</w:t>
        <w:br/>
        <w:t xml:space="preserve"> ├── Reporting API</w:t>
        <w:br/>
        <w:t xml:space="preserve"> └── Integration API</w:t>
        <w:br/>
        <w:t xml:space="preserve">        │</w:t>
        <w:br/>
        <w:t xml:space="preserve">        ├── Redis / Cache</w:t>
        <w:br/>
        <w:t xml:space="preserve">        ├── Background Queue / Workers</w:t>
        <w:br/>
        <w:t xml:space="preserve">        ├── Object Storage</w:t>
        <w:br/>
        <w:t xml:space="preserve">        └── SQL Server</w:t>
        <w:br/>
        <w:t xml:space="preserve">             ├── Transactional Model</w:t>
        <w:br/>
        <w:t xml:space="preserve">             ├── Configuration / Rules</w:t>
        <w:br/>
        <w:t xml:space="preserve">             ├── Audit / History</w:t>
        <w:br/>
        <w:t xml:space="preserve">             └── Reporting Read Models</w:t>
      </w:r>
    </w:p>
    <w:p>
      <w:pPr>
        <w:pStyle w:val="Heading1"/>
      </w:pPr>
      <w:r>
        <w:t>34. Recommended Build Philosophy</w:t>
      </w:r>
    </w:p>
    <w:p>
      <w:pPr>
        <w:pStyle w:val="ListBullet"/>
      </w:pPr>
      <w:r>
        <w:t>Build platform core before dozens of business modules.</w:t>
      </w:r>
    </w:p>
    <w:p>
      <w:pPr>
        <w:pStyle w:val="ListBullet"/>
      </w:pPr>
      <w:r>
        <w:t>Treat tenant isolation, authorization and audit as first-class capabilities.</w:t>
      </w:r>
    </w:p>
    <w:p>
      <w:pPr>
        <w:pStyle w:val="ListBullet"/>
      </w:pPr>
      <w:r>
        <w:t>Use modular monolith first; extract services only when scale requires it.</w:t>
      </w:r>
    </w:p>
    <w:p>
      <w:pPr>
        <w:pStyle w:val="ListBullet"/>
      </w:pPr>
      <w:r>
        <w:t>Prefer configuration and metadata over tenant-specific code branches.</w:t>
      </w:r>
    </w:p>
    <w:p>
      <w:pPr>
        <w:pStyle w:val="ListBullet"/>
      </w:pPr>
      <w:r>
        <w:t>Never solve customer reporting/tax requests by editing production source data.</w:t>
      </w:r>
    </w:p>
    <w:p>
      <w:pPr>
        <w:pStyle w:val="ListBullet"/>
      </w:pPr>
      <w:r>
        <w:t>Every important rule should be explainable: “why did the system do this?”</w:t>
      </w:r>
    </w:p>
    <w:p>
      <w:pPr>
        <w:pStyle w:val="ListBullet"/>
      </w:pPr>
      <w:r>
        <w:t>Make observability part of the initial build.</w:t>
      </w:r>
    </w:p>
    <w:p>
      <w:pPr>
        <w:pStyle w:val="ListBullet"/>
      </w:pPr>
      <w:r>
        <w:t>Design for history and reconciliation, not only current state.</w:t>
      </w:r>
    </w:p>
    <w:p>
      <w:pPr>
        <w:pStyle w:val="ListBullet"/>
      </w:pPr>
      <w:r>
        <w:t>Create reusable list/detail/filter/approval/report UI components.</w:t>
      </w:r>
    </w:p>
    <w:p>
      <w:pPr>
        <w:pStyle w:val="ListBullet"/>
      </w:pPr>
      <w:r>
        <w:t>Release in vertical slices with automated tests.</w:t>
      </w:r>
    </w:p>
    <w:p>
      <w:pPr>
        <w:pStyle w:val="Heading1"/>
      </w:pPr>
      <w:r>
        <w:t>35. Final Recommendation</w:t>
      </w:r>
    </w:p>
    <w:p>
      <w:r>
        <w:t>The strongest product opportunity is not simply a POS + inventory application. It is a configurable ERP platform where a new customer can be onboarded primarily by configuration:</w:t>
        <w:br/>
        <w:t>create tenant → choose business type → create branches → enable modules → define roles → configure taxes/pricing/workflows → configure reports → customize documents → go live.</w:t>
      </w:r>
    </w:p>
    <w:p>
      <w:r>
        <w:t>For the requested technology stack, the recommended starting point is a Clean Architecture modular monolith with React/TypeScript, EF Core for transactional operations, Dapper/read models for reporting, Redis for caching, background jobs for asynchronous workloads, Docker-based deployment and a strong automated security/test pipeline.</w:t>
      </w:r>
    </w:p>
    <w:p>
      <w:r>
        <w:t xml:space="preserve">The key architectural decision is to implement customer-specific behavior through a versioned configuration/rules/reporting engine rather than customer-specific code forks. </w:t>
        <w:br/>
        <w:t>That makes the product scalable as a SaaS and dramatically reduces the effort of onboarding the next business.</w:t>
      </w:r>
    </w:p>
    <w:p>
      <w:pPr>
        <w:pStyle w:val="Heading1"/>
      </w:pPr>
      <w:r>
        <w:t>Appendix A – Permission Naming Convention</w:t>
      </w:r>
    </w:p>
    <w:p>
      <w:r>
        <w:t>&lt;Module&gt;.&lt;Resource&gt;.&lt;Action&gt;</w:t>
        <w:br/>
        <w:br/>
        <w:t>Examples:</w:t>
        <w:br/>
        <w:t>Sales.Invoice.Create</w:t>
        <w:br/>
        <w:t>Sales.Invoice.Approve</w:t>
        <w:br/>
        <w:t>Sales.Invoice.Void</w:t>
        <w:br/>
        <w:t>Inventory.StockTransfer.Create</w:t>
        <w:br/>
        <w:t>Inventory.StockTransfer.Approve</w:t>
        <w:br/>
        <w:t>Reports.Tax.Export</w:t>
        <w:br/>
        <w:t>Administration.User.AssignRole</w:t>
        <w:br/>
        <w:t>Administration.Rule.Publish</w:t>
      </w:r>
    </w:p>
    <w:p>
      <w:pPr>
        <w:pStyle w:val="Heading1"/>
      </w:pPr>
      <w:r>
        <w:t>Appendix B – Example Dynamic Reporting Rule</w:t>
      </w:r>
    </w:p>
    <w:p>
      <w:r>
        <w:t>Rule: Next-Day Reporting After Cutoff</w:t>
        <w:br/>
        <w:t>Scope: Tenant X → Branch 03</w:t>
        <w:br/>
        <w:t>Condition: Sale.CompletedAt local time &gt; 14:00</w:t>
        <w:br/>
        <w:t>Action: ReportingDate = next business day</w:t>
        <w:br/>
        <w:t>Source: Sale.CompletedAt remains unchanged</w:t>
        <w:br/>
        <w:t>Audit: RuleVersionId + execution timestamp + affected SaleId</w:t>
        <w:br/>
        <w:t>Report: Tax/Daily Sales uses ReportingDate</w:t>
        <w:br/>
        <w:t>Reconciliation: Report exposes source total and transformed total</w:t>
        <w:br/>
        <w:t>Rollback: Deactivate rule or publish a new rule version; never rewrite historical source sales.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