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F1" w:rsidRDefault="006B3DA0">
      <w:pPr>
        <w:spacing w:line="360" w:lineRule="auto"/>
        <w:ind w:leftChars="100" w:left="210"/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 xml:space="preserve">18 </w:t>
      </w:r>
      <w:r>
        <w:rPr>
          <w:rFonts w:hint="eastAsia"/>
          <w:color w:val="000000"/>
          <w:sz w:val="28"/>
        </w:rPr>
        <w:t>——</w:t>
      </w:r>
      <w:r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 xml:space="preserve">019 </w:t>
      </w:r>
      <w:r>
        <w:rPr>
          <w:rFonts w:hint="eastAsia"/>
          <w:color w:val="000000"/>
          <w:sz w:val="28"/>
        </w:rPr>
        <w:t>学年第</w:t>
      </w:r>
      <w:r>
        <w:rPr>
          <w:rFonts w:hint="eastAsia"/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学期</w:t>
      </w:r>
    </w:p>
    <w:p w:rsidR="003D01F1" w:rsidRDefault="006B3DA0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会计信息系统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使用班级：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会计、</w:t>
      </w:r>
      <w:proofErr w:type="gramStart"/>
      <w:r>
        <w:rPr>
          <w:rFonts w:hint="eastAsia"/>
          <w:color w:val="000000"/>
          <w:sz w:val="24"/>
          <w:u w:val="single"/>
        </w:rPr>
        <w:t>财管</w:t>
      </w:r>
      <w:r>
        <w:rPr>
          <w:rFonts w:hint="eastAsia"/>
          <w:color w:val="000000"/>
          <w:sz w:val="24"/>
          <w:u w:val="single"/>
        </w:rPr>
        <w:t>17</w:t>
      </w:r>
      <w:r>
        <w:rPr>
          <w:rFonts w:hint="eastAsia"/>
          <w:color w:val="000000"/>
          <w:sz w:val="24"/>
          <w:u w:val="single"/>
        </w:rPr>
        <w:t>级</w:t>
      </w:r>
      <w:proofErr w:type="gramEnd"/>
      <w:r>
        <w:rPr>
          <w:rFonts w:hint="eastAsia"/>
          <w:color w:val="000000"/>
          <w:sz w:val="24"/>
          <w:u w:val="single"/>
        </w:rPr>
        <w:t>各班</w:t>
      </w:r>
      <w:r>
        <w:rPr>
          <w:rFonts w:hint="eastAsia"/>
          <w:color w:val="000000"/>
          <w:sz w:val="24"/>
          <w:u w:val="single"/>
        </w:rPr>
        <w:t xml:space="preserve">             </w:t>
      </w:r>
    </w:p>
    <w:p w:rsidR="003D01F1" w:rsidRDefault="006B3DA0">
      <w:pPr>
        <w:ind w:leftChars="100" w:left="210"/>
        <w:rPr>
          <w:color w:val="000000"/>
        </w:rPr>
      </w:pPr>
      <w:r>
        <w:rPr>
          <w:rFonts w:ascii="华文隶书" w:eastAsia="华文隶书" w:hint="eastAsia"/>
          <w:color w:val="000000"/>
          <w:sz w:val="24"/>
          <w:szCs w:val="28"/>
        </w:rPr>
        <w:t>命题单位：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       </w:t>
      </w:r>
      <w:bookmarkStart w:id="0" w:name="_GoBack"/>
      <w:bookmarkEnd w:id="0"/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    </w:t>
      </w:r>
      <w:r>
        <w:rPr>
          <w:rFonts w:ascii="华文隶书" w:eastAsia="华文隶书" w:hint="eastAsia"/>
          <w:color w:val="000000"/>
          <w:sz w:val="24"/>
          <w:szCs w:val="28"/>
        </w:rPr>
        <w:t xml:space="preserve">       </w:t>
      </w:r>
      <w:r>
        <w:rPr>
          <w:rFonts w:ascii="华文隶书" w:eastAsia="华文隶书" w:hint="eastAsia"/>
          <w:color w:val="000000"/>
          <w:sz w:val="24"/>
          <w:szCs w:val="28"/>
        </w:rPr>
        <w:t>命题人：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 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>课程组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           </w:t>
      </w:r>
    </w:p>
    <w:p w:rsidR="003D01F1" w:rsidRDefault="006B3DA0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单选题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20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3D01F1" w:rsidRDefault="006B3DA0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 ACBBA   AACBA   ABDCD   BCCAB</w:t>
      </w:r>
    </w:p>
    <w:p w:rsidR="003D01F1" w:rsidRDefault="003D01F1">
      <w:pPr>
        <w:tabs>
          <w:tab w:val="left" w:pos="490"/>
        </w:tabs>
        <w:spacing w:line="360" w:lineRule="exact"/>
        <w:rPr>
          <w:b/>
          <w:color w:val="000000"/>
          <w:sz w:val="24"/>
        </w:rPr>
      </w:pPr>
    </w:p>
    <w:p w:rsidR="003D01F1" w:rsidRDefault="006B3DA0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多选题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10</w:t>
      </w:r>
      <w:r>
        <w:rPr>
          <w:rFonts w:hint="eastAsia"/>
          <w:b/>
          <w:color w:val="000000"/>
          <w:sz w:val="24"/>
        </w:rPr>
        <w:t>分。多选、错选不得分，每选对一个</w:t>
      </w:r>
      <w:r>
        <w:rPr>
          <w:rFonts w:hint="eastAsia"/>
          <w:b/>
          <w:color w:val="000000"/>
          <w:sz w:val="24"/>
        </w:rPr>
        <w:t>0.5</w:t>
      </w:r>
      <w:r>
        <w:rPr>
          <w:rFonts w:hint="eastAsia"/>
          <w:b/>
          <w:color w:val="000000"/>
          <w:sz w:val="24"/>
        </w:rPr>
        <w:t>分，全部正确得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3D01F1" w:rsidRDefault="006B3DA0">
      <w:pPr>
        <w:spacing w:beforeLines="50" w:before="156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proofErr w:type="gramStart"/>
      <w:r>
        <w:rPr>
          <w:rFonts w:ascii="宋体" w:hAnsi="宋体" w:cs="宋体" w:hint="eastAsia"/>
          <w:bCs/>
          <w:color w:val="000000"/>
          <w:kern w:val="0"/>
          <w:sz w:val="24"/>
        </w:rPr>
        <w:t>1.ABD</w:t>
      </w:r>
      <w:proofErr w:type="gramEnd"/>
      <w:r>
        <w:rPr>
          <w:rFonts w:ascii="宋体" w:hAnsi="宋体" w:cs="宋体" w:hint="eastAsia"/>
          <w:bCs/>
          <w:color w:val="000000"/>
          <w:kern w:val="0"/>
          <w:sz w:val="24"/>
        </w:rPr>
        <w:t xml:space="preserve">   2.ABCD   3.ABCD    4.ABCD   5.AC</w:t>
      </w:r>
    </w:p>
    <w:p w:rsidR="003D01F1" w:rsidRDefault="006B3DA0">
      <w:pPr>
        <w:spacing w:beforeLines="50" w:before="156"/>
        <w:rPr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三、</w:t>
      </w:r>
      <w:r>
        <w:rPr>
          <w:rFonts w:hint="eastAsia"/>
          <w:b/>
          <w:color w:val="000000"/>
          <w:sz w:val="24"/>
        </w:rPr>
        <w:t>判断题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15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3D01F1" w:rsidRDefault="006B3DA0">
      <w:pPr>
        <w:rPr>
          <w:rFonts w:ascii="宋体" w:hAnsi="宋体" w:cs="MS Mincho"/>
        </w:rPr>
      </w:pPr>
      <w:r>
        <w:rPr>
          <w:rFonts w:ascii="宋体" w:hAnsi="宋体" w:cs="MS Mincho" w:hint="eastAsia"/>
        </w:rPr>
        <w:t>1</w:t>
      </w:r>
      <w:r>
        <w:rPr>
          <w:rFonts w:ascii="宋体" w:hAnsi="宋体" w:cs="MS Mincho" w:hint="eastAsia"/>
        </w:rPr>
        <w:t>．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hAnsi="宋体"/>
        </w:rPr>
        <w:t xml:space="preserve"> 2.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hAnsi="宋体" w:hint="eastAsia"/>
        </w:rPr>
        <w:t xml:space="preserve">    3.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hAnsi="宋体" w:hint="eastAsia"/>
        </w:rPr>
        <w:t xml:space="preserve">   4.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hAnsi="宋体" w:hint="eastAsia"/>
        </w:rPr>
        <w:t xml:space="preserve"> 5.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eastAsia="MS Mincho" w:hAnsi="MS Mincho" w:cs="MS Mincho" w:hint="eastAsia"/>
        </w:rPr>
        <w:t xml:space="preserve">  </w:t>
      </w:r>
      <w:r>
        <w:rPr>
          <w:rFonts w:ascii="宋体" w:hAnsi="宋体" w:hint="eastAsia"/>
        </w:rPr>
        <w:t xml:space="preserve">6. 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eastAsia="MS Mincho" w:hAnsi="MS Mincho" w:cs="MS Mincho" w:hint="eastAsia"/>
        </w:rPr>
        <w:t xml:space="preserve">  </w:t>
      </w:r>
      <w:r>
        <w:rPr>
          <w:rFonts w:ascii="宋体" w:hAnsi="宋体" w:hint="eastAsia"/>
        </w:rPr>
        <w:t xml:space="preserve">7.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hAnsi="宋体" w:hint="eastAsia"/>
        </w:rPr>
        <w:t xml:space="preserve">  8.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hAnsi="宋体" w:hint="eastAsia"/>
        </w:rPr>
        <w:t xml:space="preserve">  9.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hAnsi="宋体" w:hint="eastAsia"/>
        </w:rPr>
        <w:t xml:space="preserve">  10. </w:t>
      </w:r>
      <w:r>
        <w:rPr>
          <w:rFonts w:ascii="宋体" w:eastAsia="MS Mincho" w:hAnsi="MS Mincho" w:cs="MS Mincho" w:hint="eastAsia"/>
        </w:rPr>
        <w:t>✕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MS Mincho" w:hint="eastAsia"/>
        </w:rPr>
        <w:t xml:space="preserve">11. 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MS Mincho" w:hint="eastAsia"/>
        </w:rPr>
        <w:t xml:space="preserve">12.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hAnsi="宋体" w:cs="MS Mincho" w:hint="eastAsia"/>
        </w:rPr>
        <w:t xml:space="preserve">  13. </w:t>
      </w:r>
      <w:r>
        <w:rPr>
          <w:rFonts w:ascii="宋体" w:eastAsia="MS Mincho" w:hAnsi="MS Mincho" w:cs="MS Mincho" w:hint="eastAsia"/>
        </w:rPr>
        <w:t>✕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hAnsi="宋体" w:cs="MS Mincho" w:hint="eastAsia"/>
        </w:rPr>
        <w:t>14.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eastAsia="MS Mincho" w:hAnsi="MS Mincho" w:cs="MS Mincho" w:hint="eastAsia"/>
        </w:rPr>
        <w:t>✓</w:t>
      </w:r>
      <w:r>
        <w:rPr>
          <w:rFonts w:ascii="宋体" w:eastAsia="MS Mincho" w:hAnsi="MS Mincho" w:cs="MS Mincho" w:hint="eastAsia"/>
        </w:rPr>
        <w:t xml:space="preserve"> </w:t>
      </w:r>
      <w:r>
        <w:rPr>
          <w:rFonts w:ascii="宋体" w:hAnsi="宋体" w:cs="MS Mincho" w:hint="eastAsia"/>
        </w:rPr>
        <w:t xml:space="preserve">15. </w:t>
      </w:r>
      <w:r>
        <w:rPr>
          <w:rFonts w:ascii="宋体" w:eastAsia="MS Mincho" w:hAnsi="MS Mincho" w:cs="MS Mincho" w:hint="eastAsia"/>
        </w:rPr>
        <w:t>✕</w:t>
      </w:r>
    </w:p>
    <w:p w:rsidR="003D01F1" w:rsidRDefault="006B3DA0">
      <w:pPr>
        <w:widowControl/>
        <w:tabs>
          <w:tab w:val="left" w:pos="544"/>
        </w:tabs>
        <w:jc w:val="left"/>
        <w:rPr>
          <w:b/>
          <w:bCs/>
          <w:color w:val="000000"/>
          <w:sz w:val="24"/>
        </w:rPr>
      </w:pPr>
      <w:r>
        <w:rPr>
          <w:rFonts w:cs="宋体" w:hint="eastAsia"/>
          <w:b/>
          <w:bCs/>
          <w:color w:val="000000"/>
          <w:sz w:val="24"/>
        </w:rPr>
        <w:t>四、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简答</w:t>
      </w:r>
      <w:r>
        <w:rPr>
          <w:rFonts w:cs="宋体" w:hint="eastAsia"/>
          <w:b/>
          <w:bCs/>
          <w:color w:val="000000"/>
          <w:sz w:val="24"/>
        </w:rPr>
        <w:t>（共</w:t>
      </w:r>
      <w:r>
        <w:rPr>
          <w:b/>
          <w:bCs/>
          <w:color w:val="000000"/>
          <w:sz w:val="24"/>
        </w:rPr>
        <w:t>40</w:t>
      </w:r>
      <w:r>
        <w:rPr>
          <w:rFonts w:cs="宋体" w:hint="eastAsia"/>
          <w:b/>
          <w:bCs/>
          <w:color w:val="000000"/>
          <w:sz w:val="24"/>
        </w:rPr>
        <w:t>分）</w:t>
      </w:r>
    </w:p>
    <w:p w:rsidR="003D01F1" w:rsidRDefault="006B3DA0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/>
          <w:color w:val="000000"/>
          <w:kern w:val="0"/>
          <w:sz w:val="24"/>
        </w:rPr>
        <w:t xml:space="preserve">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分）答：初始设置、凭证管理、出纳管理、期末处理、账簿输出、会计报表、辅助管理、系统服务、其他。（答对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个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:rsidR="003D01F1" w:rsidRDefault="006B3DA0">
      <w:pPr>
        <w:pStyle w:val="a7"/>
        <w:widowControl/>
        <w:numPr>
          <w:ilvl w:val="0"/>
          <w:numId w:val="2"/>
        </w:numPr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分）答：</w:t>
      </w:r>
      <w:r>
        <w:rPr>
          <w:rFonts w:ascii="宋体" w:hAnsi="宋体" w:cs="宋体" w:hint="eastAsia"/>
          <w:kern w:val="0"/>
          <w:sz w:val="24"/>
        </w:rPr>
        <w:t>代码设计、数据库文件设计、输出设计、输入设计、安全保密设计、处理过程设计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分）答：存在性检查：即检查凭证中科目编码是否存在。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pStyle w:val="a7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是否是明细记账科目的检查：检查凭证中科目编码是否为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最底级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科目编码或记账明细科目。（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pStyle w:val="a7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与凭证类型是否相符的检查：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即检查输入的借方科目或贷方科目与凭证类型是否相符的检查。（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任何一张凭证都满足“有借必有贷，借贷必相等”的原则。（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D01F1" w:rsidRDefault="006B3DA0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4.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分）答：对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账套</w:t>
      </w:r>
      <w:r>
        <w:rPr>
          <w:rFonts w:ascii="宋体" w:hAnsi="宋体" w:cs="宋体" w:hint="eastAsia"/>
          <w:color w:val="000000"/>
          <w:kern w:val="0"/>
          <w:sz w:val="24"/>
        </w:rPr>
        <w:t>的统一管理，包括建立、修改、引入和输出（恢复备份和备份）；</w:t>
      </w:r>
    </w:p>
    <w:p w:rsidR="003D01F1" w:rsidRDefault="006B3DA0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</w:rPr>
        <w:t>对操作员及其功能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权限</w:t>
      </w:r>
      <w:r>
        <w:rPr>
          <w:rFonts w:ascii="宋体" w:hAnsi="宋体" w:cs="宋体" w:hint="eastAsia"/>
          <w:color w:val="000000"/>
          <w:kern w:val="0"/>
          <w:sz w:val="24"/>
        </w:rPr>
        <w:t>实行统一管理，设立统一的安全机制，包括用户、角色和权限设置；</w:t>
      </w:r>
    </w:p>
    <w:p w:rsidR="003D01F1" w:rsidRDefault="006B3DA0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</w:rPr>
        <w:t>允许设置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自动备份</w:t>
      </w:r>
      <w:r>
        <w:rPr>
          <w:rFonts w:ascii="宋体" w:hAnsi="宋体" w:cs="宋体" w:hint="eastAsia"/>
          <w:color w:val="000000"/>
          <w:kern w:val="0"/>
          <w:sz w:val="24"/>
        </w:rPr>
        <w:t>计划，可根据设置自动进行备份处理；（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</w:rPr>
        <w:t>对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年度账</w:t>
      </w:r>
      <w:r>
        <w:rPr>
          <w:rFonts w:ascii="宋体" w:hAnsi="宋体" w:cs="宋体" w:hint="eastAsia"/>
          <w:color w:val="000000"/>
          <w:kern w:val="0"/>
          <w:sz w:val="24"/>
        </w:rPr>
        <w:t>的管理，包括建立、引入、输出年度账，结转上年数据，清空年度数据等。（其余各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5.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tbl>
      <w:tblPr>
        <w:tblW w:w="6961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992"/>
        <w:gridCol w:w="1985"/>
        <w:gridCol w:w="1984"/>
      </w:tblGrid>
      <w:tr w:rsidR="003D01F1">
        <w:trPr>
          <w:trHeight w:val="28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类别字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凭证类别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限制类型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限制科目</w:t>
            </w:r>
          </w:p>
        </w:tc>
      </w:tr>
      <w:tr w:rsidR="003D01F1">
        <w:trPr>
          <w:trHeight w:val="285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现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现金凭证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凭证必有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1001</w:t>
            </w:r>
          </w:p>
        </w:tc>
      </w:tr>
      <w:tr w:rsidR="003D01F1">
        <w:trPr>
          <w:trHeight w:val="285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银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凭证必有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1002</w:t>
            </w:r>
          </w:p>
        </w:tc>
      </w:tr>
      <w:tr w:rsidR="003D01F1">
        <w:trPr>
          <w:trHeight w:val="285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转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转账凭证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凭证必无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1" w:rsidRDefault="006B3DA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1001,1002</w:t>
            </w:r>
          </w:p>
        </w:tc>
      </w:tr>
    </w:tbl>
    <w:p w:rsidR="003D01F1" w:rsidRDefault="003D01F1">
      <w:pPr>
        <w:rPr>
          <w:rFonts w:ascii="宋体" w:hAnsi="宋体" w:cs="宋体"/>
          <w:sz w:val="24"/>
        </w:rPr>
      </w:pP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分）答：以出纳身份登录；点击“业务工作”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“总账”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“凭证”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“出纳签字”，找到错误凭证，取消出纳签字；以会计身份登录；选择“业务工作”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“总账”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“凭证”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“填制凭证”，找到错误凭证，将借贷</w:t>
      </w:r>
      <w:proofErr w:type="gramStart"/>
      <w:r>
        <w:rPr>
          <w:rFonts w:ascii="宋体" w:hAnsi="宋体" w:cs="宋体" w:hint="eastAsia"/>
          <w:sz w:val="24"/>
        </w:rPr>
        <w:t>方金额</w:t>
      </w:r>
      <w:proofErr w:type="gramEnd"/>
      <w:r>
        <w:rPr>
          <w:rFonts w:ascii="宋体" w:hAnsi="宋体" w:cs="宋体" w:hint="eastAsia"/>
          <w:sz w:val="24"/>
        </w:rPr>
        <w:t>都改为</w:t>
      </w:r>
      <w:r>
        <w:rPr>
          <w:rFonts w:ascii="宋体" w:hAnsi="宋体" w:cs="宋体" w:hint="eastAsia"/>
          <w:sz w:val="24"/>
        </w:rPr>
        <w:t>2800</w:t>
      </w:r>
      <w:r>
        <w:rPr>
          <w:rFonts w:ascii="宋体" w:hAnsi="宋体" w:cs="宋体" w:hint="eastAsia"/>
          <w:sz w:val="24"/>
        </w:rPr>
        <w:t>，保存该凭证；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以出纳身份登录，点击“业务工作”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“总账”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“凭证”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“出纳签字”，找到该凭证，执行出纳签字；以主管身份登录，对所有凭证进行凭证审核及主管签字后记账。</w:t>
      </w:r>
      <w:r>
        <w:rPr>
          <w:rFonts w:ascii="宋体" w:hAnsi="宋体" w:cs="宋体" w:hint="eastAsia"/>
          <w:color w:val="000000"/>
          <w:kern w:val="0"/>
          <w:sz w:val="24"/>
        </w:rPr>
        <w:t>（各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3D01F1">
      <w:pPr>
        <w:widowControl/>
        <w:tabs>
          <w:tab w:val="left" w:pos="544"/>
        </w:tabs>
        <w:jc w:val="left"/>
        <w:rPr>
          <w:rFonts w:cs="宋体"/>
          <w:sz w:val="24"/>
        </w:rPr>
      </w:pPr>
    </w:p>
    <w:p w:rsidR="003D01F1" w:rsidRDefault="006B3DA0">
      <w:pPr>
        <w:widowControl/>
        <w:numPr>
          <w:ilvl w:val="0"/>
          <w:numId w:val="3"/>
        </w:numPr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综合题</w:t>
      </w:r>
      <w:r>
        <w:rPr>
          <w:rFonts w:hint="eastAsia"/>
          <w:b/>
          <w:color w:val="000000"/>
          <w:sz w:val="24"/>
        </w:rPr>
        <w:t>（共</w:t>
      </w:r>
      <w:r>
        <w:rPr>
          <w:rFonts w:hint="eastAsia"/>
          <w:b/>
          <w:color w:val="000000"/>
          <w:sz w:val="24"/>
        </w:rPr>
        <w:t>15</w:t>
      </w:r>
      <w:r>
        <w:rPr>
          <w:rFonts w:hint="eastAsia"/>
          <w:b/>
          <w:color w:val="000000"/>
          <w:sz w:val="24"/>
        </w:rPr>
        <w:t>分）</w:t>
      </w:r>
      <w:r>
        <w:rPr>
          <w:rFonts w:ascii="宋体" w:hAnsi="宋体" w:hint="eastAsia"/>
          <w:kern w:val="0"/>
          <w:sz w:val="24"/>
        </w:rPr>
        <w:t>答：</w:t>
      </w:r>
    </w:p>
    <w:p w:rsidR="003D01F1" w:rsidRDefault="006B3DA0">
      <w:pPr>
        <w:widowControl/>
        <w:ind w:firstLineChars="150" w:firstLine="36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）可能原因：凭证</w:t>
      </w:r>
      <w:r>
        <w:rPr>
          <w:rFonts w:ascii="宋体" w:hAnsi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未记账；外币设置为浮动汇率；未设置汇兑损益入账科目；未输入期末调整汇率。</w:t>
      </w:r>
      <w:r>
        <w:rPr>
          <w:rFonts w:ascii="宋体" w:hAnsi="宋体" w:cs="宋体" w:hint="eastAsia"/>
          <w:color w:val="000000"/>
          <w:kern w:val="0"/>
          <w:sz w:val="24"/>
        </w:rPr>
        <w:t>（各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  <w:r>
        <w:rPr>
          <w:rFonts w:ascii="宋体" w:hAnsi="宋体" w:cs="宋体" w:hint="eastAsia"/>
          <w:color w:val="000000"/>
          <w:kern w:val="0"/>
          <w:sz w:val="24"/>
        </w:rPr>
        <w:t>，共</w:t>
      </w:r>
      <w:r>
        <w:rPr>
          <w:rFonts w:ascii="宋体" w:hAnsi="宋体" w:cs="宋体" w:hint="eastAsia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D01F1" w:rsidRDefault="006B3DA0">
      <w:pPr>
        <w:pStyle w:val="a7"/>
        <w:widowControl/>
        <w:ind w:left="360" w:firstLineChars="0" w:firstLine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）凭证：借：汇兑损益</w:t>
      </w:r>
    </w:p>
    <w:p w:rsidR="003D01F1" w:rsidRDefault="006B3DA0">
      <w:pPr>
        <w:pStyle w:val="a7"/>
        <w:widowControl/>
        <w:ind w:left="1200" w:firstLineChars="0" w:firstLine="6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贷：银行存款</w:t>
      </w:r>
      <w:r>
        <w:rPr>
          <w:rFonts w:ascii="宋体" w:hAnsi="宋体"/>
          <w:kern w:val="0"/>
          <w:sz w:val="24"/>
        </w:rPr>
        <w:t>——</w:t>
      </w:r>
      <w:r>
        <w:rPr>
          <w:rFonts w:ascii="宋体" w:hAnsi="宋体" w:cs="宋体" w:hint="eastAsia"/>
          <w:kern w:val="0"/>
          <w:sz w:val="24"/>
        </w:rPr>
        <w:t>中行存款</w:t>
      </w:r>
      <w:r>
        <w:rPr>
          <w:rFonts w:ascii="宋体" w:hAnsi="宋体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/>
          <w:kern w:val="0"/>
          <w:sz w:val="24"/>
        </w:rPr>
        <w:t xml:space="preserve"> 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3</w:t>
      </w:r>
      <w:r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sz w:val="24"/>
        </w:rPr>
        <w:t>改错步骤：</w:t>
      </w:r>
      <w:proofErr w:type="gramStart"/>
      <w:r>
        <w:rPr>
          <w:rFonts w:ascii="宋体" w:hAnsi="宋体" w:cs="宋体" w:hint="eastAsia"/>
          <w:sz w:val="24"/>
        </w:rPr>
        <w:t>以账套</w:t>
      </w:r>
      <w:r>
        <w:rPr>
          <w:rFonts w:ascii="宋体" w:hAnsi="宋体" w:cs="宋体" w:hint="eastAsia"/>
          <w:kern w:val="0"/>
          <w:sz w:val="24"/>
        </w:rPr>
        <w:t>主管</w:t>
      </w:r>
      <w:proofErr w:type="gramEnd"/>
      <w:r>
        <w:rPr>
          <w:rFonts w:ascii="宋体" w:hAnsi="宋体" w:cs="宋体" w:hint="eastAsia"/>
          <w:kern w:val="0"/>
          <w:sz w:val="24"/>
        </w:rPr>
        <w:t>身份登录并对凭证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记账；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/>
          <w:kern w:val="0"/>
          <w:sz w:val="24"/>
        </w:rPr>
        <w:t xml:space="preserve"> 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点击“基础设置”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“基础档案”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“财务”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“外币设置”，</w:t>
      </w:r>
      <w:proofErr w:type="gramStart"/>
      <w:r>
        <w:rPr>
          <w:rFonts w:ascii="宋体" w:hAnsi="宋体" w:cs="宋体" w:hint="eastAsia"/>
          <w:kern w:val="0"/>
          <w:sz w:val="24"/>
        </w:rPr>
        <w:t>勾选“固定汇率”</w:t>
      </w:r>
      <w:proofErr w:type="gramEnd"/>
      <w:r>
        <w:rPr>
          <w:rFonts w:ascii="宋体" w:hAnsi="宋体" w:cs="宋体" w:hint="eastAsia"/>
          <w:kern w:val="0"/>
          <w:sz w:val="24"/>
        </w:rPr>
        <w:t>；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/>
          <w:kern w:val="0"/>
          <w:sz w:val="24"/>
        </w:rPr>
        <w:t xml:space="preserve"> 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录入调整汇率；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0.5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以会计身份登录；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0.5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点击“业务工作”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“总账”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“期末”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“转账设置”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“汇兑损益”，输入入账科目</w:t>
      </w:r>
      <w:r>
        <w:rPr>
          <w:rFonts w:ascii="宋体" w:hAnsi="宋体" w:cs="宋体"/>
          <w:kern w:val="0"/>
          <w:sz w:val="24"/>
        </w:rPr>
        <w:t>6908</w:t>
      </w:r>
      <w:r>
        <w:rPr>
          <w:rFonts w:ascii="宋体" w:hAnsi="宋体" w:cs="宋体" w:hint="eastAsia"/>
          <w:kern w:val="0"/>
          <w:sz w:val="24"/>
        </w:rPr>
        <w:t>，确定；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点击“业务工作”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“总账”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“期末”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“转账生成”，</w:t>
      </w:r>
      <w:proofErr w:type="gramStart"/>
      <w:r>
        <w:rPr>
          <w:rFonts w:ascii="宋体" w:hAnsi="宋体" w:cs="宋体" w:hint="eastAsia"/>
          <w:kern w:val="0"/>
          <w:sz w:val="24"/>
        </w:rPr>
        <w:t>勾选“汇兑损益”</w:t>
      </w:r>
      <w:proofErr w:type="gramEnd"/>
      <w:r>
        <w:rPr>
          <w:rFonts w:ascii="宋体" w:hAnsi="宋体" w:cs="宋体" w:hint="eastAsia"/>
          <w:kern w:val="0"/>
          <w:sz w:val="24"/>
        </w:rPr>
        <w:t>，确定，即可得到汇兑损益凭证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以出纳身份登录，点击“业务工作”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“总账”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“凭证”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“出纳签字”，找到该凭证，签字；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proofErr w:type="gramStart"/>
      <w:r>
        <w:rPr>
          <w:rFonts w:ascii="宋体" w:hAnsi="宋体" w:cs="宋体" w:hint="eastAsia"/>
          <w:kern w:val="0"/>
          <w:sz w:val="24"/>
        </w:rPr>
        <w:t>以账套主管</w:t>
      </w:r>
      <w:proofErr w:type="gramEnd"/>
      <w:r>
        <w:rPr>
          <w:rFonts w:ascii="宋体" w:hAnsi="宋体" w:cs="宋体" w:hint="eastAsia"/>
          <w:kern w:val="0"/>
          <w:sz w:val="24"/>
        </w:rPr>
        <w:t>身份登录；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0.5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6B3DA0">
      <w:pPr>
        <w:widowControl/>
        <w:tabs>
          <w:tab w:val="left" w:pos="544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点击“业务工作”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“总账”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“凭证”</w:t>
      </w:r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“审核凭证”，找到该凭证，执行凭证审核；点击“主管签字”，完成主管签字，即可记账。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.5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3D01F1" w:rsidRDefault="003D01F1">
      <w:pPr>
        <w:rPr>
          <w:rFonts w:ascii="宋体" w:hAnsi="宋体"/>
        </w:rPr>
      </w:pPr>
    </w:p>
    <w:p w:rsidR="003D01F1" w:rsidRDefault="003D01F1">
      <w:pPr>
        <w:rPr>
          <w:rFonts w:ascii="宋体" w:hAnsi="宋体"/>
          <w:kern w:val="0"/>
          <w:sz w:val="24"/>
        </w:rPr>
      </w:pPr>
    </w:p>
    <w:sectPr w:rsidR="003D01F1">
      <w:headerReference w:type="default" r:id="rId10"/>
      <w:footerReference w:type="default" r:id="rId11"/>
      <w:pgSz w:w="10319" w:h="1457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B3DA0">
      <w:r>
        <w:separator/>
      </w:r>
    </w:p>
  </w:endnote>
  <w:endnote w:type="continuationSeparator" w:id="0">
    <w:p w:rsidR="00000000" w:rsidRDefault="006B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1F1" w:rsidRDefault="006B3DA0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B3DA0">
      <w:r>
        <w:separator/>
      </w:r>
    </w:p>
  </w:footnote>
  <w:footnote w:type="continuationSeparator" w:id="0">
    <w:p w:rsidR="00000000" w:rsidRDefault="006B3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1F1" w:rsidRDefault="006B3DA0">
    <w:pPr>
      <w:pStyle w:val="a5"/>
      <w:rPr>
        <w:sz w:val="72"/>
        <w:szCs w:val="72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sz w:val="72"/>
        <w:szCs w:val="72"/>
      </w:rPr>
      <w:t>试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题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答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CB24D"/>
    <w:multiLevelType w:val="singleLevel"/>
    <w:tmpl w:val="812CB24D"/>
    <w:lvl w:ilvl="0">
      <w:start w:val="2"/>
      <w:numFmt w:val="decimal"/>
      <w:suff w:val="space"/>
      <w:lvlText w:val="%1."/>
      <w:lvlJc w:val="left"/>
    </w:lvl>
  </w:abstractNum>
  <w:abstractNum w:abstractNumId="1">
    <w:nsid w:val="00806CEC"/>
    <w:multiLevelType w:val="multilevel"/>
    <w:tmpl w:val="00806CEC"/>
    <w:lvl w:ilvl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7A647A"/>
    <w:multiLevelType w:val="multilevel"/>
    <w:tmpl w:val="1E7A647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CC3"/>
    <w:rsid w:val="00000B1D"/>
    <w:rsid w:val="00032C05"/>
    <w:rsid w:val="00045409"/>
    <w:rsid w:val="00071CC3"/>
    <w:rsid w:val="0008043A"/>
    <w:rsid w:val="00080BFB"/>
    <w:rsid w:val="000B1F61"/>
    <w:rsid w:val="000C42EB"/>
    <w:rsid w:val="000E552F"/>
    <w:rsid w:val="000F1E65"/>
    <w:rsid w:val="00103C23"/>
    <w:rsid w:val="001127F3"/>
    <w:rsid w:val="00131DC8"/>
    <w:rsid w:val="0014390F"/>
    <w:rsid w:val="00180332"/>
    <w:rsid w:val="001805D6"/>
    <w:rsid w:val="00183EC0"/>
    <w:rsid w:val="001C0255"/>
    <w:rsid w:val="001C0585"/>
    <w:rsid w:val="001E3217"/>
    <w:rsid w:val="001F3BAB"/>
    <w:rsid w:val="0020075E"/>
    <w:rsid w:val="002245C3"/>
    <w:rsid w:val="002711B7"/>
    <w:rsid w:val="002716D8"/>
    <w:rsid w:val="00274833"/>
    <w:rsid w:val="002958AB"/>
    <w:rsid w:val="002B4B45"/>
    <w:rsid w:val="002F131D"/>
    <w:rsid w:val="00322389"/>
    <w:rsid w:val="00327CF5"/>
    <w:rsid w:val="00357BFF"/>
    <w:rsid w:val="00362FCD"/>
    <w:rsid w:val="003770EA"/>
    <w:rsid w:val="00392F82"/>
    <w:rsid w:val="003A1B96"/>
    <w:rsid w:val="003A22FD"/>
    <w:rsid w:val="003A4E21"/>
    <w:rsid w:val="003A5679"/>
    <w:rsid w:val="003D01F1"/>
    <w:rsid w:val="003D43EE"/>
    <w:rsid w:val="003E01A8"/>
    <w:rsid w:val="00400476"/>
    <w:rsid w:val="00411ACC"/>
    <w:rsid w:val="00422450"/>
    <w:rsid w:val="00480247"/>
    <w:rsid w:val="00485B03"/>
    <w:rsid w:val="0049441B"/>
    <w:rsid w:val="004B5207"/>
    <w:rsid w:val="004D1BBC"/>
    <w:rsid w:val="004E03B2"/>
    <w:rsid w:val="004E7CD8"/>
    <w:rsid w:val="00513678"/>
    <w:rsid w:val="00580C7D"/>
    <w:rsid w:val="00590AB8"/>
    <w:rsid w:val="005A696A"/>
    <w:rsid w:val="005C654A"/>
    <w:rsid w:val="0060301E"/>
    <w:rsid w:val="00616C36"/>
    <w:rsid w:val="006313AB"/>
    <w:rsid w:val="00642838"/>
    <w:rsid w:val="00647ACC"/>
    <w:rsid w:val="006504F0"/>
    <w:rsid w:val="0066723D"/>
    <w:rsid w:val="006B0720"/>
    <w:rsid w:val="006B3DA0"/>
    <w:rsid w:val="006B4165"/>
    <w:rsid w:val="006F5AA5"/>
    <w:rsid w:val="00702538"/>
    <w:rsid w:val="0070375E"/>
    <w:rsid w:val="00713515"/>
    <w:rsid w:val="00722000"/>
    <w:rsid w:val="00723F05"/>
    <w:rsid w:val="007326BD"/>
    <w:rsid w:val="00751EBB"/>
    <w:rsid w:val="00752779"/>
    <w:rsid w:val="00754E2A"/>
    <w:rsid w:val="00757B62"/>
    <w:rsid w:val="00761284"/>
    <w:rsid w:val="007623B8"/>
    <w:rsid w:val="00766B55"/>
    <w:rsid w:val="007702B0"/>
    <w:rsid w:val="007807B9"/>
    <w:rsid w:val="007B3329"/>
    <w:rsid w:val="007D46D9"/>
    <w:rsid w:val="007F5E40"/>
    <w:rsid w:val="00822535"/>
    <w:rsid w:val="00840F7A"/>
    <w:rsid w:val="00853607"/>
    <w:rsid w:val="00853E85"/>
    <w:rsid w:val="00861EC5"/>
    <w:rsid w:val="00897551"/>
    <w:rsid w:val="008A08A1"/>
    <w:rsid w:val="008B162E"/>
    <w:rsid w:val="008E597F"/>
    <w:rsid w:val="00903EC3"/>
    <w:rsid w:val="00907627"/>
    <w:rsid w:val="0091407D"/>
    <w:rsid w:val="00967324"/>
    <w:rsid w:val="00970770"/>
    <w:rsid w:val="00991AA0"/>
    <w:rsid w:val="009950A1"/>
    <w:rsid w:val="009B36E1"/>
    <w:rsid w:val="009B43CF"/>
    <w:rsid w:val="009D5AB1"/>
    <w:rsid w:val="009F32F4"/>
    <w:rsid w:val="00A038BD"/>
    <w:rsid w:val="00A11525"/>
    <w:rsid w:val="00A3402A"/>
    <w:rsid w:val="00A367EA"/>
    <w:rsid w:val="00A46F1D"/>
    <w:rsid w:val="00A55624"/>
    <w:rsid w:val="00A729AC"/>
    <w:rsid w:val="00A908FF"/>
    <w:rsid w:val="00A957E0"/>
    <w:rsid w:val="00AA4E65"/>
    <w:rsid w:val="00AA7640"/>
    <w:rsid w:val="00AD4AF2"/>
    <w:rsid w:val="00AE2E1D"/>
    <w:rsid w:val="00AF3116"/>
    <w:rsid w:val="00B03661"/>
    <w:rsid w:val="00B050FB"/>
    <w:rsid w:val="00B30BDA"/>
    <w:rsid w:val="00B454C8"/>
    <w:rsid w:val="00B4641D"/>
    <w:rsid w:val="00B544F7"/>
    <w:rsid w:val="00B55CA8"/>
    <w:rsid w:val="00B84948"/>
    <w:rsid w:val="00B86F57"/>
    <w:rsid w:val="00BB10CC"/>
    <w:rsid w:val="00BC673E"/>
    <w:rsid w:val="00C161E0"/>
    <w:rsid w:val="00C43FD3"/>
    <w:rsid w:val="00C53B9D"/>
    <w:rsid w:val="00C73A74"/>
    <w:rsid w:val="00CC44B0"/>
    <w:rsid w:val="00CE4C16"/>
    <w:rsid w:val="00D34FC1"/>
    <w:rsid w:val="00D570A8"/>
    <w:rsid w:val="00D72800"/>
    <w:rsid w:val="00DA28B9"/>
    <w:rsid w:val="00DB4BA6"/>
    <w:rsid w:val="00DC7AA2"/>
    <w:rsid w:val="00DD46D8"/>
    <w:rsid w:val="00DE004E"/>
    <w:rsid w:val="00DF7FFB"/>
    <w:rsid w:val="00E202EC"/>
    <w:rsid w:val="00E2187D"/>
    <w:rsid w:val="00E23FD1"/>
    <w:rsid w:val="00E37177"/>
    <w:rsid w:val="00E410D3"/>
    <w:rsid w:val="00E413D8"/>
    <w:rsid w:val="00E42E0D"/>
    <w:rsid w:val="00E66ADF"/>
    <w:rsid w:val="00EF19B5"/>
    <w:rsid w:val="00EF67FD"/>
    <w:rsid w:val="00EF71C7"/>
    <w:rsid w:val="00F05C8E"/>
    <w:rsid w:val="00F64543"/>
    <w:rsid w:val="00F65B63"/>
    <w:rsid w:val="00F746E1"/>
    <w:rsid w:val="00F85082"/>
    <w:rsid w:val="00FC457C"/>
    <w:rsid w:val="00FF2F1C"/>
    <w:rsid w:val="00FF6D88"/>
    <w:rsid w:val="0F225870"/>
    <w:rsid w:val="0FAE114C"/>
    <w:rsid w:val="1BF412F2"/>
    <w:rsid w:val="277C5277"/>
    <w:rsid w:val="2DAA5669"/>
    <w:rsid w:val="328D692F"/>
    <w:rsid w:val="32B3308F"/>
    <w:rsid w:val="52296EA3"/>
    <w:rsid w:val="682F4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A57DF-8C47-48A0-880C-FF28CDF9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1222</Words>
  <Characters>340</Characters>
  <Application>Microsoft Office Word</Application>
  <DocSecurity>0</DocSecurity>
  <Lines>2</Lines>
  <Paragraphs>3</Paragraphs>
  <ScaleCrop>false</ScaleCrop>
  <Company>yinhai.com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jszx</cp:lastModifiedBy>
  <cp:revision>8</cp:revision>
  <cp:lastPrinted>2007-06-22T09:57:00Z</cp:lastPrinted>
  <dcterms:created xsi:type="dcterms:W3CDTF">2019-06-09T21:42:00Z</dcterms:created>
  <dcterms:modified xsi:type="dcterms:W3CDTF">2023-05-23T02:39:00Z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