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10" w:leftChars="100"/>
        <w:jc w:val="center"/>
        <w:outlineLvl w:val="0"/>
        <w:rPr>
          <w:color w:val="000000"/>
          <w:sz w:val="28"/>
        </w:rPr>
      </w:pPr>
      <w:r>
        <w:rPr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>18 ——</w:t>
      </w:r>
      <w:r>
        <w:rPr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019 学年第2学期</w:t>
      </w:r>
    </w:p>
    <w:p>
      <w:pPr>
        <w:ind w:firstLine="240" w:firstLineChars="1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课程名称：</w:t>
      </w:r>
      <w:r>
        <w:rPr>
          <w:rFonts w:hint="eastAsia"/>
          <w:color w:val="000000"/>
          <w:sz w:val="24"/>
          <w:u w:val="single"/>
        </w:rPr>
        <w:t xml:space="preserve"> 会计信息系统   </w:t>
      </w:r>
      <w:r>
        <w:rPr>
          <w:rFonts w:hint="eastAsia"/>
          <w:color w:val="000000"/>
          <w:sz w:val="24"/>
        </w:rPr>
        <w:t xml:space="preserve">     使用班级：</w:t>
      </w:r>
      <w:r>
        <w:rPr>
          <w:rFonts w:hint="eastAsia"/>
          <w:color w:val="000000"/>
          <w:sz w:val="24"/>
          <w:u w:val="single"/>
        </w:rPr>
        <w:t xml:space="preserve">  会计、财管17级各班             </w:t>
      </w:r>
    </w:p>
    <w:p>
      <w:pPr>
        <w:ind w:left="210" w:leftChars="100"/>
        <w:rPr>
          <w:color w:val="000000"/>
        </w:rPr>
      </w:pPr>
      <w:r>
        <w:rPr>
          <w:rFonts w:hint="eastAsia" w:ascii="华文隶书" w:eastAsia="华文隶书"/>
          <w:color w:val="000000"/>
          <w:sz w:val="24"/>
          <w:szCs w:val="28"/>
        </w:rPr>
        <w:t>命题单位：</w:t>
      </w:r>
      <w:r>
        <w:rPr>
          <w:rFonts w:hint="eastAsia" w:ascii="华文隶书" w:eastAsia="华文隶书"/>
          <w:color w:val="000000"/>
          <w:sz w:val="24"/>
          <w:szCs w:val="28"/>
          <w:u w:val="double"/>
        </w:rPr>
        <w:t xml:space="preserve">   管理学院       </w:t>
      </w:r>
      <w:r>
        <w:rPr>
          <w:rFonts w:hint="eastAsia" w:ascii="华文隶书" w:eastAsia="华文隶书"/>
          <w:color w:val="000000"/>
          <w:sz w:val="24"/>
          <w:szCs w:val="28"/>
        </w:rPr>
        <w:t xml:space="preserve">     命题人：</w:t>
      </w:r>
      <w:r>
        <w:rPr>
          <w:rFonts w:hint="eastAsia" w:ascii="华文隶书" w:eastAsia="华文隶书"/>
          <w:color w:val="000000"/>
          <w:sz w:val="24"/>
          <w:szCs w:val="28"/>
          <w:u w:val="single"/>
        </w:rPr>
        <w:t xml:space="preserve">    课程组              </w:t>
      </w:r>
    </w:p>
    <w:p>
      <w:pPr>
        <w:numPr>
          <w:ilvl w:val="0"/>
          <w:numId w:val="1"/>
        </w:numPr>
        <w:tabs>
          <w:tab w:val="left" w:pos="490"/>
          <w:tab w:val="clear" w:pos="480"/>
        </w:tabs>
        <w:spacing w:line="360" w:lineRule="exac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单选题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每小题1分，共20分</w:t>
      </w:r>
      <w:r>
        <w:rPr>
          <w:b/>
          <w:color w:val="000000"/>
          <w:sz w:val="24"/>
        </w:rPr>
        <w:t>）</w:t>
      </w:r>
    </w:p>
    <w:p>
      <w:pPr>
        <w:widowControl/>
        <w:jc w:val="left"/>
        <w:rPr>
          <w:rFonts w:hint="eastAsia" w:ascii="宋体" w:hAns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lang w:val="en-US" w:eastAsia="zh-CN"/>
        </w:rPr>
        <w:t xml:space="preserve">   DDBAD   BBDAB   ADCCC   CDCB</w:t>
      </w:r>
    </w:p>
    <w:p>
      <w:pPr>
        <w:widowControl/>
        <w:jc w:val="left"/>
        <w:rPr>
          <w:rFonts w:hint="default" w:ascii="宋体" w:hAnsi="宋体" w:cs="宋体"/>
          <w:color w:val="000000"/>
          <w:kern w:val="0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490"/>
          <w:tab w:val="clear" w:pos="480"/>
        </w:tabs>
        <w:spacing w:line="360" w:lineRule="exac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多选题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每小题2分，共10分。多选、错选不得分，每选对一个0.5分，全部正确得2分</w:t>
      </w:r>
      <w:r>
        <w:rPr>
          <w:b/>
          <w:color w:val="000000"/>
          <w:sz w:val="24"/>
        </w:rPr>
        <w:t>）</w:t>
      </w:r>
    </w:p>
    <w:p>
      <w:pPr>
        <w:spacing w:before="156" w:beforeLines="50"/>
        <w:ind w:firstLine="240" w:firstLineChars="100"/>
        <w:rPr>
          <w:rFonts w:hint="default" w:ascii="宋体" w:hAnsi="宋体" w:eastAsia="宋体" w:cs="宋体"/>
          <w:b w:val="0"/>
          <w:bCs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lang w:val="en-US" w:eastAsia="zh-CN"/>
        </w:rPr>
        <w:t>1.ABCD    2.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</w:rPr>
        <w:t>BD    3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</w:rPr>
        <w:t>AD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lang w:val="en-US" w:eastAsia="zh-CN"/>
        </w:rPr>
        <w:t xml:space="preserve">    4.AC     5.AB</w:t>
      </w:r>
    </w:p>
    <w:p>
      <w:pPr>
        <w:spacing w:before="156" w:beforeLines="50"/>
        <w:rPr>
          <w:rFonts w:hint="eastAsia" w:ascii="宋体" w:hAnsi="宋体" w:cs="宋体"/>
          <w:b/>
          <w:color w:val="000000"/>
          <w:kern w:val="0"/>
          <w:sz w:val="24"/>
        </w:rPr>
      </w:pPr>
    </w:p>
    <w:p>
      <w:pPr>
        <w:spacing w:before="156" w:beforeLines="50"/>
        <w:rPr>
          <w:b/>
          <w:color w:val="00000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三、</w:t>
      </w:r>
      <w:r>
        <w:rPr>
          <w:rFonts w:hint="eastAsia"/>
          <w:b/>
          <w:color w:val="000000"/>
          <w:sz w:val="24"/>
        </w:rPr>
        <w:t>判断题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每小题1分，共15分</w:t>
      </w:r>
      <w:r>
        <w:rPr>
          <w:b/>
          <w:color w:val="000000"/>
          <w:sz w:val="24"/>
        </w:rPr>
        <w:t>）</w:t>
      </w:r>
    </w:p>
    <w:p>
      <w:pPr>
        <w:rPr>
          <w:rFonts w:ascii="宋体" w:hAnsi="宋体" w:cs="MS Mincho"/>
        </w:rPr>
      </w:pPr>
      <w:r>
        <w:rPr>
          <w:rFonts w:hint="eastAsia" w:ascii="宋体" w:hAnsi="宋体" w:cs="MS Mincho"/>
        </w:rPr>
        <w:t>1．</w:t>
      </w:r>
      <w:r>
        <w:rPr>
          <w:rFonts w:hint="eastAsia" w:ascii="宋体" w:hAnsi="MS Mincho" w:eastAsia="MS Mincho" w:cs="MS Mincho"/>
        </w:rPr>
        <w:t xml:space="preserve">✓    </w:t>
      </w:r>
      <w:r>
        <w:rPr>
          <w:rFonts w:ascii="宋体" w:hAnsi="宋体"/>
        </w:rPr>
        <w:t>2.</w:t>
      </w:r>
      <w:r>
        <w:rPr>
          <w:rFonts w:hint="eastAsia" w:ascii="宋体" w:hAnsi="MS Mincho" w:eastAsia="MS Mincho" w:cs="MS Mincho"/>
        </w:rPr>
        <w:t xml:space="preserve"> ✓</w:t>
      </w:r>
      <w:r>
        <w:rPr>
          <w:rFonts w:hint="eastAsia" w:ascii="宋体" w:hAnsi="宋体"/>
        </w:rPr>
        <w:t xml:space="preserve">   3.</w:t>
      </w:r>
      <w:r>
        <w:rPr>
          <w:rFonts w:hint="eastAsia" w:ascii="宋体" w:hAnsi="MS Mincho" w:eastAsia="MS Mincho" w:cs="MS Mincho"/>
        </w:rPr>
        <w:t>✕</w:t>
      </w:r>
      <w:r>
        <w:rPr>
          <w:rFonts w:hint="eastAsia" w:ascii="宋体" w:hAnsi="宋体"/>
        </w:rPr>
        <w:t xml:space="preserve">   4.</w:t>
      </w:r>
      <w:r>
        <w:rPr>
          <w:rFonts w:hint="eastAsia" w:ascii="宋体" w:hAnsi="MS Mincho" w:eastAsia="MS Mincho" w:cs="MS Mincho"/>
        </w:rPr>
        <w:t>✓</w:t>
      </w:r>
      <w:r>
        <w:rPr>
          <w:rFonts w:hint="eastAsia" w:ascii="宋体" w:hAnsi="宋体"/>
        </w:rPr>
        <w:t xml:space="preserve">    5.</w:t>
      </w:r>
      <w:r>
        <w:rPr>
          <w:rFonts w:hint="eastAsia" w:ascii="宋体" w:hAnsi="MS Mincho" w:eastAsia="MS Mincho" w:cs="MS Mincho"/>
        </w:rPr>
        <w:t xml:space="preserve"> ✕</w:t>
      </w:r>
      <w:r>
        <w:rPr>
          <w:rFonts w:hint="eastAsia" w:ascii="宋体" w:hAnsi="宋体"/>
        </w:rPr>
        <w:t xml:space="preserve">  6. </w:t>
      </w:r>
      <w:r>
        <w:rPr>
          <w:rFonts w:hint="eastAsia" w:ascii="宋体" w:hAnsi="MS Mincho" w:eastAsia="MS Mincho" w:cs="MS Mincho"/>
        </w:rPr>
        <w:t>✕</w:t>
      </w:r>
      <w:r>
        <w:rPr>
          <w:rFonts w:hint="eastAsia" w:ascii="宋体" w:hAnsi="宋体"/>
        </w:rPr>
        <w:t xml:space="preserve">  7.</w:t>
      </w:r>
      <w:r>
        <w:rPr>
          <w:rFonts w:hint="eastAsia" w:ascii="宋体" w:hAnsi="MS Mincho" w:eastAsia="MS Mincho" w:cs="MS Mincho"/>
        </w:rPr>
        <w:t xml:space="preserve"> ✓ </w:t>
      </w:r>
      <w:r>
        <w:rPr>
          <w:rFonts w:hint="eastAsia" w:ascii="宋体" w:hAnsi="宋体"/>
        </w:rPr>
        <w:t xml:space="preserve"> 8. </w:t>
      </w:r>
      <w:r>
        <w:rPr>
          <w:rFonts w:hint="eastAsia" w:ascii="宋体" w:hAnsi="MS Mincho" w:eastAsia="MS Mincho" w:cs="MS Mincho"/>
        </w:rPr>
        <w:t>✕</w:t>
      </w:r>
      <w:r>
        <w:rPr>
          <w:rFonts w:hint="eastAsia" w:ascii="宋体" w:hAnsi="宋体"/>
        </w:rPr>
        <w:t xml:space="preserve"> 9.</w:t>
      </w:r>
      <w:r>
        <w:rPr>
          <w:rFonts w:hint="eastAsia" w:ascii="宋体" w:hAnsi="MS Mincho" w:eastAsia="MS Mincho" w:cs="MS Mincho"/>
        </w:rPr>
        <w:t xml:space="preserve"> ✕</w:t>
      </w:r>
      <w:r>
        <w:rPr>
          <w:rFonts w:hint="eastAsia" w:ascii="宋体" w:hAnsi="宋体"/>
        </w:rPr>
        <w:t xml:space="preserve">  10. </w:t>
      </w:r>
      <w:r>
        <w:rPr>
          <w:rFonts w:hint="eastAsia" w:ascii="宋体" w:hAnsi="MS Mincho" w:eastAsia="MS Mincho" w:cs="MS Mincho"/>
        </w:rPr>
        <w:t>✓</w:t>
      </w:r>
    </w:p>
    <w:p>
      <w:pPr>
        <w:rPr>
          <w:rFonts w:ascii="宋体" w:hAnsi="宋体"/>
        </w:rPr>
      </w:pPr>
      <w:r>
        <w:rPr>
          <w:rFonts w:hint="eastAsia" w:ascii="宋体" w:hAnsi="宋体" w:cs="MS Mincho"/>
        </w:rPr>
        <w:t>11.</w:t>
      </w:r>
      <w:r>
        <w:rPr>
          <w:rFonts w:hint="eastAsia" w:ascii="宋体" w:hAnsi="MS Mincho" w:eastAsia="MS Mincho" w:cs="MS Mincho"/>
        </w:rPr>
        <w:t xml:space="preserve"> ✕</w:t>
      </w:r>
      <w:r>
        <w:rPr>
          <w:rFonts w:hint="eastAsia" w:ascii="宋体" w:hAnsi="宋体" w:cs="MS Mincho"/>
        </w:rPr>
        <w:t xml:space="preserve">  12. </w:t>
      </w:r>
      <w:r>
        <w:rPr>
          <w:rFonts w:hint="eastAsia" w:ascii="宋体" w:hAnsi="MS Mincho" w:eastAsia="MS Mincho" w:cs="MS Mincho"/>
        </w:rPr>
        <w:t>✓</w:t>
      </w:r>
      <w:r>
        <w:rPr>
          <w:rFonts w:hint="eastAsia" w:ascii="宋体" w:hAnsi="宋体" w:cs="MS Mincho"/>
        </w:rPr>
        <w:t xml:space="preserve">  13. </w:t>
      </w:r>
      <w:r>
        <w:rPr>
          <w:rFonts w:hint="eastAsia" w:ascii="宋体" w:hAnsi="MS Mincho" w:eastAsia="MS Mincho" w:cs="MS Mincho"/>
        </w:rPr>
        <w:t xml:space="preserve">✓ </w:t>
      </w:r>
      <w:r>
        <w:rPr>
          <w:rFonts w:hint="eastAsia" w:ascii="宋体" w:hAnsi="宋体" w:cs="MS Mincho"/>
        </w:rPr>
        <w:t>14.</w:t>
      </w:r>
      <w:r>
        <w:rPr>
          <w:rFonts w:hint="eastAsia" w:ascii="宋体" w:hAnsi="MS Mincho" w:eastAsia="MS Mincho" w:cs="MS Mincho"/>
        </w:rPr>
        <w:t xml:space="preserve"> ✓  </w:t>
      </w:r>
      <w:r>
        <w:rPr>
          <w:rFonts w:hint="eastAsia" w:ascii="宋体" w:hAnsi="宋体" w:cs="MS Mincho"/>
        </w:rPr>
        <w:t xml:space="preserve">15. </w:t>
      </w:r>
      <w:r>
        <w:rPr>
          <w:rFonts w:hint="eastAsia" w:ascii="宋体" w:hAnsi="MS Mincho" w:eastAsia="MS Mincho" w:cs="MS Mincho"/>
        </w:rPr>
        <w:t>✓</w:t>
      </w:r>
    </w:p>
    <w:p>
      <w:pPr>
        <w:widowControl/>
        <w:tabs>
          <w:tab w:val="left" w:pos="544"/>
        </w:tabs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tabs>
          <w:tab w:val="left" w:pos="544"/>
        </w:tabs>
        <w:jc w:val="left"/>
        <w:rPr>
          <w:b/>
          <w:bCs/>
          <w:color w:val="000000"/>
          <w:sz w:val="24"/>
        </w:rPr>
      </w:pPr>
      <w:r>
        <w:rPr>
          <w:rFonts w:hint="eastAsia" w:cs="宋体"/>
          <w:b/>
          <w:bCs/>
          <w:color w:val="000000"/>
          <w:sz w:val="24"/>
        </w:rPr>
        <w:t>四、</w:t>
      </w: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简答</w:t>
      </w:r>
      <w:r>
        <w:rPr>
          <w:rFonts w:hint="eastAsia" w:cs="宋体"/>
          <w:b/>
          <w:bCs/>
          <w:color w:val="000000"/>
          <w:sz w:val="24"/>
        </w:rPr>
        <w:t>（共</w:t>
      </w:r>
      <w:r>
        <w:rPr>
          <w:b/>
          <w:bCs/>
          <w:color w:val="000000"/>
          <w:sz w:val="24"/>
        </w:rPr>
        <w:t>40</w:t>
      </w:r>
      <w:r>
        <w:rPr>
          <w:rFonts w:hint="eastAsia" w:cs="宋体"/>
          <w:b/>
          <w:bCs/>
          <w:color w:val="000000"/>
          <w:sz w:val="24"/>
        </w:rPr>
        <w:t>分）</w:t>
      </w:r>
    </w:p>
    <w:p>
      <w:pPr>
        <w:pStyle w:val="8"/>
        <w:widowControl/>
        <w:tabs>
          <w:tab w:val="left" w:pos="544"/>
        </w:tabs>
        <w:ind w:left="0" w:leftChars="0" w:firstLine="0"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/>
          <w:color w:val="000000"/>
          <w:kern w:val="0"/>
          <w:sz w:val="24"/>
        </w:rPr>
        <w:t xml:space="preserve">. </w:t>
      </w:r>
      <w:r>
        <w:rPr>
          <w:rFonts w:hint="eastAsia" w:ascii="宋体" w:hAnsi="宋体" w:cs="宋体"/>
          <w:color w:val="000000"/>
          <w:kern w:val="0"/>
          <w:sz w:val="24"/>
        </w:rPr>
        <w:t>（6分）答：凭证类型和凭证号。 其控制机制为：系统检查出该类最后一张凭证号，自动加一后生成当前凭证号。（2分）</w:t>
      </w:r>
    </w:p>
    <w:p>
      <w:pPr>
        <w:pStyle w:val="8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凭证日期。 控制机制为：凭证日期为公历日期，输入日期不能为结账月份的日期。（2分）</w:t>
      </w:r>
    </w:p>
    <w:p>
      <w:pPr>
        <w:pStyle w:val="8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附单据数。即本凭证的附件张数。（1分）</w:t>
      </w:r>
    </w:p>
    <w:p>
      <w:pPr>
        <w:pStyle w:val="8"/>
        <w:widowControl/>
        <w:tabs>
          <w:tab w:val="left" w:pos="544"/>
        </w:tabs>
        <w:ind w:firstLine="0"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 xml:space="preserve">    摘要。输入本笔分录的业务说明，摘要要求简洁明了。（1分）</w:t>
      </w:r>
    </w:p>
    <w:p>
      <w:pPr>
        <w:pStyle w:val="8"/>
        <w:widowControl/>
        <w:numPr>
          <w:ilvl w:val="0"/>
          <w:numId w:val="2"/>
        </w:numPr>
        <w:tabs>
          <w:tab w:val="left" w:pos="544"/>
        </w:tabs>
        <w:ind w:firstLine="0" w:firstLineChars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（8分）答：定义分析指标：确定要分析的项目</w:t>
      </w:r>
    </w:p>
    <w:p>
      <w:pPr>
        <w:pStyle w:val="8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定义分析指标的数据来源：确定分析指标的数据来源公式</w:t>
      </w:r>
    </w:p>
    <w:p>
      <w:pPr>
        <w:pStyle w:val="8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生成分析数据：由已定义的数据来源公式经计算得到分析指标数值</w:t>
      </w:r>
    </w:p>
    <w:p>
      <w:pPr>
        <w:pStyle w:val="8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生成分析图形：分析表的延伸</w:t>
      </w:r>
    </w:p>
    <w:p>
      <w:pPr>
        <w:pStyle w:val="8"/>
        <w:widowControl/>
        <w:tabs>
          <w:tab w:val="left" w:pos="544"/>
        </w:tabs>
        <w:ind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查询分析结果：打印分析结果等</w:t>
      </w:r>
      <w:r>
        <w:rPr>
          <w:rFonts w:ascii="宋体" w:hAnsi="宋体" w:cs="宋体"/>
          <w:color w:val="000000"/>
          <w:kern w:val="0"/>
          <w:sz w:val="24"/>
        </w:rPr>
        <w:t>(</w:t>
      </w:r>
      <w:r>
        <w:rPr>
          <w:rFonts w:hint="eastAsia" w:ascii="宋体" w:hAnsi="宋体" w:cs="宋体"/>
          <w:color w:val="000000"/>
          <w:kern w:val="0"/>
          <w:sz w:val="24"/>
        </w:rPr>
        <w:t>前三项各2分，其余各1分</w:t>
      </w:r>
      <w:r>
        <w:rPr>
          <w:rFonts w:ascii="宋体" w:hAnsi="宋体" w:cs="宋体"/>
          <w:color w:val="000000"/>
          <w:kern w:val="0"/>
          <w:sz w:val="24"/>
        </w:rPr>
        <w:t>)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3</w:t>
      </w:r>
      <w:r>
        <w:rPr>
          <w:rFonts w:ascii="宋体" w:cs="宋体"/>
          <w:color w:val="000000"/>
          <w:kern w:val="0"/>
          <w:sz w:val="24"/>
        </w:rPr>
        <w:t>.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（6分）</w:t>
      </w:r>
      <w:r>
        <w:rPr>
          <w:rFonts w:hint="eastAsia" w:asciiTheme="majorEastAsia" w:hAnsiTheme="majorEastAsia" w:eastAsiaTheme="majorEastAsia"/>
          <w:sz w:val="24"/>
        </w:rPr>
        <w:t>答：及时、准确地采集和输入各种凭证，保证进入计算机的会计数据及时、正确和全面，便于数据的存储和检索；（2分）高效正确地完成记账等数据处理过程；（1分）随时输出某个时期内任意会计科目发生的所有业务，随时输出各个会计期间的各种账表，为企业管理提供信息；（2分）建立总账子系统与其他子系统的数据接口，实现会计数据的及时传递和数据共享。（1分）</w:t>
      </w:r>
    </w:p>
    <w:p>
      <w:pPr>
        <w:rPr>
          <w:rFonts w:cs="宋体"/>
          <w:spacing w:val="-13"/>
          <w:sz w:val="24"/>
        </w:rPr>
      </w:pPr>
      <w:r>
        <w:rPr>
          <w:rFonts w:hint="eastAsia" w:ascii="宋体"/>
          <w:kern w:val="0"/>
          <w:sz w:val="24"/>
        </w:rPr>
        <w:t xml:space="preserve">4. </w:t>
      </w:r>
      <w:r>
        <w:rPr>
          <w:rFonts w:hint="eastAsia" w:ascii="宋体" w:hAnsi="宋体" w:cs="宋体"/>
          <w:color w:val="000000"/>
          <w:kern w:val="0"/>
          <w:sz w:val="24"/>
        </w:rPr>
        <w:t>（6分）答：</w:t>
      </w:r>
      <w:r>
        <w:rPr>
          <w:sz w:val="24"/>
        </w:rPr>
        <w:t>1）</w:t>
      </w:r>
      <w:r>
        <w:rPr>
          <w:rFonts w:hint="eastAsia"/>
          <w:spacing w:val="-13"/>
          <w:sz w:val="24"/>
        </w:rPr>
        <w:t>本月期</w:t>
      </w:r>
      <w:bookmarkStart w:id="0" w:name="_GoBack"/>
      <w:bookmarkEnd w:id="0"/>
      <w:r>
        <w:rPr>
          <w:rFonts w:hint="eastAsia"/>
          <w:spacing w:val="-13"/>
          <w:sz w:val="24"/>
        </w:rPr>
        <w:t>末业务处理没有完成，如没有进行销售成本结转、汇兑损益结转；没有进行期间损益结转；</w:t>
      </w:r>
    </w:p>
    <w:p>
      <w:pPr>
        <w:ind w:firstLine="720" w:firstLineChars="300"/>
        <w:rPr>
          <w:rFonts w:cs="宋体"/>
          <w:spacing w:val="-7"/>
          <w:sz w:val="24"/>
        </w:rPr>
      </w:pPr>
      <w:r>
        <w:rPr>
          <w:sz w:val="24"/>
        </w:rPr>
        <w:t>2）</w:t>
      </w:r>
      <w:r>
        <w:rPr>
          <w:rFonts w:hint="eastAsia"/>
          <w:spacing w:val="-7"/>
          <w:sz w:val="24"/>
        </w:rPr>
        <w:t>套用的报表模版行业性质与建账的时候选择的不一致；</w:t>
      </w:r>
    </w:p>
    <w:p>
      <w:pPr>
        <w:ind w:firstLine="720" w:firstLineChars="300"/>
        <w:rPr>
          <w:rFonts w:hint="eastAsia"/>
          <w:spacing w:val="-7"/>
          <w:sz w:val="24"/>
        </w:rPr>
      </w:pPr>
      <w:r>
        <w:rPr>
          <w:sz w:val="24"/>
        </w:rPr>
        <w:t>3）</w:t>
      </w:r>
      <w:r>
        <w:rPr>
          <w:rFonts w:hint="eastAsia"/>
          <w:spacing w:val="-7"/>
          <w:sz w:val="24"/>
        </w:rPr>
        <w:t>资产负债表的部分公式需要修改，如存货、未分配利润项目的公式</w:t>
      </w:r>
    </w:p>
    <w:p>
      <w:pPr>
        <w:ind w:firstLine="678" w:firstLineChars="300"/>
        <w:jc w:val="right"/>
        <w:rPr>
          <w:rFonts w:ascii="宋体" w:hAnsi="宋体" w:cs="宋体"/>
          <w:sz w:val="24"/>
        </w:rPr>
      </w:pPr>
      <w:r>
        <w:rPr>
          <w:rFonts w:hint="eastAsia"/>
          <w:spacing w:val="-7"/>
          <w:sz w:val="24"/>
        </w:rPr>
        <w:t>（各2分）</w:t>
      </w:r>
    </w:p>
    <w:p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5.（8分）答：（1）设置总账系统参数；（2）外币与汇率设置；（3）设置会计科目；（4）结算方式定义；（5）凭证类别定义；（6）部门、职员档案设置；（7）客户、供应商及存货档案设置；（8）期初余额录入</w:t>
      </w:r>
    </w:p>
    <w:p>
      <w:pPr>
        <w:rPr>
          <w:rFonts w:ascii="宋体" w:hAnsi="宋体"/>
        </w:rPr>
      </w:pPr>
      <w:r>
        <w:rPr>
          <w:rFonts w:hint="eastAsia" w:ascii="宋体" w:hAnsi="宋体" w:cs="宋体"/>
          <w:color w:val="000000"/>
          <w:kern w:val="0"/>
          <w:sz w:val="24"/>
        </w:rPr>
        <w:t>6.（6分）</w:t>
      </w:r>
      <w:r>
        <w:rPr>
          <w:rFonts w:hint="eastAsia" w:ascii="宋体" w:hAnsi="宋体" w:cs="宋体"/>
          <w:sz w:val="24"/>
        </w:rPr>
        <w:t>答：1）以会计身份登录；2）将所有凭证记账；3）转账生成abc业务的凭证；4）换人将生成的三张凭证签字审核记账；5）会计转账生成d业务的凭证；6）换人将d业务的凭证签字审核记账。</w:t>
      </w:r>
    </w:p>
    <w:p>
      <w:pPr>
        <w:widowControl/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</w:p>
    <w:p>
      <w:pPr>
        <w:widowControl/>
        <w:numPr>
          <w:ilvl w:val="0"/>
          <w:numId w:val="3"/>
        </w:numPr>
        <w:tabs>
          <w:tab w:val="left" w:pos="544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b/>
          <w:color w:val="000000"/>
          <w:kern w:val="0"/>
          <w:sz w:val="24"/>
        </w:rPr>
        <w:t>综合题</w:t>
      </w:r>
      <w:r>
        <w:rPr>
          <w:rFonts w:hint="eastAsia"/>
          <w:b/>
          <w:color w:val="000000"/>
          <w:sz w:val="24"/>
        </w:rPr>
        <w:t>（共15分）</w:t>
      </w:r>
    </w:p>
    <w:p>
      <w:pPr>
        <w:widowControl/>
        <w:jc w:val="left"/>
        <w:rPr>
          <w:rFonts w:ascii="宋体" w:hAnsi="宋体" w:cs="宋体"/>
          <w:sz w:val="24"/>
        </w:rPr>
      </w:pPr>
      <w:r>
        <w:rPr>
          <w:rFonts w:hint="eastAsia"/>
          <w:color w:val="000000"/>
          <w:sz w:val="24"/>
        </w:rPr>
        <w:t xml:space="preserve">答： </w:t>
      </w:r>
      <w:r>
        <w:rPr>
          <w:color w:val="000000"/>
          <w:sz w:val="24"/>
        </w:rPr>
        <w:t>1</w:t>
      </w:r>
      <w:r>
        <w:rPr>
          <w:rFonts w:hint="eastAsia" w:cs="宋体"/>
          <w:color w:val="000000"/>
          <w:sz w:val="24"/>
        </w:rPr>
        <w:t>）</w:t>
      </w:r>
      <w:r>
        <w:rPr>
          <w:rFonts w:hint="eastAsia" w:ascii="宋体" w:hAnsi="宋体" w:cs="宋体"/>
          <w:sz w:val="24"/>
        </w:rPr>
        <w:t>由系统管理员张三或账套主管李四登录系统管理平台，执行“权限”——“用户”命令，进入“用户管理”窗口，增加操作员“赵六”；执行“权限”——“权限”命令，进入“操作员权限”窗口，从操作员列表中选择赵六，单击工具栏中的【修改】按钮，选中“总账”——“出纳”权限。（4分）</w:t>
      </w:r>
    </w:p>
    <w:p>
      <w:pPr>
        <w:rPr>
          <w:rFonts w:cs="宋体"/>
          <w:color w:val="000000"/>
          <w:sz w:val="24"/>
        </w:rPr>
      </w:pPr>
      <w:r>
        <w:rPr>
          <w:rFonts w:hint="eastAsia" w:cs="宋体"/>
          <w:color w:val="000000"/>
          <w:sz w:val="24"/>
        </w:rPr>
        <w:t>2）</w:t>
      </w:r>
      <w:r>
        <w:rPr>
          <w:rFonts w:hint="eastAsia" w:ascii="宋体" w:hAnsi="宋体" w:cs="宋体"/>
          <w:sz w:val="24"/>
        </w:rPr>
        <w:t>解决方法有两种，一是可在企业应用平台——基础设置——基本信息——编码方案中进行修改，二由账套主管登录系统管理，执行账套修改功能，修改编码方案。（2分）</w:t>
      </w:r>
    </w:p>
    <w:p>
      <w:pPr>
        <w:rPr>
          <w:rFonts w:cs="宋体"/>
          <w:color w:val="000000"/>
          <w:sz w:val="24"/>
        </w:rPr>
      </w:pPr>
      <w:r>
        <w:rPr>
          <w:rFonts w:hint="eastAsia" w:cs="宋体"/>
          <w:color w:val="000000"/>
          <w:sz w:val="24"/>
        </w:rPr>
        <w:t>3) （3分）</w:t>
      </w:r>
    </w:p>
    <w:tbl>
      <w:tblPr>
        <w:tblStyle w:val="5"/>
        <w:tblW w:w="69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992"/>
        <w:gridCol w:w="1985"/>
        <w:gridCol w:w="19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类别字</w:t>
            </w:r>
          </w:p>
        </w:tc>
        <w:tc>
          <w:tcPr>
            <w:tcW w:w="1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凭证类别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限制类型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限制科目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收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收款凭证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借方必有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1001</w:t>
            </w:r>
            <w:r>
              <w:rPr>
                <w:rFonts w:hint="eastAsia" w:ascii="宋体" w:hAnsi="宋体" w:cs="宋体"/>
                <w:kern w:val="0"/>
                <w:sz w:val="24"/>
              </w:rPr>
              <w:t>，1002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付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付款凭证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贷方必有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1001，</w:t>
            </w:r>
            <w:r>
              <w:rPr>
                <w:rFonts w:ascii="宋体" w:hAnsi="宋体" w:cs="宋体"/>
                <w:kern w:val="0"/>
                <w:sz w:val="24"/>
              </w:rPr>
              <w:t>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转</w:t>
            </w:r>
          </w:p>
        </w:tc>
        <w:tc>
          <w:tcPr>
            <w:tcW w:w="1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转账凭证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凭证必无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1001，1002</w:t>
            </w:r>
          </w:p>
        </w:tc>
      </w:tr>
    </w:tbl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4）赵六登录企业应用平台后取消出纳签字；王五登录企业应用平台打开“填制凭证”界面，将第一笔分录换成除“原材料”外另一个科目；打开初始设置的会计科目设置界面，找到原材料——甲材料，将其设置为数量核算；打开该凭证的填制界面，将第一笔分录科目换为“原材料——甲材料”，录入单价和金额，保存；赵六登录完成出纳签字；李四登录完成凭证审核和主管签字、记账。（各1分）</w:t>
      </w:r>
    </w:p>
    <w:p>
      <w:pPr>
        <w:widowControl/>
        <w:jc w:val="left"/>
        <w:rPr>
          <w:rFonts w:ascii="宋体" w:hAnsi="宋体"/>
          <w:kern w:val="0"/>
          <w:sz w:val="24"/>
        </w:rPr>
      </w:pPr>
    </w:p>
    <w:p>
      <w:pPr>
        <w:widowControl/>
        <w:jc w:val="left"/>
        <w:rPr>
          <w:rFonts w:ascii="宋体" w:hAnsi="宋体"/>
          <w:kern w:val="0"/>
          <w:sz w:val="24"/>
        </w:rPr>
      </w:pPr>
    </w:p>
    <w:sectPr>
      <w:headerReference r:id="rId3" w:type="default"/>
      <w:footerReference r:id="rId4" w:type="default"/>
      <w:pgSz w:w="10319" w:h="1457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72"/>
        <w:szCs w:val="72"/>
      </w:rPr>
    </w:pPr>
    <w:r>
      <w:rPr>
        <w:rFonts w:hint="eastAsia"/>
        <w:sz w:val="72"/>
        <w:szCs w:val="72"/>
      </w:rPr>
      <w:t xml:space="preserve">  试 题 答 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CB24D"/>
    <w:multiLevelType w:val="singleLevel"/>
    <w:tmpl w:val="812CB24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806CEC"/>
    <w:multiLevelType w:val="multilevel"/>
    <w:tmpl w:val="00806CEC"/>
    <w:lvl w:ilvl="0" w:tentative="0">
      <w:start w:val="5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7A647A"/>
    <w:multiLevelType w:val="multilevel"/>
    <w:tmpl w:val="1E7A647A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C3"/>
    <w:rsid w:val="00000B1D"/>
    <w:rsid w:val="00032C05"/>
    <w:rsid w:val="00071CC3"/>
    <w:rsid w:val="0008043A"/>
    <w:rsid w:val="00080BFB"/>
    <w:rsid w:val="000B1F61"/>
    <w:rsid w:val="000C42EB"/>
    <w:rsid w:val="000F1E65"/>
    <w:rsid w:val="00103C23"/>
    <w:rsid w:val="001127F3"/>
    <w:rsid w:val="00113265"/>
    <w:rsid w:val="00121088"/>
    <w:rsid w:val="00131DC8"/>
    <w:rsid w:val="0014390F"/>
    <w:rsid w:val="00180332"/>
    <w:rsid w:val="001805D6"/>
    <w:rsid w:val="00183EC0"/>
    <w:rsid w:val="00193428"/>
    <w:rsid w:val="001C0255"/>
    <w:rsid w:val="001E3217"/>
    <w:rsid w:val="001F3BAB"/>
    <w:rsid w:val="001F500A"/>
    <w:rsid w:val="0020075E"/>
    <w:rsid w:val="00206BB7"/>
    <w:rsid w:val="00231D56"/>
    <w:rsid w:val="002711B7"/>
    <w:rsid w:val="002716D8"/>
    <w:rsid w:val="00274833"/>
    <w:rsid w:val="002958AB"/>
    <w:rsid w:val="002B4B45"/>
    <w:rsid w:val="00322389"/>
    <w:rsid w:val="00327CF5"/>
    <w:rsid w:val="00357BFF"/>
    <w:rsid w:val="00362FCD"/>
    <w:rsid w:val="00392F82"/>
    <w:rsid w:val="003A03A2"/>
    <w:rsid w:val="003A1B96"/>
    <w:rsid w:val="003A22FD"/>
    <w:rsid w:val="003A4E21"/>
    <w:rsid w:val="003A5679"/>
    <w:rsid w:val="003C5030"/>
    <w:rsid w:val="003E01A8"/>
    <w:rsid w:val="00400476"/>
    <w:rsid w:val="00411ACC"/>
    <w:rsid w:val="00422450"/>
    <w:rsid w:val="00480247"/>
    <w:rsid w:val="00485B03"/>
    <w:rsid w:val="0049441B"/>
    <w:rsid w:val="004B5207"/>
    <w:rsid w:val="004D1BBC"/>
    <w:rsid w:val="004E03B2"/>
    <w:rsid w:val="004E7CD8"/>
    <w:rsid w:val="00513678"/>
    <w:rsid w:val="00580C7D"/>
    <w:rsid w:val="00590AB8"/>
    <w:rsid w:val="005A696A"/>
    <w:rsid w:val="005C654A"/>
    <w:rsid w:val="0060301E"/>
    <w:rsid w:val="00616C36"/>
    <w:rsid w:val="006313AB"/>
    <w:rsid w:val="00642838"/>
    <w:rsid w:val="00647ACC"/>
    <w:rsid w:val="006504F0"/>
    <w:rsid w:val="00650539"/>
    <w:rsid w:val="0066723D"/>
    <w:rsid w:val="006B0720"/>
    <w:rsid w:val="006B4165"/>
    <w:rsid w:val="006F5AA5"/>
    <w:rsid w:val="00702538"/>
    <w:rsid w:val="0070375E"/>
    <w:rsid w:val="00713515"/>
    <w:rsid w:val="00722000"/>
    <w:rsid w:val="00723F05"/>
    <w:rsid w:val="007326BD"/>
    <w:rsid w:val="00751EBB"/>
    <w:rsid w:val="00752779"/>
    <w:rsid w:val="00754E2A"/>
    <w:rsid w:val="00757B62"/>
    <w:rsid w:val="00761284"/>
    <w:rsid w:val="007623B8"/>
    <w:rsid w:val="00766B55"/>
    <w:rsid w:val="007702B0"/>
    <w:rsid w:val="007807B9"/>
    <w:rsid w:val="007F5E40"/>
    <w:rsid w:val="00822535"/>
    <w:rsid w:val="008321D5"/>
    <w:rsid w:val="00840F7A"/>
    <w:rsid w:val="00853607"/>
    <w:rsid w:val="00853E85"/>
    <w:rsid w:val="00861EC5"/>
    <w:rsid w:val="008973C4"/>
    <w:rsid w:val="00897551"/>
    <w:rsid w:val="008A08A1"/>
    <w:rsid w:val="008B162E"/>
    <w:rsid w:val="008E31C9"/>
    <w:rsid w:val="008E597F"/>
    <w:rsid w:val="00903EC3"/>
    <w:rsid w:val="00907627"/>
    <w:rsid w:val="0091407D"/>
    <w:rsid w:val="00970770"/>
    <w:rsid w:val="00991AA0"/>
    <w:rsid w:val="009950A1"/>
    <w:rsid w:val="009B36E1"/>
    <w:rsid w:val="009B43CF"/>
    <w:rsid w:val="009D5AB1"/>
    <w:rsid w:val="009F4A5D"/>
    <w:rsid w:val="00A038BD"/>
    <w:rsid w:val="00A11525"/>
    <w:rsid w:val="00A3402A"/>
    <w:rsid w:val="00A46F1D"/>
    <w:rsid w:val="00A55624"/>
    <w:rsid w:val="00A729AC"/>
    <w:rsid w:val="00A957E0"/>
    <w:rsid w:val="00AA4E65"/>
    <w:rsid w:val="00AC1CE4"/>
    <w:rsid w:val="00AD4AF2"/>
    <w:rsid w:val="00AE2E1D"/>
    <w:rsid w:val="00B03661"/>
    <w:rsid w:val="00B050FB"/>
    <w:rsid w:val="00B14E1C"/>
    <w:rsid w:val="00B30BDA"/>
    <w:rsid w:val="00B323DA"/>
    <w:rsid w:val="00B454C8"/>
    <w:rsid w:val="00B4641D"/>
    <w:rsid w:val="00B544F7"/>
    <w:rsid w:val="00B55CA8"/>
    <w:rsid w:val="00B84948"/>
    <w:rsid w:val="00B86F57"/>
    <w:rsid w:val="00BB10CC"/>
    <w:rsid w:val="00C161E0"/>
    <w:rsid w:val="00C35693"/>
    <w:rsid w:val="00C43FD3"/>
    <w:rsid w:val="00C53B9D"/>
    <w:rsid w:val="00C72D07"/>
    <w:rsid w:val="00C73A74"/>
    <w:rsid w:val="00C80D4E"/>
    <w:rsid w:val="00CE4C16"/>
    <w:rsid w:val="00CF65C4"/>
    <w:rsid w:val="00D34FC1"/>
    <w:rsid w:val="00D570A8"/>
    <w:rsid w:val="00D72800"/>
    <w:rsid w:val="00DA28B9"/>
    <w:rsid w:val="00DB5A39"/>
    <w:rsid w:val="00DC7AA2"/>
    <w:rsid w:val="00DD46D8"/>
    <w:rsid w:val="00DE004E"/>
    <w:rsid w:val="00DF7FFB"/>
    <w:rsid w:val="00E202EC"/>
    <w:rsid w:val="00E2187D"/>
    <w:rsid w:val="00E23FD1"/>
    <w:rsid w:val="00E37177"/>
    <w:rsid w:val="00E410D3"/>
    <w:rsid w:val="00E413D8"/>
    <w:rsid w:val="00E42E0D"/>
    <w:rsid w:val="00E623EC"/>
    <w:rsid w:val="00E66ADF"/>
    <w:rsid w:val="00E70D73"/>
    <w:rsid w:val="00E94442"/>
    <w:rsid w:val="00EC03E7"/>
    <w:rsid w:val="00EE606F"/>
    <w:rsid w:val="00EF19B5"/>
    <w:rsid w:val="00EF67FD"/>
    <w:rsid w:val="00EF71C7"/>
    <w:rsid w:val="00F05C8E"/>
    <w:rsid w:val="00F64543"/>
    <w:rsid w:val="00F65B63"/>
    <w:rsid w:val="00F746E1"/>
    <w:rsid w:val="00F85082"/>
    <w:rsid w:val="00FC457C"/>
    <w:rsid w:val="00FF2F1C"/>
    <w:rsid w:val="061F3A57"/>
    <w:rsid w:val="0FAE114C"/>
    <w:rsid w:val="277C5277"/>
    <w:rsid w:val="2DAA5669"/>
    <w:rsid w:val="328D692F"/>
    <w:rsid w:val="32B3308F"/>
    <w:rsid w:val="52296EA3"/>
    <w:rsid w:val="61075430"/>
    <w:rsid w:val="682F4A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0CFE3-432B-5A4C-9947-808230E7B1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yinhai.com</Company>
  <Pages>2</Pages>
  <Words>1333</Words>
  <Characters>238</Characters>
  <Lines>1</Lines>
  <Paragraphs>3</Paragraphs>
  <TotalTime>0</TotalTime>
  <ScaleCrop>false</ScaleCrop>
  <LinksUpToDate>false</LinksUpToDate>
  <CharactersWithSpaces>1568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2019-06-11T09:46:00Z</dcterms:created>
  <dc:creator>firecamel</dc:creator>
  <cp:lastModifiedBy>游鱼</cp:lastModifiedBy>
  <cp:lastPrinted>2007-06-22T09:57:00Z</cp:lastPrinted>
  <dcterms:modified xsi:type="dcterms:W3CDTF">2019-06-12T17:19:23Z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