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Update – New Strategic Projects (Draft Content)</w:t>
      </w:r>
    </w:p>
    <w:p>
      <w:r>
        <w:t>Architected a DeepAgent-compatible sandbox platform based on gVisor, enabling secure execution environments for AI agents, MCP servers, and user-authored skills while supporting isolation, reproducibility, and enterprise governance requirements.</w:t>
      </w:r>
    </w:p>
    <w:p>
      <w:r>
        <w:t>Designed and evolved a full agentic execution harness built around event-log-driven orchestration, custom context projection, state reconstruction, and long-running workflow continuity, improving observability and auditability of complex multi-agent processes.</w:t>
      </w:r>
    </w:p>
    <w:p>
      <w:r>
        <w:t>Led development of an AI-assisted Skill Authoring Platform that accelerates creation, testing, packaging, and onboarding of reusable enterprise skills through guided generation, dependency management, and deployment workflows.</w:t>
      </w:r>
    </w:p>
    <w:p>
      <w:r>
        <w:t>Built an AI-assisted MCP Authoring and Onboarding Portal that simplifies creation, registration, validation, and lifecycle management of MCP servers, reducing integration effort and standardizing enterprise tool connectivity.</w:t>
      </w:r>
    </w:p>
    <w:p>
      <w:r>
        <w:t>Developed a modular User Onboarding Platform capable of operating independently or integrating with sandbox infrastructure, providing environment provisioning, access management, onboarding workflows, and operational governance across agent ecosystems.</w:t>
      </w:r>
    </w:p>
    <w:p>
      <w:r>
        <w:t>Defined platform architecture for workspace-centric agent execution, enabling agents, skills, MCP servers, and orchestration components to collaborate within shared execution environments while maintaining security boundaries and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