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36"/>
          <w:szCs w:val="36"/>
        </w:rPr>
        <w:t xml:space="preserve">Vinay Kumar</w:t>
      </w:r>
    </w:p>
    <w:p>
      <w:pPr>
        <w:spacing w:after="30"/>
        <w:jc w:val="center"/>
      </w:pPr>
      <w:r>
        <w:rPr>
          <w:rFonts w:ascii="Times New Roman" w:cs="Times New Roman" w:eastAsia="Times New Roman" w:hAnsi="Times New Roman"/>
          <w:b/>
          <w:bCs/>
          <w:sz w:val="22"/>
          <w:szCs w:val="22"/>
        </w:rPr>
        <w:t xml:space="preserve">Senior AI Engineer</w:t>
      </w:r>
    </w:p>
    <w:p>
      <w:pPr>
        <w:spacing w:after="100"/>
        <w:jc w:val="center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Pune, India  —  9992394789  —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viinaimadotra@gmail.com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 |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LinkedIn: in/viinai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 |  </w:t>
      </w:r>
      <w:r>
        <w:rPr>
          <w:rFonts w:ascii="Times New Roman" w:cs="Times New Roman" w:eastAsia="Times New Roman" w:hAnsi="Times New Roman"/>
          <w:color w:val="0000EE"/>
          <w:sz w:val="18"/>
          <w:szCs w:val="18"/>
          <w:u w:val="single"/>
        </w:rPr>
        <w:t xml:space="preserve">GitHub: github.com/ViinAI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Professional Summary</w:t>
      </w:r>
    </w:p>
    <w:p>
      <w:pPr>
        <w:spacing w:after="70"/>
      </w:pPr>
      <w:r>
        <w:rPr>
          <w:rFonts w:ascii="Times New Roman" w:cs="Times New Roman" w:eastAsia="Times New Roman" w:hAnsi="Times New Roman"/>
          <w:sz w:val="18"/>
          <w:szCs w:val="18"/>
        </w:rPr>
        <w:t xml:space="preserve">Senior AI Engineer with 5.5+ years of experience in enterprise AI platform development, ML engineering, and Data Science. Designed and built foundational agent infrastructure, composed it into enterprise-grade products, and architected diverse AI solutions across multiple domains and clients at Infosys.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Professional Experience</w:t>
      </w:r>
    </w:p>
    <w:p>
      <w:pPr>
        <w:tabs>
          <w:tab w:val="right" w:pos="9026"/>
        </w:tabs>
        <w:spacing w:after="15" w:before="5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Infosys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 — Senior AI Engineer</w:t>
      </w:r>
      <w:r>
        <w:rPr>
          <w:rFonts w:ascii="Times New Roman" w:cs="Times New Roman" w:eastAsia="Times New Roman" w:hAnsi="Times New Roman"/>
          <w:b/>
          <w:bCs/>
          <w:color w:val="333333"/>
          <w:sz w:val="17"/>
          <w:szCs w:val="17"/>
        </w:rPr>
        <w:t xml:space="preserve">	Dec 2024 – Present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b/>
          <w:bCs/>
          <w:color w:val="4B5563"/>
          <w:sz w:val="15"/>
          <w:szCs w:val="15"/>
        </w:rPr>
        <w:t xml:space="preserve">FOUNDATIONAL COMPONENTS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Execution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Designed and built a bespoke event-driven agent execution engine supporting deterministic state reconstruction, checkpointing, and long-running workflow continuity across distributed agent instances.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Sandbox: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an isolated execution sandbox leveraging gVisor for secure, reproducible execution of untrusted agent code, MCP servers, and dynamically loaded skills.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MCP Platform: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Created a platform for importing, building, and hosting Model Context Protocol (MCP) servers with AI-assisted authoring, validation, and lifecycle management.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b/>
          <w:bCs/>
          <w:color w:val="4B5563"/>
          <w:sz w:val="15"/>
          <w:szCs w:val="15"/>
        </w:rPr>
        <w:t xml:space="preserve">PRODUCTS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Process-Centric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Composed foundational components into a full product enabling end-to-end process authoring, skill linking, OpenAPI spec onboarding, and autonomous execution. Deployed across multiple enterprise clients and under active go-to-market.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User-Centric Harness: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multi-surface developer platform — including Web Portal (AGUI/A2UI), CLI, and VS Code Extension — exposing agent capabilities for developer and operational workflows.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b/>
          <w:bCs/>
          <w:color w:val="4B5563"/>
          <w:sz w:val="15"/>
          <w:szCs w:val="15"/>
        </w:rPr>
        <w:t xml:space="preserve">SOLUTION ARCHITECTURE &amp; DEAL WINS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sz w:val="17"/>
          <w:szCs w:val="17"/>
        </w:rPr>
        <w:t xml:space="preserve">Independently architected diverse AI solutions — including a $300M Telecom transformation, Digital Tutor platform, and CMDB platform — driving multiple deal wins for Infosys.</w:t>
      </w:r>
    </w:p>
    <w:p>
      <w:pPr>
        <w:spacing w:after="10" w:before="40"/>
      </w:pPr>
      <w:r>
        <w:rPr>
          <w:rFonts w:ascii="Times New Roman" w:cs="Times New Roman" w:eastAsia="Times New Roman" w:hAnsi="Times New Roman"/>
          <w:b/>
          <w:bCs/>
          <w:color w:val="4B5563"/>
          <w:sz w:val="15"/>
          <w:szCs w:val="15"/>
        </w:rPr>
        <w:t xml:space="preserve">TECHNICAL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LLM Compiler: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proprietary LLM execution optimizer with dynamic prompt planning and semantic caching, reducing median query latency by 35%.</w:t>
      </w:r>
    </w:p>
    <w:p>
      <w:pPr>
        <w:tabs>
          <w:tab w:val="right" w:pos="9026"/>
        </w:tabs>
        <w:spacing w:after="15" w:before="9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Xcaliber Infotech (A Phoenix Group Company)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 — Data Scientist / AI-ML Engineer</w:t>
      </w:r>
      <w:r>
        <w:rPr>
          <w:rFonts w:ascii="Times New Roman" w:cs="Times New Roman" w:eastAsia="Times New Roman" w:hAnsi="Times New Roman"/>
          <w:b/>
          <w:bCs/>
          <w:color w:val="333333"/>
          <w:sz w:val="17"/>
          <w:szCs w:val="17"/>
        </w:rPr>
        <w:t xml:space="preserve">	Dec 2022 – Dec 2024 | Pune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Summarization Microservice: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 high-throughput text summarization service using LLaMA, BART, spaCy, and PyTorch to process OEM delivery waiver comments, integrating with warehouse ERP systems.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Enterprise RAG Assistant: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Developed a conversational assistant using LangChain, ChromaDB, and Hugging Face Transformers, reducing internal document lookup time by 40%.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Accessory Recommender: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Designed a location-aware affinity recommendation engine matching regional inventory with purchase patterns, boosting weekly accessory bundle sales by 25%.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API &amp; Telemetry Layer: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Developed REST APIs and real-time operations dashboards for role-based analytics and audit tracking.</w:t>
      </w:r>
    </w:p>
    <w:p>
      <w:pPr>
        <w:tabs>
          <w:tab w:val="right" w:pos="9026"/>
        </w:tabs>
        <w:spacing w:after="15" w:before="90"/>
      </w:pPr>
      <w:r>
        <w:rPr>
          <w:rFonts w:ascii="Times New Roman" w:cs="Times New Roman" w:eastAsia="Times New Roman" w:hAnsi="Times New Roman"/>
          <w:b/>
          <w:bCs/>
          <w:sz w:val="19"/>
          <w:szCs w:val="19"/>
        </w:rPr>
        <w:t xml:space="preserve">Concentrix India</w:t>
      </w: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 — Data Analyst</w:t>
      </w:r>
      <w:r>
        <w:rPr>
          <w:rFonts w:ascii="Times New Roman" w:cs="Times New Roman" w:eastAsia="Times New Roman" w:hAnsi="Times New Roman"/>
          <w:b/>
          <w:bCs/>
          <w:color w:val="333333"/>
          <w:sz w:val="17"/>
          <w:szCs w:val="17"/>
        </w:rPr>
        <w:t xml:space="preserve">	Oct 2015 – Apr 2017 | Gurgaon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Analytics Pipelines: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Built automated Python and SQL ETL pipelines and executive reporting dashboards.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Predictive Modeling: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Performed regression and classification modeling for business forecasting and workforce planning.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Skills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AI Platform &amp; Agent Systems: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Event-Driven Architecture, Agent Execution Harnesses, gVisor Sandboxing, Model Context Protocol (MCP), Process Orchestration, Multi-Agent Systems, Semantic Caching, LLM Compilers.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GenAI &amp; LLM Engineering: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LLaMA, Mistral, GPT-4/Azure OpenAI, Hugging Face Transformers, BERT, BART, RoBERTa, LangChain, RAG Architectures, Vector DBs (ChromaDB, Pinecone, FAISS).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Machine Learning &amp; Data Science: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PyTorch, TensorFlow, Scikit-Learn, spaCy, NLTK, NER, Regression, Classification, Clustering, Time-Series, Recommendation Systems.</w:t>
      </w:r>
    </w:p>
    <w:p>
      <w:pPr>
        <w:pStyle w:val="ListParagraph"/>
        <w:numPr>
          <w:ilvl w:val="0"/>
          <w:numId w:val="1"/>
        </w:numPr>
        <w:spacing w:after="15"/>
      </w:pPr>
      <w:r>
        <w:rPr>
          <w:rFonts w:ascii="Times New Roman" w:cs="Times New Roman" w:eastAsia="Times New Roman" w:hAnsi="Times New Roman"/>
          <w:b/>
          <w:bCs/>
          <w:sz w:val="17"/>
          <w:szCs w:val="17"/>
        </w:rPr>
        <w:t xml:space="preserve">Languages &amp; Infrastructure: </w:t>
      </w:r>
      <w:r>
        <w:rPr>
          <w:rFonts w:ascii="Times New Roman" w:cs="Times New Roman" w:eastAsia="Times New Roman" w:hAnsi="Times New Roman"/>
          <w:sz w:val="17"/>
          <w:szCs w:val="17"/>
        </w:rPr>
        <w:t xml:space="preserve">Python, TypeScript, SQL (PostgreSQL, MySQL), FastAPI, Flask, Docker, Kubernetes, AWS (EC2, S3, SageMaker, Lambda), Git, CI/CD, Linux.</w:t>
      </w:r>
    </w:p>
    <w:p>
      <w:pPr>
        <w:pBdr>
          <w:bottom w:val="single" w:color="000000" w:sz="6" w:space="1"/>
        </w:pBdr>
        <w:spacing w:after="25" w:before="70"/>
      </w:pPr>
      <w:r>
        <w:rPr>
          <w:rFonts w:ascii="Times New Roman" w:cs="Times New Roman" w:eastAsia="Times New Roman" w:hAnsi="Times New Roman"/>
          <w:b/>
          <w:bCs/>
          <w:sz w:val="20"/>
          <w:szCs w:val="20"/>
        </w:rPr>
        <w:t xml:space="preserve">Education</w:t>
      </w:r>
    </w:p>
    <w:p>
      <w:pPr>
        <w:spacing w:after="15" w:before="3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PG-Diploma in Artificial Intelligence (PGDAI)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C-DAC, Pune, 2022</w:t>
      </w:r>
    </w:p>
    <w:p>
      <w:pPr>
        <w:spacing w:after="30"/>
      </w:pPr>
      <w:r>
        <w:rPr>
          <w:rFonts w:ascii="Times New Roman" w:cs="Times New Roman" w:eastAsia="Times New Roman" w:hAnsi="Times New Roman"/>
          <w:b/>
          <w:bCs/>
          <w:sz w:val="18"/>
          <w:szCs w:val="18"/>
        </w:rPr>
        <w:t xml:space="preserve">B.Tech in Mechanical Engineering</w:t>
      </w:r>
      <w:r>
        <w:rPr>
          <w:rFonts w:ascii="Times New Roman" w:cs="Times New Roman" w:eastAsia="Times New Roman" w:hAnsi="Times New Roman"/>
          <w:sz w:val="18"/>
          <w:szCs w:val="18"/>
        </w:rPr>
        <w:t xml:space="preserve"> — JIET, Jind, 2014</w:t>
      </w:r>
    </w:p>
    <w:sectPr>
      <w:pgSz w:w="11906" w:h="16838" w:orient="portrait"/>
      <w:pgMar w:top="600" w:right="720" w:bottom="60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2026-08-03T09:37:24.251Z</dcterms:created>
  <dcterms:modified xsi:type="dcterms:W3CDTF">2026-08-03T09:37:24.259Z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