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64D8D">
      <w:pPr>
        <w:keepNext w:val="0"/>
        <w:keepLines w:val="0"/>
        <w:widowControl/>
        <w:suppressLineNumbers w:val="0"/>
        <w:jc w:val="center"/>
        <w:rPr>
          <w:rFonts w:hint="eastAsia" w:ascii="黑体" w:hAnsi="黑体" w:eastAsia="黑体" w:cs="黑体"/>
          <w:color w:val="000000"/>
          <w:kern w:val="0"/>
          <w:sz w:val="36"/>
          <w:szCs w:val="36"/>
          <w:lang w:val="en-US" w:eastAsia="zh-CN" w:bidi="ar"/>
        </w:rPr>
      </w:pPr>
      <w:r>
        <w:rPr>
          <w:rFonts w:hint="eastAsia" w:ascii="黑体" w:hAnsi="黑体" w:eastAsia="黑体" w:cs="黑体"/>
          <w:color w:val="000000"/>
          <w:kern w:val="0"/>
          <w:sz w:val="36"/>
          <w:szCs w:val="36"/>
          <w:lang w:val="en-US" w:eastAsia="zh-CN" w:bidi="ar"/>
        </w:rPr>
        <w:t>面向老年人的公共卫生支持应用程序的开发</w:t>
      </w:r>
    </w:p>
    <w:p w14:paraId="1B047C50">
      <w:pPr>
        <w:keepNext w:val="0"/>
        <w:keepLines w:val="0"/>
        <w:widowControl/>
        <w:suppressLineNumbers w:val="0"/>
        <w:jc w:val="center"/>
        <w:rPr>
          <w:rFonts w:hint="eastAsia" w:ascii="黑体" w:hAnsi="黑体" w:eastAsia="黑体" w:cs="黑体"/>
          <w:color w:val="000000"/>
          <w:kern w:val="0"/>
          <w:sz w:val="21"/>
          <w:szCs w:val="21"/>
          <w:lang w:val="en-US" w:eastAsia="zh-CN" w:bidi="ar"/>
        </w:rPr>
      </w:pPr>
    </w:p>
    <w:p w14:paraId="3C3E81DB">
      <w:pPr>
        <w:keepNext w:val="0"/>
        <w:keepLines w:val="0"/>
        <w:widowControl/>
        <w:suppressLineNumbers w:val="0"/>
        <w:ind w:firstLine="420" w:firstLineChars="0"/>
        <w:jc w:val="both"/>
        <w:rPr>
          <w:rFonts w:hint="eastAsia" w:ascii="黑体" w:hAnsi="黑体" w:eastAsia="黑体" w:cs="黑体"/>
          <w:color w:val="000000"/>
          <w:sz w:val="24"/>
          <w:szCs w:val="24"/>
        </w:rPr>
      </w:pPr>
      <w:r>
        <w:rPr>
          <w:rFonts w:hint="eastAsia" w:ascii="黑体" w:hAnsi="黑体" w:eastAsia="黑体" w:cs="黑体"/>
          <w:color w:val="000000"/>
          <w:kern w:val="0"/>
          <w:sz w:val="24"/>
          <w:szCs w:val="24"/>
          <w:lang w:val="en-US" w:eastAsia="zh-CN" w:bidi="ar"/>
        </w:rPr>
        <w:t>摘要</w:t>
      </w:r>
      <w:r>
        <w:rPr>
          <w:rFonts w:hint="eastAsia" w:ascii="黑体" w:hAnsi="黑体" w:eastAsia="黑体" w:cs="黑体"/>
          <w:b/>
          <w:bCs/>
          <w:color w:val="000000"/>
          <w:kern w:val="0"/>
          <w:sz w:val="24"/>
          <w:szCs w:val="24"/>
          <w:lang w:val="en-US" w:eastAsia="zh-CN" w:bidi="ar"/>
        </w:rPr>
        <w:t>—</w:t>
      </w:r>
      <w:r>
        <w:rPr>
          <w:rFonts w:hint="eastAsia" w:ascii="黑体" w:hAnsi="黑体" w:eastAsia="黑体" w:cs="黑体"/>
          <w:color w:val="000000"/>
          <w:kern w:val="0"/>
          <w:sz w:val="24"/>
          <w:szCs w:val="24"/>
          <w:lang w:val="en-US" w:eastAsia="zh-CN" w:bidi="ar"/>
        </w:rPr>
        <w:t>本研究旨在开发一款面向老年人的公共卫生支持应用。采样包括曼谷Khlong Lad Phrao社区的30名老年人、15名公共卫生志愿者以及3名信息技术专家，采用目的抽样法。本研究使用的工具是问卷调查和访谈。应用的开发工具包括：1.ASP.NET 2.PHP 3.Apache Java 4.SQL Server。数据分析统计方法包括频数、百分比、均值和标准差。结果显示，在老年人公共卫生支持应用的试用中，性能和满意度评估表的总体评估结果为均值4.57，标准差0.54，表明该应用获得了极高的满意度。该应用可在Google Play上下载，名称为“PHS Application”。</w:t>
      </w:r>
    </w:p>
    <w:p w14:paraId="49776866">
      <w:pPr>
        <w:keepNext w:val="0"/>
        <w:keepLines w:val="0"/>
        <w:widowControl/>
        <w:suppressLineNumbers w:val="0"/>
        <w:bidi w:val="0"/>
        <w:spacing w:before="273" w:beforeAutospacing="0" w:after="126" w:afterAutospacing="0"/>
        <w:ind w:firstLine="420" w:firstLineChars="0"/>
        <w:jc w:val="left"/>
        <w:rPr>
          <w:rFonts w:hint="eastAsia" w:ascii="黑体" w:hAnsi="黑体" w:eastAsia="黑体" w:cs="黑体"/>
          <w:i/>
          <w:iCs/>
          <w:color w:val="000000"/>
          <w:kern w:val="0"/>
          <w:sz w:val="24"/>
          <w:szCs w:val="24"/>
          <w:lang w:val="en-US" w:eastAsia="zh-CN" w:bidi="ar"/>
        </w:rPr>
      </w:pPr>
      <w:r>
        <w:rPr>
          <w:rFonts w:hint="eastAsia" w:ascii="黑体" w:hAnsi="黑体" w:eastAsia="黑体" w:cs="黑体"/>
          <w:i/>
          <w:iCs/>
          <w:color w:val="000000"/>
          <w:kern w:val="0"/>
          <w:sz w:val="24"/>
          <w:szCs w:val="24"/>
          <w:lang w:val="en-US" w:eastAsia="zh-CN" w:bidi="ar"/>
        </w:rPr>
        <w:t>关键词:老年人、应用、公共卫生支持、TAM模型</w:t>
      </w:r>
    </w:p>
    <w:p w14:paraId="62C4B872">
      <w:pPr>
        <w:keepNext w:val="0"/>
        <w:keepLines w:val="0"/>
        <w:widowControl/>
        <w:suppressLineNumbers w:val="0"/>
        <w:bidi w:val="0"/>
        <w:spacing w:before="273" w:beforeAutospacing="0" w:after="126" w:afterAutospacing="0"/>
        <w:jc w:val="center"/>
        <w:rPr>
          <w:rFonts w:hint="eastAsia" w:ascii="黑体" w:hAnsi="黑体" w:eastAsia="黑体" w:cs="黑体"/>
          <w:b w:val="0"/>
          <w:bCs w:val="0"/>
          <w:i w:val="0"/>
          <w:iCs w:val="0"/>
          <w:color w:val="000000"/>
          <w:kern w:val="0"/>
          <w:sz w:val="32"/>
          <w:szCs w:val="32"/>
          <w:lang w:val="en-US" w:eastAsia="zh-CN" w:bidi="ar"/>
        </w:rPr>
      </w:pPr>
      <w:r>
        <w:rPr>
          <w:rFonts w:hint="eastAsia" w:ascii="黑体" w:hAnsi="黑体" w:eastAsia="黑体" w:cs="黑体"/>
          <w:b w:val="0"/>
          <w:bCs w:val="0"/>
          <w:i w:val="0"/>
          <w:iCs w:val="0"/>
          <w:color w:val="000000"/>
          <w:kern w:val="0"/>
          <w:sz w:val="32"/>
          <w:szCs w:val="32"/>
          <w:lang w:val="en-US" w:eastAsia="zh-CN" w:bidi="ar"/>
        </w:rPr>
        <w:t>1 引言</w:t>
      </w:r>
    </w:p>
    <w:p w14:paraId="58FC0C3D">
      <w:pPr>
        <w:keepNext w:val="0"/>
        <w:keepLines w:val="0"/>
        <w:widowControl/>
        <w:suppressLineNumbers w:val="0"/>
        <w:bidi w:val="0"/>
        <w:ind w:firstLine="420"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泰国已经进入了一个完全的老龄化社会，老年人口超过1300万，在东盟国家中位居第二，仅次于新加坡。进入老龄化社会是一个重要的动态，对全球社会和泰国都产生了深远的影响。特别是，泰国自2005年起就已进入老龄化社会，预计在未来6年内，即2024年，将过渡到高龄社会。泰华农民研究中心（2018年）估计，到2024年，泰国65岁及以上的老年人口将增加到14.0% 。</w:t>
      </w:r>
    </w:p>
    <w:p w14:paraId="3AD8109A">
      <w:pPr>
        <w:keepNext w:val="0"/>
        <w:keepLines w:val="0"/>
        <w:widowControl/>
        <w:suppressLineNumbers w:val="0"/>
        <w:bidi w:val="0"/>
        <w:ind w:firstLine="420"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此外，估计显示，每10个泰国人中就有一个是60岁或以上的老年人。未来20年内，预计这一老年人口将上升到每5人中就有一个，并转变为“超高龄社会”。据估计，到2040年，泰国的老年人口将占总人口的30%，即2000万人，或者说每3个泰国人中就有一个是老年人。此外，预计80岁及以上的人口可能达到350万人。老年人口最多的省份是曼谷，超过100万人（17.98%），其次是呵叻、清迈、孔敬和乌汶叻差他尼 。</w:t>
      </w:r>
    </w:p>
    <w:p w14:paraId="1157ED24">
      <w:pPr>
        <w:keepNext w:val="0"/>
        <w:keepLines w:val="0"/>
        <w:widowControl/>
        <w:suppressLineNumbers w:val="0"/>
        <w:bidi w:val="0"/>
        <w:ind w:firstLine="420"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Khlong Lad Phrao 是另一个位于Lad Phrao运河沿岸的社区，该运河全长24公里，涵盖6个区域（Sai Mai、Don Mueang、Chatuchak、Lak Si、Bang Khen和Lad Phrao）。这是一个人口密集的社区，每平方公里有4,847.27人，共有74,692名男性、84,822名女性，总人口159,514人，居住在101,602户房屋中。</w:t>
      </w:r>
    </w:p>
    <w:p w14:paraId="6D7ED5CF">
      <w:pPr>
        <w:keepNext w:val="0"/>
        <w:keepLines w:val="0"/>
        <w:widowControl/>
        <w:suppressLineNumbers w:val="0"/>
        <w:bidi w:val="0"/>
        <w:ind w:firstLine="420"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此外，老年人口的增长趋势不断上升，估计占全国总人口的15%。因此，政府更加重视老年人，这与国家20年战略（2015-2034年）的愿景相一致。这包括提供合适的就业机会，创造一个关注人力资源开发的环境和创新，确保与21世纪学习相适应的优质教育和学习，以及预防和控制社会健康决定因素，为每个人创造一个健康和适当的状态。这其中包括被称为“曼谷公共卫生志愿者”的村卫生志愿者，他们代表着社区。</w:t>
      </w:r>
    </w:p>
    <w:p w14:paraId="779B9B2E">
      <w:pPr>
        <w:keepNext w:val="0"/>
        <w:keepLines w:val="0"/>
        <w:widowControl/>
        <w:suppressLineNumbers w:val="0"/>
        <w:bidi w:val="0"/>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然而，实地调查和对公共卫生志愿者的访谈显示，他们在及时接触生病的老年人方面仍面临困难，导致基本医疗保健的延迟和对老年人缺乏长期持续的护理。此外，社区缺乏基本的健康数据和沟通工具，无法在紧急情况下与附近的公立和私立医院协调，这使得公共卫生志愿者缺乏适当的、与社区相适应的资源。因此，研究人员认识到研究开发一款支持老年人公共卫生的应用的重要性。本研究文章将回顾和分析文献，包括技术接受模型（TAM），以提供对老年人公共卫生支持应用的开发和实施的见解。这将有益于公共卫生志愿者，降低老年人死亡风险，并增强国家未来的公共卫生工作。</w:t>
      </w:r>
    </w:p>
    <w:p w14:paraId="54929364">
      <w:pPr>
        <w:keepNext w:val="0"/>
        <w:keepLines w:val="0"/>
        <w:widowControl/>
        <w:suppressLineNumbers w:val="0"/>
        <w:bidi w:val="0"/>
        <w:ind w:firstLine="420" w:firstLineChars="0"/>
        <w:jc w:val="center"/>
        <w:rPr>
          <w:rFonts w:hint="eastAsia" w:ascii="黑体" w:hAnsi="黑体" w:eastAsia="黑体" w:cs="黑体"/>
          <w:color w:val="000000"/>
          <w:kern w:val="0"/>
          <w:sz w:val="32"/>
          <w:szCs w:val="32"/>
          <w:lang w:val="en-US" w:eastAsia="zh-CN" w:bidi="ar"/>
        </w:rPr>
      </w:pPr>
      <w:r>
        <w:rPr>
          <w:rFonts w:hint="eastAsia" w:ascii="黑体" w:hAnsi="黑体" w:eastAsia="黑体" w:cs="黑体"/>
          <w:color w:val="000000"/>
          <w:kern w:val="0"/>
          <w:sz w:val="32"/>
          <w:szCs w:val="32"/>
          <w:lang w:val="en-US" w:eastAsia="zh-CN" w:bidi="ar"/>
        </w:rPr>
        <w:t>2 文献综述</w:t>
      </w:r>
    </w:p>
    <w:p w14:paraId="29777365">
      <w:pPr>
        <w:keepNext w:val="0"/>
        <w:keepLines w:val="0"/>
        <w:widowControl/>
        <w:suppressLineNumbers w:val="0"/>
        <w:jc w:val="left"/>
        <w:rPr>
          <w:rFonts w:hint="eastAsia" w:ascii="黑体" w:hAnsi="黑体" w:eastAsia="黑体" w:cs="黑体"/>
          <w:color w:val="000000"/>
          <w:sz w:val="30"/>
          <w:szCs w:val="30"/>
        </w:rPr>
      </w:pPr>
      <w:r>
        <w:rPr>
          <w:rFonts w:hint="eastAsia" w:ascii="黑体" w:hAnsi="黑体" w:eastAsia="黑体" w:cs="黑体"/>
          <w:color w:val="000000"/>
          <w:kern w:val="0"/>
          <w:sz w:val="30"/>
          <w:szCs w:val="30"/>
          <w:lang w:val="en-US" w:eastAsia="zh-CN" w:bidi="ar"/>
        </w:rPr>
        <w:t>2.1 技术接受模型（TAM）</w:t>
      </w:r>
    </w:p>
    <w:p w14:paraId="6DD3CA61">
      <w:pPr>
        <w:keepNext w:val="0"/>
        <w:keepLines w:val="0"/>
        <w:widowControl/>
        <w:suppressLineNumbers w:val="0"/>
        <w:bidi w:val="0"/>
        <w:ind w:firstLine="420"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技术接受模型（TAM）解释了影响人们使用技术意愿的因素。它包括四个变量：外部变量、感知有用性（PU）、感知易用性（PEOU）和使用态度。根据TAM理论，使用态度受到从技术中获得的感知利益以及系统易用性感知的影响。行为使用意愿则受到使用态度和技术感知利益的影响，最终导致实际使用的接受。然而，要完全理解个人对技术的接受，还需要增加其他变量。I.F.R. Green（2005年）和V. Venkatesh、F. Davis（2000年）的研究表明，有必要解释人们感知信息系统利益的原因。</w:t>
      </w:r>
    </w:p>
    <w:p w14:paraId="6059E79B">
      <w:pPr>
        <w:keepNext w:val="0"/>
        <w:keepLines w:val="0"/>
        <w:widowControl/>
        <w:suppressLineNumbers w:val="0"/>
        <w:bidi w:val="0"/>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技术接受模型（TAM）是对人类行为的研究，旨在解释个人如何以及为什么接受新技术。该模型由Davis（1989年）提出，源自Ajzen和Fishbein（1980年）的理性行为理论（TRA）。然而，相较于理性行为理论，技术接受模型（TAM）更为人所知。理性行为理论关注消费者的普遍行为，而TAM则聚焦于信息技术用户的态度（Mathieson et al. 2001）。图1展示了该模型的结构。</w:t>
      </w:r>
    </w:p>
    <w:p w14:paraId="5BC2E7A1">
      <w:pPr>
        <w:keepNext w:val="0"/>
        <w:keepLines w:val="0"/>
        <w:widowControl/>
        <w:suppressLineNumbers w:val="0"/>
        <w:bidi w:val="0"/>
        <w:jc w:val="left"/>
        <w:rPr>
          <w:rFonts w:hint="eastAsia" w:ascii="宋体" w:hAnsi="宋体" w:eastAsia="宋体" w:cs="宋体"/>
          <w:color w:val="000000"/>
          <w:kern w:val="0"/>
          <w:sz w:val="24"/>
          <w:szCs w:val="24"/>
          <w:lang w:val="en-US" w:eastAsia="zh-CN" w:bidi="ar"/>
        </w:rPr>
      </w:pPr>
      <w:r>
        <w:drawing>
          <wp:inline distT="0" distB="0" distL="114300" distR="114300">
            <wp:extent cx="5266690" cy="1833880"/>
            <wp:effectExtent l="0" t="0" r="635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1833880"/>
                    </a:xfrm>
                    <a:prstGeom prst="rect">
                      <a:avLst/>
                    </a:prstGeom>
                    <a:noFill/>
                    <a:ln>
                      <a:noFill/>
                    </a:ln>
                  </pic:spPr>
                </pic:pic>
              </a:graphicData>
            </a:graphic>
          </wp:inline>
        </w:drawing>
      </w:r>
    </w:p>
    <w:p w14:paraId="24AA5EE1">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图1. 技术接受模型（TAM）</w:t>
      </w:r>
    </w:p>
    <w:p w14:paraId="6E0FE11A">
      <w:pPr>
        <w:keepNext w:val="0"/>
        <w:keepLines w:val="0"/>
        <w:widowControl/>
        <w:suppressLineNumbers w:val="0"/>
        <w:bidi w:val="0"/>
        <w:ind w:firstLine="420"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技术接受模型（TAM）认为，塑造个人感知的外部变量会影响个人对技术的接受。这些变量包括知识、信念、经验和社会行为，并导致技术接受过程中的五个阶段：</w:t>
      </w:r>
    </w:p>
    <w:p w14:paraId="68CA0C25">
      <w:pPr>
        <w:keepNext w:val="0"/>
        <w:keepLines w:val="0"/>
        <w:widowControl/>
        <w:numPr>
          <w:ilvl w:val="0"/>
          <w:numId w:val="1"/>
        </w:numPr>
        <w:suppressLineNumbers w:val="0"/>
        <w:bidi w:val="0"/>
        <w:spacing w:before="0" w:beforeAutospacing="0"/>
        <w:ind w:left="845" w:leftChars="0" w:hanging="425"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感知有用性（PU）：指个人认为使用特定技术会提高其绩效的程度。</w:t>
      </w:r>
    </w:p>
    <w:p w14:paraId="5FBFFE45">
      <w:pPr>
        <w:keepNext w:val="0"/>
        <w:keepLines w:val="0"/>
        <w:widowControl/>
        <w:numPr>
          <w:ilvl w:val="0"/>
          <w:numId w:val="1"/>
        </w:numPr>
        <w:suppressLineNumbers w:val="0"/>
        <w:bidi w:val="0"/>
        <w:spacing w:before="168" w:beforeAutospacing="0"/>
        <w:ind w:left="845" w:leftChars="0" w:hanging="425"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感知易用性（PEOU）：指个人认为使用特定系统无需费力的程度。</w:t>
      </w:r>
    </w:p>
    <w:p w14:paraId="38EA0F46">
      <w:pPr>
        <w:keepNext w:val="0"/>
        <w:keepLines w:val="0"/>
        <w:widowControl/>
        <w:numPr>
          <w:ilvl w:val="0"/>
          <w:numId w:val="1"/>
        </w:numPr>
        <w:suppressLineNumbers w:val="0"/>
        <w:bidi w:val="0"/>
        <w:spacing w:before="168" w:beforeAutospacing="0"/>
        <w:ind w:left="0" w:leftChars="0" w:firstLine="420"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态度：对使用某物的态度包括行为、使用意图和实际使用。Allport和G. W.（1968年）指出，态度受到系统感知有用性和易用性的影响。如果用户认为技术有用且易于使用，他们将对其产生积极态度。这种积极态度也会影响他们的使用意图。当用户有意使用技术时，他们会感觉自己应该使用真正的技术。</w:t>
      </w:r>
    </w:p>
    <w:p w14:paraId="7FF4DBF5">
      <w:pPr>
        <w:keepNext w:val="0"/>
        <w:keepLines w:val="0"/>
        <w:widowControl/>
        <w:numPr>
          <w:ilvl w:val="0"/>
          <w:numId w:val="1"/>
        </w:numPr>
        <w:suppressLineNumbers w:val="0"/>
        <w:bidi w:val="0"/>
        <w:spacing w:before="168" w:beforeAutospacing="0"/>
        <w:ind w:left="845" w:leftChars="0" w:hanging="425"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行为使用意图（BI）：指用户尝试使用技术和信息技术的行为或兴趣。</w:t>
      </w:r>
    </w:p>
    <w:p w14:paraId="65C3A486">
      <w:pPr>
        <w:keepNext w:val="0"/>
        <w:keepLines w:val="0"/>
        <w:widowControl/>
        <w:numPr>
          <w:ilvl w:val="0"/>
          <w:numId w:val="1"/>
        </w:numPr>
        <w:suppressLineNumbers w:val="0"/>
        <w:bidi w:val="0"/>
        <w:spacing w:before="168" w:beforeAutospacing="0"/>
        <w:ind w:left="0" w:leftChars="0" w:firstLine="420"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实际系统使用：指实施和采用技术的过程。当感知利益和易用性产生使用兴趣和意图时，最终导致技术的接受和实际使用。</w:t>
      </w:r>
    </w:p>
    <w:p w14:paraId="11EB3670">
      <w:pPr>
        <w:keepNext w:val="0"/>
        <w:keepLines w:val="0"/>
        <w:widowControl/>
        <w:suppressLineNumbers w:val="0"/>
        <w:bidi w:val="0"/>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文献回顾得出结论，公共卫生志愿者将持续使用技术来支持老年人群。公共卫生志愿者需要对这项技术持积极态度。Ajzen和Fishbein（1980年）在他们的理性行为理论（TRA）中发现，态度影响行动。</w:t>
      </w:r>
    </w:p>
    <w:p w14:paraId="0CA97736">
      <w:pPr>
        <w:keepNext w:val="0"/>
        <w:keepLines w:val="0"/>
        <w:widowControl/>
        <w:suppressLineNumbers w:val="0"/>
        <w:bidi w:val="0"/>
        <w:jc w:val="left"/>
        <w:rPr>
          <w:rFonts w:hint="eastAsia" w:ascii="宋体" w:hAnsi="宋体" w:eastAsia="宋体" w:cs="宋体"/>
          <w:color w:val="000000"/>
          <w:kern w:val="0"/>
          <w:sz w:val="24"/>
          <w:szCs w:val="24"/>
          <w:lang w:val="en-US" w:eastAsia="zh-CN" w:bidi="ar"/>
        </w:rPr>
      </w:pPr>
      <w:r>
        <w:drawing>
          <wp:inline distT="0" distB="0" distL="114300" distR="114300">
            <wp:extent cx="5273040" cy="259842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3040" cy="2598420"/>
                    </a:xfrm>
                    <a:prstGeom prst="rect">
                      <a:avLst/>
                    </a:prstGeom>
                    <a:noFill/>
                    <a:ln>
                      <a:noFill/>
                    </a:ln>
                  </pic:spPr>
                </pic:pic>
              </a:graphicData>
            </a:graphic>
          </wp:inline>
        </w:drawing>
      </w:r>
    </w:p>
    <w:p w14:paraId="318C2EBA">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图2. 理性行为理论（TRA）</w:t>
      </w:r>
    </w:p>
    <w:p w14:paraId="10D5F8FA">
      <w:pPr>
        <w:keepNext w:val="0"/>
        <w:keepLines w:val="0"/>
        <w:widowControl/>
        <w:suppressLineNumbers w:val="0"/>
        <w:bidi w:val="0"/>
        <w:ind w:firstLine="420" w:firstLineChars="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首先，提高对技术利益的认识非常重要。这将帮助公共卫生志愿者对他们将获得的利益有明确的期望，然后决定是否持续使用。通过培养对技术的积极态度，发现Davis（1985年）开发的技术接受模型（TAM）是衡量客户对技术接受程度最广泛使用的模型。此外，技术接受模型（TAM）将与技术接受相关的因素分为两个主要问题：感知利益和感知易用性。这两个因素影响对技术的态度发展，可能导致因积极态度而产生的满意感。这些信息已在先前的文献回顾中提供。</w:t>
      </w:r>
    </w:p>
    <w:p w14:paraId="5E53BFD7">
      <w:pPr>
        <w:jc w:val="left"/>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2.2 老龄化理论</w:t>
      </w:r>
    </w:p>
    <w:p w14:paraId="478EB235">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世界卫生组织将老年人定义为60岁及以上的人。这也包括因经济条件而退休的人，或因社会和文化规范而被社会视为老年人的人。</w:t>
      </w:r>
    </w:p>
    <w:p w14:paraId="0FF7D8D9">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在1982年的世界大会上，联合国将“老年人”定义为60岁及以上的个人，包括男性和女性。</w:t>
      </w:r>
    </w:p>
    <w:p w14:paraId="42FE5038">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根据Bunlu Siripanich（2001年），“老年人”指一个人从出生、成长为儿童、成年，最终成为老年人。我们也称他们为“老人”或“长者”。然而，仔细观察发现，我们可以区分用来指代老年人的术语，如下：</w:t>
      </w:r>
    </w:p>
    <w:p w14:paraId="389572E6">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首先，提高对技术利益的认识非常重要。这将帮助公共卫生志愿者对他们将获得的利益有明确的期望。</w:t>
      </w:r>
    </w:p>
    <w:p w14:paraId="0D130732">
      <w:pPr>
        <w:numPr>
          <w:ilvl w:val="0"/>
          <w:numId w:val="2"/>
        </w:numPr>
        <w:ind w:left="0" w:leftChars="0" w:firstLine="420" w:firstLineChars="175"/>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身体特征：显示老龄化的特征，导致使用“老人”、“老年者”或“老头”等称呼。</w:t>
      </w:r>
    </w:p>
    <w:p w14:paraId="34910AF3">
      <w:pPr>
        <w:numPr>
          <w:ilvl w:val="0"/>
          <w:numId w:val="2"/>
        </w:numPr>
        <w:ind w:left="0" w:leftChars="0" w:firstLine="420" w:firstLineChars="175"/>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年龄特征：根据日历年龄来称呼，通常在西方、欧洲和美国文化中，65岁及以上的人常被视为老年人。然而，在亚洲地区，60岁及以上的人被视为老年人，尽管国际上普遍认为他们应被视为高龄公民。</w:t>
      </w:r>
    </w:p>
    <w:p w14:paraId="46BB3D9A">
      <w:pPr>
        <w:numPr>
          <w:ilvl w:val="0"/>
          <w:numId w:val="2"/>
        </w:numPr>
        <w:ind w:left="0" w:leftChars="0" w:firstLine="420" w:firstLineChars="175"/>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社会地位：在组织中称呼资深成员时，领导者被视为组织内的权威人物，无论其年龄如何。</w:t>
      </w:r>
    </w:p>
    <w:p w14:paraId="3DF0A08B">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综上所述，“老年人”一词指60岁及以上的个人，包括男性和女性。这一群体可进一步分为两类：早期老年人（60-69岁），晚期老年人（70岁及以上）。这些年龄段包括男性和女性。</w:t>
      </w:r>
    </w:p>
    <w:p w14:paraId="23AF2790">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根据老年人健康评估表对老年人的分类。以下三类适用于老年人：</w:t>
      </w:r>
    </w:p>
    <w:p w14:paraId="4C594E17">
      <w:pPr>
        <w:jc w:val="left"/>
        <w:rPr>
          <w:rFonts w:hint="eastAsia" w:ascii="宋体" w:hAnsi="宋体" w:eastAsia="宋体" w:cs="宋体"/>
          <w:sz w:val="24"/>
          <w:szCs w:val="24"/>
          <w:lang w:val="en-US" w:eastAsia="zh-CN"/>
        </w:rPr>
      </w:pPr>
    </w:p>
    <w:p w14:paraId="0967AEA0">
      <w:pPr>
        <w:numPr>
          <w:ilvl w:val="0"/>
          <w:numId w:val="3"/>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社会参与型（Social bound）：他们是社会活跃且自理的老年人。他们有能力帮助他人，同时为社会和社区做出贡献。他们可以独自上楼、离开家、独立睡觉。他们可以在平坦的地面上独自行走、独立进食和成功使用厕所。</w:t>
      </w:r>
    </w:p>
    <w:p w14:paraId="551BDF81">
      <w:pPr>
        <w:numPr>
          <w:ilvl w:val="0"/>
          <w:numId w:val="3"/>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居家型（Home bound）：老年人在平坦的地面上行走、进食和使用厕所等日常任务时可能需要帮助。</w:t>
      </w:r>
    </w:p>
    <w:p w14:paraId="45FE4F00">
      <w:pPr>
        <w:numPr>
          <w:ilvl w:val="0"/>
          <w:numId w:val="3"/>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卧床型（Bed bound）：不健康且无法自理的老年人，以及残疾人士，可能会在坐或躺时移动困难。他们可能在吞咽食物方面有困难，并可能需要护理人员的帮助。此外，他们可能需要穿戴尿布并定期更换。</w:t>
      </w:r>
    </w:p>
    <w:p w14:paraId="35D78A99">
      <w:pPr>
        <w:jc w:val="left"/>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2.3 公共卫生志愿者的概念</w:t>
      </w:r>
    </w:p>
    <w:p w14:paraId="46762BD7">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共卫生志愿者是从村民中选出的个人，每人负责邻里中至少10户家庭。卫生部规定了他们的培训课程。此外，他们作为改变健康行为的推动者发挥着至关重要的作用，并担任公共卫生传播者。他们提供关于传播知识和协调公共卫生发展活动的指导。此外，村/社区为家庭提供公共卫生服务。平均而言，每人负责10-15户家庭。</w:t>
      </w:r>
    </w:p>
    <w:p w14:paraId="32C81BC6">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公共卫生志愿者的职责和责任包括以下内容：</w:t>
      </w:r>
    </w:p>
    <w:p w14:paraId="78A1637E">
      <w:pPr>
        <w:numPr>
          <w:ilvl w:val="0"/>
          <w:numId w:val="4"/>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促进健康行为：通过充当榜样并鼓励社区参与促进健康、控制疾病和预防疾病的活动。带头组织社区倡议，并邀请邻居参与旨在提高健康和整体生活质量的活动。</w:t>
      </w:r>
    </w:p>
    <w:p w14:paraId="1423B5B0">
      <w:pPr>
        <w:numPr>
          <w:ilvl w:val="0"/>
          <w:numId w:val="4"/>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采取行动保护环境：倡导减少全球变暖。此外，努力预防和控制传染病，并在解决社区内健康问题方面发挥主导作用。</w:t>
      </w:r>
    </w:p>
    <w:p w14:paraId="0A05AA90">
      <w:pPr>
        <w:numPr>
          <w:ilvl w:val="0"/>
          <w:numId w:val="4"/>
        </w:numPr>
        <w:ind w:left="845" w:leftChars="0" w:hanging="425"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参与管理、规划、解决问题和社区发展。</w:t>
      </w:r>
    </w:p>
    <w:p w14:paraId="12D324E9">
      <w:pPr>
        <w:numPr>
          <w:ilvl w:val="0"/>
          <w:numId w:val="4"/>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公共卫生媒体：作为官员和村里居民之间的桥梁。社区可以成为强大的健康传播者。</w:t>
      </w:r>
    </w:p>
    <w:p w14:paraId="7D2FF8B9">
      <w:pPr>
        <w:numPr>
          <w:ilvl w:val="0"/>
          <w:numId w:val="4"/>
        </w:numPr>
        <w:ind w:left="845" w:leftChars="0" w:hanging="425"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与个人、组织和健康合作伙伴团体协调。</w:t>
      </w:r>
    </w:p>
    <w:p w14:paraId="75F002EE">
      <w:pPr>
        <w:numPr>
          <w:ilvl w:val="0"/>
          <w:numId w:val="4"/>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确保为村民提供健康保险和公共卫生福利：发挥领导作用并与社区领导者合作。</w:t>
      </w:r>
    </w:p>
    <w:p w14:paraId="2EFDE29F">
      <w:pPr>
        <w:numPr>
          <w:ilvl w:val="0"/>
          <w:numId w:val="4"/>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为社区提供公共卫生服务：包括基本医疗护理，并为从医疗机构转诊的患者提供后续支持。</w:t>
      </w:r>
    </w:p>
    <w:p w14:paraId="2F9A999C">
      <w:pPr>
        <w:numPr>
          <w:ilvl w:val="0"/>
          <w:numId w:val="4"/>
        </w:numPr>
        <w:ind w:left="845" w:leftChars="0" w:hanging="425"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在初级卫生保健中心或村中指定地点工作。</w:t>
      </w:r>
    </w:p>
    <w:p w14:paraId="6413D9B2">
      <w:pPr>
        <w:numPr>
          <w:ilvl w:val="0"/>
          <w:numId w:val="0"/>
        </w:numPr>
        <w:jc w:val="left"/>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2.4 相关研究和文章</w:t>
      </w:r>
    </w:p>
    <w:p w14:paraId="7480F6A4">
      <w:pPr>
        <w:numPr>
          <w:ilvl w:val="0"/>
          <w:numId w:val="0"/>
        </w:num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Nopparit Srithiang 和 Pichitchai Putklang（2019年）开发了应用系统和设备，通过从加速度计和陀螺仪中感知活动并提取特征（特征提取）来跟踪老年人的行为[10]。该应用在数据准备的预处理阶段使用机器学习对活动进行分类，然后显示活动结果，并在老年人绊倒时发出警报。这项工作将使用户能够尽快帮助老年人，并方便为他们安排医生预约。</w:t>
      </w:r>
    </w:p>
    <w:p w14:paraId="6E380EFE">
      <w:pPr>
        <w:keepNext w:val="0"/>
        <w:keepLines w:val="0"/>
        <w:widowControl/>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Suparat Kaewserm（2020年）进行了一项关于开发老年人护理智能手机应用的研究。该应用的目标是扩大老年人的医疗咨询选择。例如，在“COVID-19”大流行期间，患者或其护理人员可以使用该应用寻求医疗建议并请求紧急医疗援助。该应用还可以根据指定坐标为医疗车辆提供导航指导，以到达患者的位置。研究人员评估了样本组对该应用的用户满意度。调查结果显示，受访者对老年人护理智能手机应用的整体满意度平均为 </w:t>
      </w:r>
      <w:r>
        <w:rPr>
          <w:rFonts w:ascii="Cambria Math" w:hAnsi="Cambria Math" w:eastAsia="Cambria Math" w:cs="Cambria Math"/>
          <w:color w:val="0D0D0D"/>
          <w:kern w:val="0"/>
          <w:sz w:val="24"/>
          <w:szCs w:val="24"/>
          <w:lang w:val="en-US" w:eastAsia="zh-CN" w:bidi="ar"/>
        </w:rPr>
        <w:t>𝑥̅</w:t>
      </w:r>
      <w:r>
        <w:rPr>
          <w:rFonts w:hint="eastAsia" w:ascii="Cambria Math" w:hAnsi="Cambria Math" w:eastAsia="Cambria Math" w:cs="Cambria Math"/>
          <w:color w:val="0D0D0D"/>
          <w:kern w:val="0"/>
          <w:sz w:val="20"/>
          <w:szCs w:val="20"/>
          <w:lang w:val="en-US" w:eastAsia="zh-CN" w:bidi="ar"/>
        </w:rPr>
        <w:t xml:space="preserve"> </w:t>
      </w:r>
      <w:r>
        <w:rPr>
          <w:rFonts w:hint="eastAsia" w:ascii="宋体" w:hAnsi="宋体" w:eastAsia="宋体" w:cs="宋体"/>
          <w:sz w:val="24"/>
          <w:szCs w:val="24"/>
          <w:lang w:val="en-US" w:eastAsia="zh-CN"/>
        </w:rPr>
        <w:t>= 4.46，标准差为 S.D. = 0.57。</w:t>
      </w:r>
    </w:p>
    <w:p w14:paraId="40F2F754">
      <w:pPr>
        <w:numPr>
          <w:ilvl w:val="0"/>
          <w:numId w:val="0"/>
        </w:num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Pawaphan Khamthab 和 Teeraphong Wiriyanon（2022年）研究了基于老龄化社会中数字技术的多用户界面设计，目标是为老年人设计用户界面。使用可用性评估表收集数据。研究表明，老年人用户界面设计质量高，包括图形、触摸和音频用户界面。</w:t>
      </w:r>
    </w:p>
    <w:p w14:paraId="2DE079EC">
      <w:pPr>
        <w:numPr>
          <w:ilvl w:val="0"/>
          <w:numId w:val="0"/>
        </w:num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Thosaporn Sangkangwan（2022年）进行了一项研究，重点是设计和开发照顾老年人福利的应用。目标是测试该应用在照顾老年人福利方面的效率。三位专家进行了测试，以评估应用的设计和性能质量，其中还包括用户满意度评估。样本群体由50名居住在曼谷的老年人组成。结果显示，样本组对应用的设计满意度平均得分为4.04，表明满意水平较高。在效率方面，平均得分为4.0，也表明满意水平较高。这说明了应用的可行性。</w:t>
      </w:r>
    </w:p>
    <w:p w14:paraId="11F42ABC">
      <w:pPr>
        <w:numPr>
          <w:ilvl w:val="0"/>
          <w:numId w:val="0"/>
        </w:num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究人员发现，基于对相关文献的回顾，当老年人和公共卫生志愿者认为应用有用且易于使用时，应用开发最为有效。这种意识导致老年人对使用该应用持积极态度。随着时间的推移，这种积极态度促进了使用该应用的行为和意图的形成，最终导致其实际使用。这一发现与前面提到的技术接受模型（TAM）一致。</w:t>
      </w:r>
    </w:p>
    <w:p w14:paraId="3D91897C">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 研究方法</w:t>
      </w:r>
    </w:p>
    <w:p w14:paraId="60146B7C">
      <w:pPr>
        <w:numPr>
          <w:ilvl w:val="1"/>
          <w:numId w:val="3"/>
        </w:numPr>
        <w:jc w:val="left"/>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数据收集</w:t>
      </w:r>
    </w:p>
    <w:p w14:paraId="00B6FC2E">
      <w:pPr>
        <w:numPr>
          <w:ilvl w:val="0"/>
          <w:numId w:val="0"/>
        </w:numPr>
        <w:ind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研究中，研究者通过深度访谈收集数据，以获取详细信息并解决研究目标。访谈对象包括来自曼谷Chatuchak区第51公共卫生中心的3位高层和中层管理人员，以及15位公共卫生志愿者。我们还使用问卷调查来评估应用的有效性和满意度。共有48名受访者参与，包括30位老年人、15位公共卫生志愿者和3位信息技术专家。</w:t>
      </w:r>
    </w:p>
    <w:p w14:paraId="60671665">
      <w:pPr>
        <w:numPr>
          <w:ilvl w:val="0"/>
          <w:numId w:val="0"/>
        </w:numPr>
        <w:ind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采用定性分析方法，通过数据分类（即分类法）对深度访谈获得的数据进行分析。同时，还进行定量分析，使用统计方法评估应用的使用效率和满意度。所采用的统计方法包括确定所得数据的频率和百分比，以及计算均值和标准差。</w:t>
      </w:r>
    </w:p>
    <w:p w14:paraId="58786E51">
      <w:pPr>
        <w:numPr>
          <w:ilvl w:val="0"/>
          <w:numId w:val="0"/>
        </w:numPr>
        <w:ind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研究者将系统开发生命周期（SDLC）理论的原则应用于系统开发，该理论包括以下五个步骤：</w:t>
      </w:r>
    </w:p>
    <w:p w14:paraId="2A38F2E1">
      <w:pPr>
        <w:numPr>
          <w:ilvl w:val="0"/>
          <w:numId w:val="5"/>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规划。研究者积极参与社区，收集重要信息，分析相关问题，并确定具体需求。我们对样本组进行了深度访谈，选择了关键的社区问题作为研究重点，分析了这些问题的根本原因，并探讨了相关原则、理论、相关研究和开发项目以及用户界面设计。</w:t>
      </w:r>
    </w:p>
    <w:p w14:paraId="139B0699">
      <w:pPr>
        <w:numPr>
          <w:ilvl w:val="0"/>
          <w:numId w:val="5"/>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分析与设计。研究者使用面向对象编程的原则和用例图（use case diagram）来展示系统的整体功能以及用户与系统的交互。此外，研究者将用户分为三组：公共卫生志愿者、老年人和系统管理员。用户可以申请会员资格并访问有关老年人的信息。图3提供了用例图的详细信息。</w:t>
      </w:r>
    </w:p>
    <w:p w14:paraId="0F04DFF7">
      <w:pPr>
        <w:numPr>
          <w:ilvl w:val="0"/>
          <w:numId w:val="0"/>
        </w:numPr>
        <w:jc w:val="left"/>
        <w:rPr>
          <w:rFonts w:hint="eastAsia" w:ascii="宋体" w:hAnsi="宋体" w:eastAsia="宋体" w:cs="宋体"/>
          <w:sz w:val="24"/>
          <w:szCs w:val="24"/>
          <w:lang w:val="en-US" w:eastAsia="zh-CN"/>
        </w:rPr>
      </w:pPr>
      <w:r>
        <w:drawing>
          <wp:inline distT="0" distB="0" distL="114300" distR="114300">
            <wp:extent cx="5269230" cy="2793365"/>
            <wp:effectExtent l="0" t="0" r="381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9230" cy="2793365"/>
                    </a:xfrm>
                    <a:prstGeom prst="rect">
                      <a:avLst/>
                    </a:prstGeom>
                    <a:noFill/>
                    <a:ln>
                      <a:noFill/>
                    </a:ln>
                  </pic:spPr>
                </pic:pic>
              </a:graphicData>
            </a:graphic>
          </wp:inline>
        </w:drawing>
      </w:r>
      <w:r>
        <w:rPr>
          <w:rFonts w:hint="eastAsia" w:ascii="宋体" w:hAnsi="宋体" w:eastAsia="宋体" w:cs="宋体"/>
          <w:sz w:val="24"/>
          <w:szCs w:val="24"/>
          <w:lang w:val="en-US" w:eastAsia="zh-CN"/>
        </w:rPr>
        <w:t xml:space="preserve"> </w:t>
      </w:r>
    </w:p>
    <w:p w14:paraId="59C22765">
      <w:pPr>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图3. 用例图</w:t>
      </w:r>
    </w:p>
    <w:p w14:paraId="6B828032">
      <w:pPr>
        <w:numPr>
          <w:ilvl w:val="0"/>
          <w:numId w:val="0"/>
        </w:num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然而，我们通过数据加密、用户身份验证和安全的数据管理系统严格保护用户的个人信息，防止未经授权的访问。此外，研究者开发了一个类图（class diagram），展示了系统的类及其关系。该图包括四个组：管理员、会员、老年人、公共卫生志愿者、医院和锻炼项目，如图4所示。</w:t>
      </w:r>
    </w:p>
    <w:p w14:paraId="29DB2EBA">
      <w:pPr>
        <w:numPr>
          <w:ilvl w:val="0"/>
          <w:numId w:val="0"/>
        </w:numPr>
        <w:jc w:val="center"/>
        <w:rPr>
          <w:rFonts w:hint="eastAsia" w:ascii="宋体" w:hAnsi="宋体" w:eastAsia="宋体" w:cs="宋体"/>
          <w:sz w:val="24"/>
          <w:szCs w:val="24"/>
          <w:lang w:val="en-US" w:eastAsia="zh-CN"/>
        </w:rPr>
      </w:pPr>
      <w:r>
        <w:drawing>
          <wp:inline distT="0" distB="0" distL="114300" distR="114300">
            <wp:extent cx="4189730" cy="4020820"/>
            <wp:effectExtent l="0" t="0" r="127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4189730" cy="4020820"/>
                    </a:xfrm>
                    <a:prstGeom prst="rect">
                      <a:avLst/>
                    </a:prstGeom>
                    <a:noFill/>
                    <a:ln>
                      <a:noFill/>
                    </a:ln>
                  </pic:spPr>
                </pic:pic>
              </a:graphicData>
            </a:graphic>
          </wp:inline>
        </w:drawing>
      </w:r>
    </w:p>
    <w:p w14:paraId="43E44D82">
      <w:pPr>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 类图</w:t>
      </w:r>
    </w:p>
    <w:p w14:paraId="3C150AF3">
      <w:pPr>
        <w:numPr>
          <w:ilvl w:val="0"/>
          <w:numId w:val="5"/>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开发。研究者使用ASP.NET和Java等编程语言以及SQL Server等数据库创建开发应用。此外，我们使用PHP Apache模拟服务器。</w:t>
      </w:r>
    </w:p>
    <w:p w14:paraId="08B70204">
      <w:pPr>
        <w:numPr>
          <w:ilvl w:val="0"/>
          <w:numId w:val="5"/>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测试。研究者测试了功能的互操作性，发现所有应用都正常工作，数据可靠。测试者包括信息技术专家、公共卫生志愿者和老年人。在完成应用后，研究者准备了一份来自Chandrakasem Rajabhat大学的正式信函，提交给Google Play泰国公司。该信函证明该应用包含在研究中，并保证用户个人信息的保密性。然后，研究者将开发的应用和数据库提交到Google Play系统。</w:t>
      </w:r>
    </w:p>
    <w:p w14:paraId="3944710C">
      <w:pPr>
        <w:numPr>
          <w:ilvl w:val="0"/>
          <w:numId w:val="5"/>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维护。目标为性能提升（Perfective Maintenance）。该应用旨在提高性能并增强用户体验，使用户能够全天24小时更轻松、方便地使用。此外，研究者为公共卫生志愿者和老年人准备了用户手册和应用使用培训。这使用户能够更自信、更安全地使用该应用。</w:t>
      </w:r>
    </w:p>
    <w:p w14:paraId="43AAA8EE">
      <w:pPr>
        <w:numPr>
          <w:ilvl w:val="0"/>
          <w:numId w:val="0"/>
        </w:num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4 结果</w:t>
      </w:r>
    </w:p>
    <w:p w14:paraId="6D6124D5">
      <w:pPr>
        <w:numPr>
          <w:ilvl w:val="0"/>
          <w:numId w:val="0"/>
        </w:num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我们为Android操作系统开发了这款应用。该应用可以通过Google Play下载，应用名称为“PHS Application”。</w:t>
      </w:r>
    </w:p>
    <w:p w14:paraId="119A6430">
      <w:pPr>
        <w:numPr>
          <w:ilvl w:val="0"/>
          <w:numId w:val="0"/>
        </w:numPr>
        <w:jc w:val="center"/>
        <w:rPr>
          <w:rFonts w:hint="eastAsia" w:ascii="宋体" w:hAnsi="宋体" w:eastAsia="宋体" w:cs="宋体"/>
          <w:sz w:val="24"/>
          <w:szCs w:val="24"/>
          <w:lang w:val="en-US" w:eastAsia="zh-CN"/>
        </w:rPr>
      </w:pPr>
      <w:r>
        <w:drawing>
          <wp:inline distT="0" distB="0" distL="114300" distR="114300">
            <wp:extent cx="4791075" cy="2000250"/>
            <wp:effectExtent l="0" t="0" r="952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4791075" cy="2000250"/>
                    </a:xfrm>
                    <a:prstGeom prst="rect">
                      <a:avLst/>
                    </a:prstGeom>
                    <a:noFill/>
                    <a:ln>
                      <a:noFill/>
                    </a:ln>
                  </pic:spPr>
                </pic:pic>
              </a:graphicData>
            </a:graphic>
          </wp:inline>
        </w:drawing>
      </w:r>
    </w:p>
    <w:p w14:paraId="71E2368D">
      <w:pPr>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图5. PHS Application可从Google Play下载</w:t>
      </w:r>
    </w:p>
    <w:p w14:paraId="7F9F2340">
      <w:pPr>
        <w:numPr>
          <w:ilvl w:val="0"/>
          <w:numId w:val="0"/>
        </w:numPr>
        <w:jc w:val="left"/>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4.1 应用结果</w:t>
      </w:r>
    </w:p>
    <w:p w14:paraId="55B1FE02">
      <w:pPr>
        <w:numPr>
          <w:ilvl w:val="0"/>
          <w:numId w:val="0"/>
        </w:num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该应用的菜单包括为老年人提供公共卫生支持的功能。应用有以下4个主要菜单功能：</w:t>
      </w:r>
    </w:p>
    <w:p w14:paraId="1B85E95F">
      <w:pPr>
        <w:numPr>
          <w:ilvl w:val="0"/>
          <w:numId w:val="6"/>
        </w:numPr>
        <w:ind w:left="0" w:leftChars="0" w:firstLine="420" w:firstLineChars="175"/>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历史菜单：存储老年人的个人信息，例如先天性疾病、治疗权利和治疗历史，如图6-7所示。</w:t>
      </w:r>
    </w:p>
    <w:p w14:paraId="01DA188D">
      <w:pPr>
        <w:numPr>
          <w:ilvl w:val="0"/>
          <w:numId w:val="0"/>
        </w:numPr>
        <w:jc w:val="center"/>
        <w:rPr>
          <w:rFonts w:hint="eastAsia" w:ascii="宋体" w:hAnsi="宋体" w:eastAsia="宋体" w:cs="宋体"/>
          <w:sz w:val="24"/>
          <w:szCs w:val="24"/>
          <w:lang w:val="en-US" w:eastAsia="zh-CN"/>
        </w:rPr>
      </w:pPr>
      <w:r>
        <w:drawing>
          <wp:inline distT="0" distB="0" distL="114300" distR="114300">
            <wp:extent cx="3380105" cy="2536825"/>
            <wp:effectExtent l="0" t="0" r="317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3380105" cy="2536825"/>
                    </a:xfrm>
                    <a:prstGeom prst="rect">
                      <a:avLst/>
                    </a:prstGeom>
                    <a:noFill/>
                    <a:ln>
                      <a:noFill/>
                    </a:ln>
                  </pic:spPr>
                </pic:pic>
              </a:graphicData>
            </a:graphic>
          </wp:inline>
        </w:drawing>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图6. 应用主菜单</w:t>
      </w:r>
    </w:p>
    <w:p w14:paraId="59977C4A">
      <w:pPr>
        <w:numPr>
          <w:ilvl w:val="0"/>
          <w:numId w:val="0"/>
        </w:numPr>
        <w:jc w:val="center"/>
        <w:rPr>
          <w:rFonts w:hint="eastAsia" w:ascii="宋体" w:hAnsi="宋体" w:eastAsia="宋体" w:cs="宋体"/>
          <w:sz w:val="24"/>
          <w:szCs w:val="24"/>
          <w:lang w:val="en-US" w:eastAsia="zh-CN"/>
        </w:rPr>
      </w:pPr>
      <w:r>
        <w:drawing>
          <wp:inline distT="0" distB="0" distL="114300" distR="114300">
            <wp:extent cx="3622675" cy="2703830"/>
            <wp:effectExtent l="0" t="0" r="444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3622675" cy="2703830"/>
                    </a:xfrm>
                    <a:prstGeom prst="rect">
                      <a:avLst/>
                    </a:prstGeom>
                    <a:noFill/>
                    <a:ln>
                      <a:noFill/>
                    </a:ln>
                  </pic:spPr>
                </pic:pic>
              </a:graphicData>
            </a:graphic>
          </wp:inline>
        </w:drawing>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图7. 历史菜单</w:t>
      </w:r>
    </w:p>
    <w:p w14:paraId="28DDE2D9">
      <w:pPr>
        <w:numPr>
          <w:ilvl w:val="0"/>
          <w:numId w:val="6"/>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医院菜单：显示曼谷Chatuchak区的公共卫生服务中心和医院的名称信息，如图8所示。</w:t>
      </w:r>
    </w:p>
    <w:p w14:paraId="711544F2">
      <w:pPr>
        <w:numPr>
          <w:ilvl w:val="0"/>
          <w:numId w:val="0"/>
        </w:numPr>
        <w:jc w:val="center"/>
        <w:rPr>
          <w:rFonts w:hint="eastAsia" w:ascii="宋体" w:hAnsi="宋体" w:eastAsia="宋体" w:cs="宋体"/>
          <w:sz w:val="24"/>
          <w:szCs w:val="24"/>
          <w:lang w:val="en-US" w:eastAsia="zh-CN"/>
        </w:rPr>
      </w:pPr>
      <w:r>
        <w:drawing>
          <wp:inline distT="0" distB="0" distL="114300" distR="114300">
            <wp:extent cx="3533775" cy="2705735"/>
            <wp:effectExtent l="0" t="0" r="1905"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3533775" cy="2705735"/>
                    </a:xfrm>
                    <a:prstGeom prst="rect">
                      <a:avLst/>
                    </a:prstGeom>
                    <a:noFill/>
                    <a:ln>
                      <a:noFill/>
                    </a:ln>
                  </pic:spPr>
                </pic:pic>
              </a:graphicData>
            </a:graphic>
          </wp:inline>
        </w:drawing>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图8. 医院菜单</w:t>
      </w:r>
    </w:p>
    <w:p w14:paraId="43DCA92C">
      <w:pPr>
        <w:numPr>
          <w:ilvl w:val="0"/>
          <w:numId w:val="6"/>
        </w:numPr>
        <w:ind w:left="845" w:leftChars="0" w:hanging="425"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锻炼菜单：展示为老年人准备的锻炼视频片段。</w:t>
      </w:r>
    </w:p>
    <w:p w14:paraId="74C896A6">
      <w:pPr>
        <w:numPr>
          <w:ilvl w:val="0"/>
          <w:numId w:val="6"/>
        </w:numPr>
        <w:ind w:left="0"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使用设置菜单：显示应用的使用设置。</w:t>
      </w:r>
    </w:p>
    <w:p w14:paraId="422C5AFD">
      <w:pPr>
        <w:numPr>
          <w:ilvl w:val="0"/>
          <w:numId w:val="0"/>
        </w:numPr>
        <w:jc w:val="center"/>
        <w:rPr>
          <w:rFonts w:hint="eastAsia" w:ascii="宋体" w:hAnsi="宋体" w:eastAsia="宋体" w:cs="宋体"/>
          <w:sz w:val="24"/>
          <w:szCs w:val="24"/>
          <w:lang w:val="en-US" w:eastAsia="zh-CN"/>
        </w:rPr>
      </w:pPr>
      <w:r>
        <w:drawing>
          <wp:inline distT="0" distB="0" distL="114300" distR="114300">
            <wp:extent cx="3728720" cy="2613660"/>
            <wp:effectExtent l="0" t="0" r="508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3728720" cy="2613660"/>
                    </a:xfrm>
                    <a:prstGeom prst="rect">
                      <a:avLst/>
                    </a:prstGeom>
                    <a:noFill/>
                    <a:ln>
                      <a:noFill/>
                    </a:ln>
                  </pic:spPr>
                </pic:pic>
              </a:graphicData>
            </a:graphic>
          </wp:inline>
        </w:drawing>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图9. 锻炼菜单和使用设置菜单</w:t>
      </w:r>
    </w:p>
    <w:p w14:paraId="2D6C0EFA">
      <w:pPr>
        <w:numPr>
          <w:ilvl w:val="0"/>
          <w:numId w:val="0"/>
        </w:numPr>
        <w:jc w:val="left"/>
        <w:rPr>
          <w:rFonts w:hint="eastAsia" w:ascii="宋体" w:hAnsi="宋体" w:eastAsia="宋体" w:cs="宋体"/>
          <w:sz w:val="24"/>
          <w:szCs w:val="24"/>
          <w:lang w:val="en-US" w:eastAsia="zh-CN"/>
        </w:rPr>
      </w:pPr>
    </w:p>
    <w:p w14:paraId="63FA8C5F">
      <w:pPr>
        <w:numPr>
          <w:ilvl w:val="0"/>
          <w:numId w:val="0"/>
        </w:numPr>
        <w:ind w:leftChars="0"/>
        <w:jc w:val="left"/>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4.2 效率和满意度的评估结果</w:t>
      </w:r>
    </w:p>
    <w:p w14:paraId="23779E25">
      <w:pPr>
        <w:numPr>
          <w:ilvl w:val="0"/>
          <w:numId w:val="0"/>
        </w:numPr>
        <w:ind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用于老年人公共卫生支持的应用通过让用户测试其各种功能并体验其操作来提升其有效性和满意度。随后，用户对应用系统的满意度进行评估。我们利用评估反馈制定了改进和完善系统的指导方针。研究问卷采用区间量表类型，并使用李克特量表来评估满意度水平。评估共涉及48人，包括30位老年人、15位公共卫生志愿者和3位信息技术专家。</w:t>
      </w:r>
    </w:p>
    <w:p w14:paraId="48063F92">
      <w:pPr>
        <w:numPr>
          <w:ilvl w:val="0"/>
          <w:numId w:val="0"/>
        </w:numPr>
        <w:ind w:leftChars="0"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评估结果按不同群体分类，其中男性21人，占43.75%；女性27人，占56.25%。用户群体包括：老年人（30人，62.50%）、公共卫生志愿者（15人，31.25%）和信息技术专家（3人，6.25%）。</w:t>
      </w:r>
    </w:p>
    <w:p w14:paraId="66D5B452">
      <w:pPr>
        <w:keepNext w:val="0"/>
        <w:keepLines w:val="0"/>
        <w:widowControl/>
        <w:suppressLineNumbers w:val="0"/>
        <w:bidi w:val="0"/>
        <w:jc w:val="center"/>
        <w:rPr>
          <w:rFonts w:ascii="sans-serif" w:hAnsi="sans-serif" w:eastAsia="sans-serif" w:cs="sans-serif"/>
          <w:color w:val="000000"/>
        </w:rPr>
      </w:pPr>
      <w:r>
        <w:rPr>
          <w:rFonts w:hint="eastAsia" w:ascii="宋体" w:hAnsi="宋体" w:eastAsia="宋体" w:cs="宋体"/>
          <w:color w:val="000000"/>
          <w:kern w:val="0"/>
          <w:sz w:val="24"/>
          <w:szCs w:val="24"/>
          <w:lang w:val="en-US" w:eastAsia="zh-CN" w:bidi="ar"/>
        </w:rPr>
        <w:t>表I. 应用效率和满意度的评估结果</w:t>
      </w:r>
    </w:p>
    <w:tbl>
      <w:tblPr>
        <w:tblStyle w:val="3"/>
        <w:tblW w:w="8334" w:type="dxa"/>
        <w:tblInd w:w="0" w:type="dxa"/>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45"/>
        <w:gridCol w:w="1536"/>
        <w:gridCol w:w="1516"/>
        <w:gridCol w:w="2437"/>
      </w:tblGrid>
      <w:tr w14:paraId="3787B542">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4568956D">
            <w:pPr>
              <w:keepNext w:val="0"/>
              <w:keepLines w:val="0"/>
              <w:widowControl/>
              <w:suppressLineNumbers w:val="0"/>
              <w:bidi w:val="0"/>
              <w:jc w:val="center"/>
              <w:rPr>
                <w:rFonts w:hint="eastAsia" w:ascii="宋体" w:hAnsi="宋体" w:eastAsia="宋体" w:cs="宋体"/>
                <w:b/>
                <w:bCs/>
                <w:color w:val="000000"/>
                <w:sz w:val="24"/>
                <w:szCs w:val="24"/>
              </w:rPr>
            </w:pPr>
            <w:r>
              <w:rPr>
                <w:rFonts w:hint="eastAsia" w:ascii="宋体" w:hAnsi="宋体" w:eastAsia="宋体" w:cs="宋体"/>
                <w:b/>
                <w:bCs/>
                <w:color w:val="000000"/>
                <w:kern w:val="0"/>
                <w:sz w:val="24"/>
                <w:szCs w:val="24"/>
                <w:lang w:val="en-US" w:eastAsia="zh-CN" w:bidi="ar"/>
              </w:rPr>
              <w:t>项目</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05AAA467">
            <w:pPr>
              <w:keepNext w:val="0"/>
              <w:keepLines w:val="0"/>
              <w:widowControl/>
              <w:suppressLineNumbers w:val="0"/>
              <w:jc w:val="center"/>
              <w:rPr>
                <w:rFonts w:hint="eastAsia" w:ascii="宋体" w:hAnsi="宋体" w:eastAsia="宋体" w:cs="宋体"/>
                <w:b/>
                <w:bCs/>
                <w:color w:val="000000"/>
                <w:sz w:val="24"/>
                <w:szCs w:val="24"/>
              </w:rPr>
            </w:pPr>
            <w:r>
              <w:rPr>
                <w:rFonts w:hint="eastAsia" w:ascii="宋体" w:hAnsi="宋体" w:eastAsia="宋体" w:cs="宋体"/>
                <w:b/>
                <w:bCs/>
                <w:color w:val="000000"/>
                <w:kern w:val="0"/>
                <w:sz w:val="24"/>
                <w:szCs w:val="24"/>
                <w:lang w:val="en-US" w:eastAsia="zh-CN" w:bidi="ar"/>
              </w:rPr>
              <w:t xml:space="preserve">均值 </w:t>
            </w:r>
            <w:r>
              <w:rPr>
                <w:rFonts w:ascii="Cambria Math" w:hAnsi="Cambria Math" w:eastAsia="Cambria Math" w:cs="Cambria Math"/>
                <w:b/>
                <w:bCs/>
                <w:color w:val="0D0D0D"/>
                <w:kern w:val="0"/>
                <w:sz w:val="24"/>
                <w:szCs w:val="24"/>
                <w:lang w:val="en-US" w:eastAsia="zh-CN" w:bidi="ar"/>
              </w:rPr>
              <w:t>𝑥̅</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46539E9E">
            <w:pPr>
              <w:keepNext w:val="0"/>
              <w:keepLines w:val="0"/>
              <w:widowControl/>
              <w:suppressLineNumbers w:val="0"/>
              <w:bidi w:val="0"/>
              <w:jc w:val="center"/>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标准差 S.D</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628C61E">
            <w:pPr>
              <w:keepNext w:val="0"/>
              <w:keepLines w:val="0"/>
              <w:widowControl/>
              <w:suppressLineNumbers w:val="0"/>
              <w:bidi w:val="0"/>
              <w:jc w:val="center"/>
              <w:rPr>
                <w:rFonts w:hint="eastAsia" w:ascii="宋体" w:hAnsi="宋体" w:eastAsia="宋体" w:cs="宋体"/>
                <w:b/>
                <w:bCs/>
                <w:color w:val="000000"/>
                <w:sz w:val="24"/>
                <w:szCs w:val="24"/>
              </w:rPr>
            </w:pPr>
            <w:r>
              <w:rPr>
                <w:rFonts w:hint="eastAsia" w:ascii="宋体" w:hAnsi="宋体" w:eastAsia="宋体" w:cs="宋体"/>
                <w:b/>
                <w:bCs/>
                <w:color w:val="000000"/>
                <w:kern w:val="0"/>
                <w:sz w:val="24"/>
                <w:szCs w:val="24"/>
                <w:lang w:val="en-US" w:eastAsia="zh-CN" w:bidi="ar"/>
              </w:rPr>
              <w:t>满意度</w:t>
            </w:r>
          </w:p>
        </w:tc>
      </w:tr>
      <w:tr w14:paraId="6D6B9D7D">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681E648">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1.应用性能</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3CA16119">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4.67</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4E8E7799">
            <w:pPr>
              <w:keepNext w:val="0"/>
              <w:keepLines w:val="0"/>
              <w:widowControl/>
              <w:suppressLineNumbers w:val="0"/>
              <w:bidi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0.48</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3940A23">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最高</w:t>
            </w:r>
          </w:p>
        </w:tc>
      </w:tr>
      <w:tr w14:paraId="034E0E12">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0C6B5FDC">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2.应用设计</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2D72A7B6">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4.47</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0E675176">
            <w:pPr>
              <w:keepNext w:val="0"/>
              <w:keepLines w:val="0"/>
              <w:widowControl/>
              <w:suppressLineNumbers w:val="0"/>
              <w:bidi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0.57</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9DDE388">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高</w:t>
            </w:r>
          </w:p>
        </w:tc>
      </w:tr>
      <w:tr w14:paraId="2614C344">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06FA2331">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3.适当的应用功能</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66A29972">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4.40</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00D0C42C">
            <w:pPr>
              <w:keepNext w:val="0"/>
              <w:keepLines w:val="0"/>
              <w:widowControl/>
              <w:suppressLineNumbers w:val="0"/>
              <w:bidi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0.57</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63DC11D9">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高</w:t>
            </w:r>
          </w:p>
        </w:tc>
      </w:tr>
      <w:tr w14:paraId="3104DB09">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6F131C35">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4.用户界面友好</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44AD6BE">
            <w:pPr>
              <w:keepNext w:val="0"/>
              <w:keepLines w:val="0"/>
              <w:widowControl/>
              <w:suppressLineNumbers w:val="0"/>
              <w:bidi w:val="0"/>
              <w:jc w:val="center"/>
              <w:rPr>
                <w:rFonts w:hint="default" w:ascii="宋体" w:hAnsi="宋体" w:eastAsia="宋体" w:cs="宋体"/>
                <w:color w:val="000000"/>
                <w:sz w:val="24"/>
                <w:szCs w:val="24"/>
                <w:lang w:val="en-US"/>
              </w:rPr>
            </w:pPr>
            <w:r>
              <w:rPr>
                <w:rFonts w:hint="eastAsia" w:ascii="宋体" w:hAnsi="宋体" w:eastAsia="宋体" w:cs="宋体"/>
                <w:color w:val="000000"/>
                <w:kern w:val="0"/>
                <w:sz w:val="24"/>
                <w:szCs w:val="24"/>
                <w:lang w:val="en-US" w:eastAsia="zh-CN" w:bidi="ar"/>
              </w:rPr>
              <w:t>4.30</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1327638D">
            <w:pPr>
              <w:keepNext w:val="0"/>
              <w:keepLines w:val="0"/>
              <w:widowControl/>
              <w:suppressLineNumbers w:val="0"/>
              <w:bidi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0.47</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5D3A768D">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高</w:t>
            </w:r>
          </w:p>
        </w:tc>
      </w:tr>
      <w:tr w14:paraId="09032000">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07817FE5">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5.内容解释清晰</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610422E0">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4.53</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26D36812">
            <w:pPr>
              <w:keepNext w:val="0"/>
              <w:keepLines w:val="0"/>
              <w:widowControl/>
              <w:suppressLineNumbers w:val="0"/>
              <w:bidi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0.57</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47156012">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最高</w:t>
            </w:r>
          </w:p>
        </w:tc>
      </w:tr>
      <w:tr w14:paraId="658213CA">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3AC614E">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6.应用的美观性</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626A5615">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4.60</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134A9A2E">
            <w:pPr>
              <w:keepNext w:val="0"/>
              <w:keepLines w:val="0"/>
              <w:widowControl/>
              <w:suppressLineNumbers w:val="0"/>
              <w:bidi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0.62</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C57C0ED">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最高</w:t>
            </w:r>
          </w:p>
        </w:tc>
      </w:tr>
      <w:tr w14:paraId="05BE01B4">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0305FBEA">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7.字体大小合适</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CBABAE6">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4.63</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6C7072AF">
            <w:pPr>
              <w:keepNext w:val="0"/>
              <w:keepLines w:val="0"/>
              <w:widowControl/>
              <w:suppressLineNumbers w:val="0"/>
              <w:bidi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0.49</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5293230B">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最高</w:t>
            </w:r>
          </w:p>
        </w:tc>
      </w:tr>
      <w:tr w14:paraId="372186DF">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62D45494">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8.文本颜色的适当使用</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32727A6D">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4.43</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32B0BCFE">
            <w:pPr>
              <w:keepNext w:val="0"/>
              <w:keepLines w:val="0"/>
              <w:widowControl/>
              <w:suppressLineNumbers w:val="0"/>
              <w:bidi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0.63</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4FDDD90E">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高</w:t>
            </w:r>
          </w:p>
        </w:tc>
      </w:tr>
      <w:tr w14:paraId="6C519CA9">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4EE91846">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9.应用对颜色的适当使用</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4135739B">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4.57</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58CC9BDB">
            <w:pPr>
              <w:keepNext w:val="0"/>
              <w:keepLines w:val="0"/>
              <w:widowControl/>
              <w:suppressLineNumbers w:val="0"/>
              <w:bidi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0.50</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3F358E3A">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最高</w:t>
            </w:r>
          </w:p>
        </w:tc>
      </w:tr>
      <w:tr w14:paraId="129564C7">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3C5E2313">
            <w:pPr>
              <w:keepNext w:val="0"/>
              <w:keepLines w:val="0"/>
              <w:widowControl/>
              <w:suppressLineNumbers w:val="0"/>
              <w:bidi w:val="0"/>
              <w:ind w:left="240" w:hanging="240" w:hangingChars="10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10.图片允许清晰的物种识别</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40B968CB">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4.60</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150ADACD">
            <w:pPr>
              <w:keepNext w:val="0"/>
              <w:keepLines w:val="0"/>
              <w:widowControl/>
              <w:suppressLineNumbers w:val="0"/>
              <w:bidi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0.56</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0CAEEC61">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最高</w:t>
            </w:r>
          </w:p>
        </w:tc>
      </w:tr>
      <w:tr w14:paraId="084212B3">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43D06722">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11.元素放置合适</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515EA0A8">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4.77</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5FEDCF96">
            <w:pPr>
              <w:keepNext w:val="0"/>
              <w:keepLines w:val="0"/>
              <w:widowControl/>
              <w:suppressLineNumbers w:val="0"/>
              <w:bidi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0.43</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16352461">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最高</w:t>
            </w:r>
          </w:p>
        </w:tc>
      </w:tr>
      <w:tr w14:paraId="129915B9">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486C2EF">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12.应用对用户有帮助</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0F885DCF">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4.73</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4B4344B0">
            <w:pPr>
              <w:keepNext w:val="0"/>
              <w:keepLines w:val="0"/>
              <w:widowControl/>
              <w:suppressLineNumbers w:val="0"/>
              <w:bidi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0.52</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EDD5B1D">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最高</w:t>
            </w:r>
          </w:p>
        </w:tc>
      </w:tr>
      <w:tr w14:paraId="10418D6C">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6C03724">
            <w:pPr>
              <w:keepNext w:val="0"/>
              <w:keepLines w:val="0"/>
              <w:widowControl/>
              <w:suppressLineNumbers w:val="0"/>
              <w:bidi w:val="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13.应用满足用户需求</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77FB672E">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4.73</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08F371D3">
            <w:pPr>
              <w:keepNext w:val="0"/>
              <w:keepLines w:val="0"/>
              <w:widowControl/>
              <w:suppressLineNumbers w:val="0"/>
              <w:bidi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0.45</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18ABE34E">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最高</w:t>
            </w:r>
          </w:p>
        </w:tc>
      </w:tr>
      <w:tr w14:paraId="7A462D02">
        <w:tblPrEx>
          <w:tblBorders>
            <w:top w:val="single" w:color="333639" w:sz="4" w:space="0"/>
            <w:left w:val="single" w:color="333639" w:sz="4" w:space="0"/>
            <w:bottom w:val="single" w:color="333639" w:sz="4" w:space="0"/>
            <w:right w:val="single" w:color="333639" w:sz="4" w:space="0"/>
            <w:insideH w:val="none" w:color="auto" w:sz="0" w:space="0"/>
            <w:insideV w:val="none" w:color="auto" w:sz="0" w:space="0"/>
          </w:tblBorders>
          <w:tblCellMar>
            <w:top w:w="15" w:type="dxa"/>
            <w:left w:w="15" w:type="dxa"/>
            <w:bottom w:w="15" w:type="dxa"/>
            <w:right w:w="15" w:type="dxa"/>
          </w:tblCellMar>
        </w:tblPrEx>
        <w:tc>
          <w:tcPr>
            <w:tcW w:w="2845" w:type="dxa"/>
            <w:tcBorders>
              <w:top w:val="single" w:color="333639" w:sz="4" w:space="0"/>
              <w:left w:val="single" w:color="333639" w:sz="4" w:space="0"/>
              <w:bottom w:val="single" w:color="333639" w:sz="4" w:space="0"/>
              <w:right w:val="single" w:color="333639" w:sz="4" w:space="0"/>
            </w:tcBorders>
            <w:shd w:val="clear" w:color="auto" w:fill="auto"/>
            <w:vAlign w:val="center"/>
          </w:tcPr>
          <w:p w14:paraId="28C6136A">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总计</w:t>
            </w:r>
          </w:p>
        </w:tc>
        <w:tc>
          <w:tcPr>
            <w:tcW w:w="153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0F9F64F0">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4.57</w:t>
            </w:r>
          </w:p>
        </w:tc>
        <w:tc>
          <w:tcPr>
            <w:tcW w:w="1516" w:type="dxa"/>
            <w:tcBorders>
              <w:top w:val="single" w:color="333639" w:sz="4" w:space="0"/>
              <w:left w:val="single" w:color="333639" w:sz="4" w:space="0"/>
              <w:bottom w:val="single" w:color="333639" w:sz="4" w:space="0"/>
              <w:right w:val="single" w:color="333639" w:sz="4" w:space="0"/>
            </w:tcBorders>
            <w:shd w:val="clear" w:color="auto" w:fill="auto"/>
            <w:vAlign w:val="center"/>
          </w:tcPr>
          <w:p w14:paraId="42F59B05">
            <w:pPr>
              <w:keepNext w:val="0"/>
              <w:keepLines w:val="0"/>
              <w:widowControl/>
              <w:suppressLineNumbers w:val="0"/>
              <w:bidi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0.54</w:t>
            </w:r>
          </w:p>
        </w:tc>
        <w:tc>
          <w:tcPr>
            <w:tcW w:w="2437" w:type="dxa"/>
            <w:tcBorders>
              <w:top w:val="single" w:color="333639" w:sz="4" w:space="0"/>
              <w:left w:val="single" w:color="333639" w:sz="4" w:space="0"/>
              <w:bottom w:val="single" w:color="333639" w:sz="4" w:space="0"/>
              <w:right w:val="single" w:color="333639" w:sz="4" w:space="0"/>
            </w:tcBorders>
            <w:shd w:val="clear" w:color="auto" w:fill="auto"/>
            <w:vAlign w:val="center"/>
          </w:tcPr>
          <w:p w14:paraId="2991CF64">
            <w:pPr>
              <w:keepNext w:val="0"/>
              <w:keepLines w:val="0"/>
              <w:widowControl/>
              <w:suppressLineNumbers w:val="0"/>
              <w:bidi w:val="0"/>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最高</w:t>
            </w:r>
          </w:p>
        </w:tc>
      </w:tr>
    </w:tbl>
    <w:p w14:paraId="71E6D901">
      <w:pPr>
        <w:numPr>
          <w:ilvl w:val="0"/>
          <w:numId w:val="0"/>
        </w:num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对应用的效率和满意度的评估结果如下：均值为4.57，标准差为0.54，从统计学上被认为处于最高满意度水平。</w:t>
      </w:r>
    </w:p>
    <w:p w14:paraId="32205CB8">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5</w:t>
      </w:r>
      <w:r>
        <w:rPr>
          <w:rFonts w:hint="eastAsia" w:ascii="黑体" w:hAnsi="黑体" w:eastAsia="黑体" w:cs="黑体"/>
          <w:sz w:val="32"/>
          <w:szCs w:val="32"/>
        </w:rPr>
        <w:t>. 讨论</w:t>
      </w:r>
    </w:p>
    <w:p w14:paraId="62AF841D">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研究人员根据他们的发现开发了一款名为 PHS 应用的安卓操作系统应用程序。您可以从</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Google Play</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下载此应用以支持为老年人群体提供公共健康援助。老年人和公共健康志愿者使用此应用程序。该应用具有历史菜单、医院菜单、锻炼菜单和使用设置菜单。它使老年人能够记录他们的历史并密切监控他们的疾病状态。状态有三种：正常、观察和生病。在紧急情况下，老年人可以通过按下应用中的紧急按钮请求帮助。按下该按钮会向所有公共健康志愿者发送通知，使他们能够访问老年人的家并提供基本援助，如果生病或发生事故，还可以将其送往医院。</w:t>
      </w:r>
    </w:p>
    <w:p w14:paraId="450DC2C9">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此外，研究人员评估了该应用程序对三位信息技术专家的有效性。研究人员测量了30位老年人和15位公共健康志愿者对应用程序的满意度，结果有48位参与者能够探索其各种功能。评估表明，用户对该应用程序表达了最高水平的满意度，主要是因为其吸引人的展示和精心设计的用户界面，其特点是适当的字体大小和内容格式。</w:t>
      </w:r>
    </w:p>
    <w:p w14:paraId="71FB3D48">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此外，该应用程序还包括视频剪辑和以信息图形格式呈现的用户手册，专门针对老年人的需求开发，特别是那些技术技能有限的人。此外，使用该应用程序的公共健康志愿者和老年用户已经认识到其益处并形成了对其使用的积极态度。这与技术接受模型(TAM)相符，因为实施后评估表明反应良好。值得注意的是，公共健康志愿者已经展示了快速的响应时间，帮助了一位摔倒的老年社区成员和另一位需要被送往医院的高血压患者。</w:t>
      </w:r>
    </w:p>
    <w:p w14:paraId="4AABAA5C">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本研究得出结论，开发的应用程序在支持和促进老年人使用技术，特别是在医疗保健方面，以及提供有效获取必要信息方面非常有效。Waraporn Ariyasat 和 Phanuwat Atthanasak 将研究重点放在开发用于学习的 Google 应用程序培训包上。为评估技术采用情况，该研究使用了基于技术接受模型(TAM)的问卷。基于培训包试验的研究结果表明，学生和社区广泛接受并在高水平上使用了 Google 应用程序。</w:t>
      </w:r>
    </w:p>
    <w:p w14:paraId="6895CEFD">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此外，Chulawalee Moneelert 已完成通过增强现实技术开发的床上老年人护理促进应用程序。研究结果表明，用户对该应用程序高度满意并完全接受其使用。您可以使用该应用程序促进老年人护理。</w:t>
      </w:r>
    </w:p>
    <w:p w14:paraId="7426D408">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6</w:t>
      </w:r>
      <w:r>
        <w:rPr>
          <w:rFonts w:hint="eastAsia" w:ascii="黑体" w:hAnsi="黑体" w:eastAsia="黑体" w:cs="黑体"/>
          <w:sz w:val="32"/>
          <w:szCs w:val="32"/>
        </w:rPr>
        <w:t>. 结论</w:t>
      </w:r>
    </w:p>
    <w:p w14:paraId="74F2D01C">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研究人员利用开发的应用程序，并向对该项目感兴趣的其他社区进行宣传。此外，我们已经扩展网络，包括附近社区的公立和私立医院，并旨在加强其在整个泰国的使用。未来的研究可以在其他与老年人相关的背景下进一步开发应用程序，例如评估依赖老年人群体执行日常活动的能力。监测老年人跌倒情况。我们应该开发使用药物、食物或营养来促进其他领域老年人健康的应用程序。我们需要为iOS操作系统开发应用程序，以便更广泛地执行各种任务。</w:t>
      </w:r>
    </w:p>
    <w:p w14:paraId="559F044A">
      <w:pPr>
        <w:bidi w:val="0"/>
        <w:jc w:val="center"/>
        <w:rPr>
          <w:rFonts w:hint="eastAsia" w:ascii="黑体" w:hAnsi="黑体" w:eastAsia="黑体" w:cs="黑体"/>
          <w:sz w:val="32"/>
          <w:szCs w:val="32"/>
        </w:rPr>
      </w:pPr>
      <w:r>
        <w:rPr>
          <w:rFonts w:hint="eastAsia" w:ascii="黑体" w:hAnsi="黑体" w:eastAsia="黑体" w:cs="黑体"/>
          <w:sz w:val="32"/>
          <w:szCs w:val="32"/>
        </w:rPr>
        <w:t>致谢</w:t>
      </w:r>
    </w:p>
    <w:p w14:paraId="5E92D967">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本工作得到了泰国占迪卡森皇家</w:t>
      </w:r>
      <w:bookmarkStart w:id="0" w:name="_GoBack"/>
      <w:bookmarkEnd w:id="0"/>
      <w:r>
        <w:rPr>
          <w:rFonts w:ascii="宋体" w:hAnsi="宋体" w:eastAsia="宋体" w:cs="宋体"/>
          <w:kern w:val="0"/>
          <w:sz w:val="24"/>
          <w:szCs w:val="24"/>
          <w:lang w:val="en-US" w:eastAsia="zh-CN" w:bidi="ar"/>
        </w:rPr>
        <w:t>大学(CRU)、泰国科学研究与创新(TSRI)以及研究与创新基金(NSRF)的支持。基础基金(2022)。</w:t>
      </w:r>
    </w:p>
    <w:p w14:paraId="48B16A67">
      <w:pPr>
        <w:numPr>
          <w:ilvl w:val="0"/>
          <w:numId w:val="0"/>
        </w:numPr>
        <w:jc w:val="left"/>
        <w:rPr>
          <w:rFonts w:hint="eastAsia" w:ascii="宋体" w:hAnsi="宋体" w:eastAsia="宋体" w:cs="宋体"/>
          <w:sz w:val="24"/>
          <w:szCs w:val="24"/>
          <w:lang w:val="en-US" w:eastAsia="zh-CN"/>
        </w:rPr>
      </w:pPr>
    </w:p>
    <w:p w14:paraId="59837589">
      <w:pPr>
        <w:numPr>
          <w:ilvl w:val="0"/>
          <w:numId w:val="0"/>
        </w:numPr>
        <w:ind w:leftChars="0"/>
        <w:jc w:val="left"/>
        <w:rPr>
          <w:rFonts w:hint="eastAsia" w:ascii="宋体" w:hAnsi="宋体" w:eastAsia="宋体" w:cs="宋体"/>
          <w:sz w:val="24"/>
          <w:szCs w:val="24"/>
          <w:lang w:val="en-US" w:eastAsia="zh-CN"/>
        </w:rPr>
      </w:pPr>
    </w:p>
    <w:p w14:paraId="6D7FF749">
      <w:pPr>
        <w:numPr>
          <w:ilvl w:val="0"/>
          <w:numId w:val="0"/>
        </w:numPr>
        <w:ind w:leftChars="0"/>
        <w:jc w:val="left"/>
        <w:rPr>
          <w:rFonts w:hint="eastAsia" w:ascii="宋体" w:hAnsi="宋体" w:eastAsia="宋体" w:cs="宋体"/>
          <w:sz w:val="24"/>
          <w:szCs w:val="24"/>
          <w:lang w:val="en-US" w:eastAsia="zh-CN"/>
        </w:rPr>
      </w:pPr>
    </w:p>
    <w:p w14:paraId="1FDE38E4">
      <w:pPr>
        <w:jc w:val="left"/>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580926"/>
    <w:multiLevelType w:val="multilevel"/>
    <w:tmpl w:val="AB580926"/>
    <w:lvl w:ilvl="0" w:tentative="0">
      <w:start w:val="1"/>
      <w:numFmt w:val="decimal"/>
      <w:lvlText w:val="%1."/>
      <w:lvlJc w:val="left"/>
      <w:pPr>
        <w:tabs>
          <w:tab w:val="left" w:pos="420"/>
        </w:tabs>
        <w:ind w:left="84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DF034DF6"/>
    <w:multiLevelType w:val="singleLevel"/>
    <w:tmpl w:val="DF034DF6"/>
    <w:lvl w:ilvl="0" w:tentative="0">
      <w:start w:val="1"/>
      <w:numFmt w:val="decimal"/>
      <w:lvlText w:val="%1."/>
      <w:lvlJc w:val="left"/>
      <w:pPr>
        <w:tabs>
          <w:tab w:val="left" w:pos="420"/>
        </w:tabs>
        <w:ind w:left="845" w:hanging="425"/>
      </w:pPr>
      <w:rPr>
        <w:rFonts w:hint="default"/>
      </w:rPr>
    </w:lvl>
  </w:abstractNum>
  <w:abstractNum w:abstractNumId="2">
    <w:nsid w:val="F5321343"/>
    <w:multiLevelType w:val="singleLevel"/>
    <w:tmpl w:val="F5321343"/>
    <w:lvl w:ilvl="0" w:tentative="0">
      <w:start w:val="1"/>
      <w:numFmt w:val="decimal"/>
      <w:lvlText w:val="%1."/>
      <w:lvlJc w:val="left"/>
      <w:pPr>
        <w:tabs>
          <w:tab w:val="left" w:pos="420"/>
        </w:tabs>
        <w:ind w:left="845" w:hanging="425"/>
      </w:pPr>
      <w:rPr>
        <w:rFonts w:hint="default"/>
      </w:rPr>
    </w:lvl>
  </w:abstractNum>
  <w:abstractNum w:abstractNumId="3">
    <w:nsid w:val="06E43679"/>
    <w:multiLevelType w:val="singleLevel"/>
    <w:tmpl w:val="06E43679"/>
    <w:lvl w:ilvl="0" w:tentative="0">
      <w:start w:val="1"/>
      <w:numFmt w:val="decimal"/>
      <w:lvlText w:val="%1."/>
      <w:lvlJc w:val="left"/>
      <w:pPr>
        <w:tabs>
          <w:tab w:val="left" w:pos="420"/>
        </w:tabs>
        <w:ind w:left="845" w:hanging="425"/>
      </w:pPr>
      <w:rPr>
        <w:rFonts w:hint="default"/>
      </w:rPr>
    </w:lvl>
  </w:abstractNum>
  <w:abstractNum w:abstractNumId="4">
    <w:nsid w:val="111D93B9"/>
    <w:multiLevelType w:val="singleLevel"/>
    <w:tmpl w:val="111D93B9"/>
    <w:lvl w:ilvl="0" w:tentative="0">
      <w:start w:val="1"/>
      <w:numFmt w:val="decimal"/>
      <w:lvlText w:val="%1."/>
      <w:lvlJc w:val="left"/>
      <w:pPr>
        <w:tabs>
          <w:tab w:val="left" w:pos="420"/>
        </w:tabs>
        <w:ind w:left="845" w:hanging="425"/>
      </w:pPr>
      <w:rPr>
        <w:rFonts w:hint="default"/>
      </w:rPr>
    </w:lvl>
  </w:abstractNum>
  <w:abstractNum w:abstractNumId="5">
    <w:nsid w:val="254BBF62"/>
    <w:multiLevelType w:val="singleLevel"/>
    <w:tmpl w:val="254BBF62"/>
    <w:lvl w:ilvl="0" w:tentative="0">
      <w:start w:val="1"/>
      <w:numFmt w:val="decimal"/>
      <w:lvlText w:val="%1."/>
      <w:lvlJc w:val="left"/>
      <w:pPr>
        <w:tabs>
          <w:tab w:val="left" w:pos="420"/>
        </w:tabs>
        <w:ind w:left="845" w:hanging="425"/>
      </w:pPr>
      <w:rPr>
        <w:rFonts w:hint="default"/>
      </w:rPr>
    </w:lvl>
  </w:abstractNum>
  <w:num w:numId="1">
    <w:abstractNumId w:val="3"/>
  </w:num>
  <w:num w:numId="2">
    <w:abstractNumId w:val="2"/>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05D10"/>
    <w:rsid w:val="035C7A9A"/>
    <w:rsid w:val="03FB7716"/>
    <w:rsid w:val="083D3181"/>
    <w:rsid w:val="09DC62CF"/>
    <w:rsid w:val="0F0E7A8F"/>
    <w:rsid w:val="11BA0C20"/>
    <w:rsid w:val="14C2314E"/>
    <w:rsid w:val="15B3634C"/>
    <w:rsid w:val="162C08A7"/>
    <w:rsid w:val="1BBD1FCB"/>
    <w:rsid w:val="22970932"/>
    <w:rsid w:val="23B00D6A"/>
    <w:rsid w:val="26026977"/>
    <w:rsid w:val="28530694"/>
    <w:rsid w:val="2B3C4792"/>
    <w:rsid w:val="2B4C0D09"/>
    <w:rsid w:val="32060EAD"/>
    <w:rsid w:val="3B7E7DBB"/>
    <w:rsid w:val="458205F3"/>
    <w:rsid w:val="49FA4F3C"/>
    <w:rsid w:val="4B504D3C"/>
    <w:rsid w:val="4E106EE0"/>
    <w:rsid w:val="4EDB463D"/>
    <w:rsid w:val="533267F6"/>
    <w:rsid w:val="5628600D"/>
    <w:rsid w:val="58B06230"/>
    <w:rsid w:val="5B64531F"/>
    <w:rsid w:val="5BB71192"/>
    <w:rsid w:val="606057D1"/>
    <w:rsid w:val="67AE693B"/>
    <w:rsid w:val="6B0F4646"/>
    <w:rsid w:val="6D5F1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5748</Words>
  <Characters>6607</Characters>
  <Lines>0</Lines>
  <Paragraphs>0</Paragraphs>
  <TotalTime>6</TotalTime>
  <ScaleCrop>false</ScaleCrop>
  <LinksUpToDate>false</LinksUpToDate>
  <CharactersWithSpaces>6690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2025-03-20T07:17:00Z</dcterms:created>
  <dc:creator>Lenovo</dc:creator>
  <cp:lastModifiedBy>clown</cp:lastModifiedBy>
  <dcterms:modified xsi:type="dcterms:W3CDTF">2025-03-20T08:51:56Z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eyJoZGlkIjoiMGJkMzE0NDZiNDAxZmM4MDZjZDY2YWExMzJmNDEwMTAiLCJ1c2VySWQiOiI0OTY1Mjk2MzkifQ==</vt:lpwstr>
  </property>
  <property fmtid="{D5CDD505-2E9C-101B-9397-08002B2CF9AE}" pid="4" name="ICV">
    <vt:lpwstr>A30AD04BBCB64340909876AC62F681EB_12</vt:lpwstr>
  </property>
</Properties>
</file>