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3557" w14:textId="680C8DA1" w:rsidR="008878C1" w:rsidRPr="00CB798B" w:rsidRDefault="00E64BA3" w:rsidP="00E64BA3">
      <w:pPr>
        <w:jc w:val="center"/>
        <w:rPr>
          <w:rFonts w:cstheme="minorHAnsi"/>
          <w:b/>
          <w:bCs/>
          <w:sz w:val="40"/>
          <w:szCs w:val="40"/>
        </w:rPr>
      </w:pPr>
      <w:r w:rsidRPr="00CB798B">
        <w:rPr>
          <w:rFonts w:cstheme="minorHAnsi"/>
          <w:b/>
          <w:bCs/>
          <w:sz w:val="40"/>
          <w:szCs w:val="40"/>
        </w:rPr>
        <w:t>Explainable Deep Learning Framework for Brain Tumor Classification from MRI Scans</w:t>
      </w:r>
    </w:p>
    <w:p w14:paraId="20FC0822" w14:textId="77777777" w:rsidR="00E64BA3" w:rsidRPr="00CB798B" w:rsidRDefault="00E64BA3" w:rsidP="00E64BA3">
      <w:pPr>
        <w:jc w:val="center"/>
        <w:rPr>
          <w:rFonts w:cstheme="minorHAnsi"/>
          <w:b/>
          <w:bCs/>
          <w:sz w:val="40"/>
          <w:szCs w:val="40"/>
        </w:rPr>
      </w:pPr>
    </w:p>
    <w:p w14:paraId="07B4797B" w14:textId="6068A420" w:rsidR="00E64BA3" w:rsidRPr="00CB798B" w:rsidRDefault="00E64BA3" w:rsidP="00E64BA3">
      <w:pPr>
        <w:jc w:val="both"/>
        <w:rPr>
          <w:rFonts w:cstheme="minorHAnsi"/>
          <w:b/>
          <w:bCs/>
          <w:sz w:val="24"/>
          <w:szCs w:val="24"/>
        </w:rPr>
      </w:pPr>
      <w:r w:rsidRPr="00CB798B">
        <w:rPr>
          <w:rFonts w:cstheme="minorHAnsi"/>
          <w:b/>
          <w:bCs/>
          <w:sz w:val="24"/>
          <w:szCs w:val="24"/>
        </w:rPr>
        <w:t>ABSTRACT:</w:t>
      </w:r>
    </w:p>
    <w:p w14:paraId="20A243FF" w14:textId="2CA08E6C" w:rsidR="00743653" w:rsidRPr="00743653" w:rsidRDefault="00FA6CA8" w:rsidP="00743653">
      <w:pPr>
        <w:jc w:val="both"/>
        <w:rPr>
          <w:rFonts w:cstheme="minorHAnsi"/>
          <w:sz w:val="24"/>
          <w:szCs w:val="24"/>
        </w:rPr>
      </w:pPr>
      <w:r w:rsidRPr="00CB798B">
        <w:rPr>
          <w:rFonts w:cstheme="minorHAnsi"/>
          <w:sz w:val="24"/>
          <w:szCs w:val="24"/>
        </w:rPr>
        <w:tab/>
      </w:r>
      <w:r w:rsidR="00743653" w:rsidRPr="00743653">
        <w:rPr>
          <w:rFonts w:cstheme="minorHAnsi"/>
        </w:rPr>
        <w:t>Brain tumor detection using magnetic resonance imaging (MRI) is essential for early diagnosis and treatment planning. Recently, deep learning models, especially convolutional neural networks (CNNs), have shown high accuracy in automatically classifying brain tumors. However, many existing methods focus mainly on prediction accuracy and act as black-box systems. They provide little insight into how decisions are made. This lack of clarity makes it hard to determine if models are targeting clinically important tumor areas. As a result, this reduces trust and limits their use in real-world medical settings. Additionally, many studies depend on a single deep learning model and assess performance mostly through accuracy, without examining interpretability or comparing how different models behave.</w:t>
      </w:r>
      <w:r w:rsidR="000F1E2E">
        <w:rPr>
          <w:rFonts w:cstheme="minorHAnsi"/>
        </w:rPr>
        <w:t xml:space="preserve"> </w:t>
      </w:r>
      <w:r w:rsidR="00743653" w:rsidRPr="00743653">
        <w:rPr>
          <w:rFonts w:cstheme="minorHAnsi"/>
          <w:sz w:val="24"/>
          <w:szCs w:val="24"/>
        </w:rPr>
        <w:t xml:space="preserve">This </w:t>
      </w:r>
      <w:r w:rsidR="00743653">
        <w:rPr>
          <w:rFonts w:cstheme="minorHAnsi"/>
          <w:sz w:val="24"/>
          <w:szCs w:val="24"/>
        </w:rPr>
        <w:t>paper</w:t>
      </w:r>
      <w:r w:rsidR="00743653" w:rsidRPr="00743653">
        <w:rPr>
          <w:rFonts w:cstheme="minorHAnsi"/>
          <w:sz w:val="24"/>
          <w:szCs w:val="24"/>
        </w:rPr>
        <w:t xml:space="preserve"> introduces an explainability-focused deep learning framework for analyzing brain tumors using MRI images. It uses several pre-trained CNN models, including EfficientNetB0, ResNet50, and DenseNet121, to classify tumors. For each MRI image, each model makes predictions independently. Gradient-weighted Class Activation Mapping (Grad-CAM) is then used to visually highlight the tumor-related areas that influence decisions. Along with visual explanations, numerical indicators like prediction confidence, focus score, and coverage score are calculated to aid in structured model comparison.</w:t>
      </w:r>
      <w:r w:rsidR="000F1E2E">
        <w:rPr>
          <w:rFonts w:cstheme="minorHAnsi"/>
          <w:sz w:val="24"/>
          <w:szCs w:val="24"/>
        </w:rPr>
        <w:t xml:space="preserve"> </w:t>
      </w:r>
      <w:r w:rsidR="00743653" w:rsidRPr="00743653">
        <w:rPr>
          <w:rFonts w:cstheme="minorHAnsi"/>
          <w:sz w:val="24"/>
          <w:szCs w:val="24"/>
        </w:rPr>
        <w:t>Instead of just looking at classification accuracy, the proposed system evaluates models based on prediction confidence and explanation quality. It recommends the most reliable model for each MRI image. By combining explainable AI with multi-model comparison and decision support, this approach improves transparency, understanding, and trust in deep learning-based brain tumor detection, making it more suitable for both practical and research-oriented applications.</w:t>
      </w:r>
    </w:p>
    <w:p w14:paraId="3953A269" w14:textId="0C175E1D" w:rsidR="00FA6CA8" w:rsidRPr="00CB798B" w:rsidRDefault="00FA6CA8" w:rsidP="00FA6CA8">
      <w:pPr>
        <w:jc w:val="both"/>
        <w:rPr>
          <w:rFonts w:cstheme="minorHAnsi"/>
          <w:sz w:val="24"/>
          <w:szCs w:val="24"/>
        </w:rPr>
      </w:pPr>
    </w:p>
    <w:p w14:paraId="2A0D253B" w14:textId="77777777" w:rsidR="00FA6CA8" w:rsidRPr="00CB798B" w:rsidRDefault="00FA6CA8" w:rsidP="00FA6CA8">
      <w:pPr>
        <w:jc w:val="both"/>
        <w:rPr>
          <w:rFonts w:cstheme="minorHAnsi"/>
          <w:sz w:val="24"/>
          <w:szCs w:val="24"/>
        </w:rPr>
      </w:pPr>
    </w:p>
    <w:p w14:paraId="79D3F7C9" w14:textId="21A652D3" w:rsidR="00FA6CA8" w:rsidRPr="00CB798B" w:rsidRDefault="00FA6CA8" w:rsidP="00FA6CA8">
      <w:pPr>
        <w:jc w:val="both"/>
        <w:rPr>
          <w:rFonts w:cstheme="minorHAnsi"/>
          <w:b/>
          <w:bCs/>
          <w:sz w:val="24"/>
          <w:szCs w:val="24"/>
        </w:rPr>
      </w:pPr>
      <w:r w:rsidRPr="00CB798B">
        <w:rPr>
          <w:rFonts w:cstheme="minorHAnsi"/>
          <w:b/>
          <w:bCs/>
          <w:sz w:val="24"/>
          <w:szCs w:val="24"/>
        </w:rPr>
        <w:t>Keywords: CNN, ResNet50, DenseNet, EfficientNetB0, Brain tumor, MRI Scans, Explainable Artificial intelligence, Deep learning.</w:t>
      </w:r>
    </w:p>
    <w:p w14:paraId="5EE074CA" w14:textId="77777777" w:rsidR="00E64BA3" w:rsidRPr="00CB798B" w:rsidRDefault="00E64BA3" w:rsidP="00E64BA3">
      <w:pPr>
        <w:jc w:val="both"/>
        <w:rPr>
          <w:rFonts w:cstheme="minorHAnsi"/>
          <w:b/>
          <w:bCs/>
          <w:sz w:val="24"/>
          <w:szCs w:val="24"/>
        </w:rPr>
      </w:pPr>
    </w:p>
    <w:p w14:paraId="3DD94E44" w14:textId="77777777" w:rsidR="003F1AA6" w:rsidRDefault="003F1AA6" w:rsidP="00E64BA3">
      <w:pPr>
        <w:jc w:val="both"/>
        <w:rPr>
          <w:rFonts w:cstheme="minorHAnsi"/>
          <w:b/>
          <w:bCs/>
          <w:sz w:val="24"/>
          <w:szCs w:val="24"/>
        </w:rPr>
      </w:pPr>
    </w:p>
    <w:p w14:paraId="5882B8F5" w14:textId="77777777" w:rsidR="00966808" w:rsidRDefault="00966808" w:rsidP="00E64BA3">
      <w:pPr>
        <w:jc w:val="both"/>
        <w:rPr>
          <w:rFonts w:cstheme="minorHAnsi"/>
          <w:b/>
          <w:bCs/>
          <w:sz w:val="24"/>
          <w:szCs w:val="24"/>
        </w:rPr>
      </w:pPr>
    </w:p>
    <w:p w14:paraId="22649CFC" w14:textId="77777777" w:rsidR="00966808" w:rsidRDefault="00966808" w:rsidP="00E64BA3">
      <w:pPr>
        <w:jc w:val="both"/>
        <w:rPr>
          <w:rFonts w:cstheme="minorHAnsi"/>
          <w:b/>
          <w:bCs/>
          <w:sz w:val="24"/>
          <w:szCs w:val="24"/>
        </w:rPr>
      </w:pPr>
    </w:p>
    <w:p w14:paraId="28AFD267" w14:textId="77777777" w:rsidR="00966808" w:rsidRDefault="00966808" w:rsidP="00E64BA3">
      <w:pPr>
        <w:jc w:val="both"/>
        <w:rPr>
          <w:rFonts w:cstheme="minorHAnsi"/>
          <w:b/>
          <w:bCs/>
          <w:sz w:val="24"/>
          <w:szCs w:val="24"/>
        </w:rPr>
      </w:pPr>
    </w:p>
    <w:p w14:paraId="650548F9" w14:textId="77777777" w:rsidR="00966808" w:rsidRPr="00CB798B" w:rsidRDefault="00966808" w:rsidP="00E64BA3">
      <w:pPr>
        <w:jc w:val="both"/>
        <w:rPr>
          <w:rFonts w:cstheme="minorHAnsi"/>
          <w:b/>
          <w:bCs/>
          <w:sz w:val="24"/>
          <w:szCs w:val="24"/>
        </w:rPr>
      </w:pPr>
    </w:p>
    <w:p w14:paraId="0D5BCFBE" w14:textId="2D0B410D" w:rsidR="003F1AA6" w:rsidRPr="00CB798B" w:rsidRDefault="003F1AA6" w:rsidP="00E64BA3">
      <w:pPr>
        <w:jc w:val="both"/>
        <w:rPr>
          <w:rFonts w:cstheme="minorHAnsi"/>
          <w:b/>
          <w:bCs/>
          <w:sz w:val="24"/>
          <w:szCs w:val="24"/>
        </w:rPr>
      </w:pPr>
    </w:p>
    <w:p w14:paraId="4BCBDFEF" w14:textId="5543A7C6" w:rsidR="00EC23DB" w:rsidRPr="00CB798B" w:rsidRDefault="00EC23DB" w:rsidP="00E64BA3">
      <w:pPr>
        <w:jc w:val="both"/>
        <w:rPr>
          <w:rFonts w:cstheme="minorHAnsi"/>
          <w:b/>
          <w:bCs/>
          <w:sz w:val="24"/>
          <w:szCs w:val="24"/>
        </w:rPr>
      </w:pPr>
      <w:r w:rsidRPr="00CB798B">
        <w:rPr>
          <w:rFonts w:cstheme="minorHAnsi"/>
          <w:b/>
          <w:bCs/>
          <w:sz w:val="24"/>
          <w:szCs w:val="24"/>
        </w:rPr>
        <w:lastRenderedPageBreak/>
        <w:t>Literature Review:</w:t>
      </w:r>
    </w:p>
    <w:p w14:paraId="4F829061" w14:textId="77777777" w:rsidR="00EC23DB" w:rsidRPr="00CB798B" w:rsidRDefault="00EC23DB" w:rsidP="00EC23DB">
      <w:pPr>
        <w:jc w:val="both"/>
        <w:rPr>
          <w:rFonts w:cstheme="minorHAnsi"/>
          <w:sz w:val="24"/>
          <w:szCs w:val="24"/>
        </w:rPr>
      </w:pPr>
      <w:r w:rsidRPr="00CB798B">
        <w:rPr>
          <w:rFonts w:cstheme="minorHAnsi"/>
          <w:sz w:val="24"/>
          <w:szCs w:val="24"/>
        </w:rPr>
        <w:t>Mahmud et al. (2023) conducted a comprehensive investigation into deep learning–based brain tumor detection from MRI images by evaluating multiple convolutional neural network (CNN) architectures. Their study demonstrated that deep models such as ResNet and DenseNet significantly outperform traditional machine learning methods due to superior hierarchical feature extraction. However, their work primarily emphasized performance comparison and did not incorporate interpretability mechanisms, making the clinical decision process opaque. The authors suggested that future research should focus on improving model transparency and clinical reliability.</w:t>
      </w:r>
    </w:p>
    <w:p w14:paraId="5EE9B4F3" w14:textId="77777777" w:rsidR="00EC23DB" w:rsidRPr="00CB798B" w:rsidRDefault="00EC23DB" w:rsidP="00EC23DB">
      <w:pPr>
        <w:jc w:val="both"/>
        <w:rPr>
          <w:rFonts w:cstheme="minorHAnsi"/>
          <w:sz w:val="24"/>
          <w:szCs w:val="24"/>
        </w:rPr>
      </w:pPr>
      <w:r w:rsidRPr="00CB798B">
        <w:rPr>
          <w:rFonts w:cstheme="minorHAnsi"/>
          <w:sz w:val="24"/>
          <w:szCs w:val="24"/>
        </w:rPr>
        <w:t>Ghosh et al. (2021) proposed an improved U-Net architecture for brain tumor segmentation, addressing limitations of earlier segmentation approaches that relied on manual intervention. Their model achieved strong Dice similarity scores and accurately delineated tumor boundaries. Despite these advances, the study focused solely on segmentation and did not explore tumor classification or explainability, limiting its use as a comprehensive diagnostic tool.</w:t>
      </w:r>
    </w:p>
    <w:p w14:paraId="46CFB4B4" w14:textId="568677BA" w:rsidR="00EC23DB" w:rsidRPr="00CB798B" w:rsidRDefault="00EC23DB" w:rsidP="00EC23DB">
      <w:pPr>
        <w:jc w:val="both"/>
        <w:rPr>
          <w:rFonts w:cstheme="minorHAnsi"/>
          <w:sz w:val="24"/>
          <w:szCs w:val="24"/>
        </w:rPr>
      </w:pPr>
      <w:r w:rsidRPr="00CB798B">
        <w:rPr>
          <w:rFonts w:cstheme="minorHAnsi"/>
          <w:sz w:val="24"/>
          <w:szCs w:val="24"/>
        </w:rPr>
        <w:t>Wo</w:t>
      </w:r>
      <w:r w:rsidR="00CB798B">
        <w:rPr>
          <w:rFonts w:cstheme="minorHAnsi"/>
          <w:sz w:val="24"/>
          <w:szCs w:val="24"/>
        </w:rPr>
        <w:t>z</w:t>
      </w:r>
      <w:r w:rsidRPr="00CB798B">
        <w:rPr>
          <w:rFonts w:cstheme="minorHAnsi"/>
          <w:sz w:val="24"/>
          <w:szCs w:val="24"/>
        </w:rPr>
        <w:t>niak et al. (2023) explored deep neural network correlation learning for tumor detection using medical imaging data. Their work highlighted the effectiveness of correlation-based feature learning in capturing complex tumor patterns. However, the model lacked explainability and was tested on restricted datasets, raising concerns regarding generalization and trustworthiness.</w:t>
      </w:r>
    </w:p>
    <w:p w14:paraId="295442D8" w14:textId="77777777" w:rsidR="00EC23DB" w:rsidRPr="00CB798B" w:rsidRDefault="00EC23DB" w:rsidP="00EC23DB">
      <w:pPr>
        <w:jc w:val="both"/>
        <w:rPr>
          <w:rFonts w:cstheme="minorHAnsi"/>
          <w:sz w:val="24"/>
          <w:szCs w:val="24"/>
        </w:rPr>
      </w:pPr>
      <w:r w:rsidRPr="00CB798B">
        <w:rPr>
          <w:rFonts w:cstheme="minorHAnsi"/>
          <w:sz w:val="24"/>
          <w:szCs w:val="24"/>
        </w:rPr>
        <w:t>Saleh et al. (2020) applied deep learning models for MRI-based brain tumor classification and demonstrated improved accuracy over conventional approaches. Although their results validated the effectiveness of CNN-based models, the study did not address interpretability, nor did it analyze model behavior under varying data conditions, which is crucial for real-world clinical deployment.</w:t>
      </w:r>
    </w:p>
    <w:p w14:paraId="20953010" w14:textId="77777777" w:rsidR="00EC23DB" w:rsidRPr="00CB798B" w:rsidRDefault="00EC23DB" w:rsidP="00EC23DB">
      <w:pPr>
        <w:jc w:val="both"/>
        <w:rPr>
          <w:rFonts w:cstheme="minorHAnsi"/>
          <w:sz w:val="24"/>
          <w:szCs w:val="24"/>
        </w:rPr>
      </w:pPr>
      <w:r w:rsidRPr="00CB798B">
        <w:rPr>
          <w:rFonts w:cstheme="minorHAnsi"/>
          <w:sz w:val="24"/>
          <w:szCs w:val="24"/>
        </w:rPr>
        <w:t>Nazir et al. (2024) introduced a customized CNN model for brain tumor prediction and incorporated explainable AI techniques such as SHAP, LIME, and Grad-CAM to visualize decision-making regions. Their approach improved transparency and achieved high accuracy on the BR35H dataset. However, explainability was applied post-hoc and remained qualitative, and the study was limited to binary classification, reducing its applicability to multi-class tumor diagnosis.</w:t>
      </w:r>
    </w:p>
    <w:p w14:paraId="16619641" w14:textId="77777777" w:rsidR="00EC23DB" w:rsidRPr="00CB798B" w:rsidRDefault="00EC23DB" w:rsidP="00EC23DB">
      <w:pPr>
        <w:jc w:val="both"/>
        <w:rPr>
          <w:rFonts w:cstheme="minorHAnsi"/>
          <w:sz w:val="24"/>
          <w:szCs w:val="24"/>
        </w:rPr>
      </w:pPr>
      <w:r w:rsidRPr="00CB798B">
        <w:rPr>
          <w:rFonts w:cstheme="minorHAnsi"/>
          <w:sz w:val="24"/>
          <w:szCs w:val="24"/>
        </w:rPr>
        <w:t>Haque et al. proposed NeuroNet19, an explainable deep neural network model for brain tumor classification. By integrating transfer learning and LIME-based explanations, their model achieved high predictive accuracy while providing localized explanations. Nevertheless, the framework focused mainly on binary classification and single-dataset evaluation, leaving scope for multi-class expansion and robustness analysis.</w:t>
      </w:r>
    </w:p>
    <w:p w14:paraId="38CDF72F" w14:textId="77777777" w:rsidR="00EC23DB" w:rsidRPr="00CB798B" w:rsidRDefault="00EC23DB" w:rsidP="00EC23DB">
      <w:pPr>
        <w:jc w:val="both"/>
        <w:rPr>
          <w:rFonts w:cstheme="minorHAnsi"/>
          <w:sz w:val="24"/>
          <w:szCs w:val="24"/>
        </w:rPr>
      </w:pPr>
      <w:r w:rsidRPr="00CB798B">
        <w:rPr>
          <w:rFonts w:cstheme="minorHAnsi"/>
          <w:sz w:val="24"/>
          <w:szCs w:val="24"/>
        </w:rPr>
        <w:t xml:space="preserve">Kumar et al. introduced a subtractive spatial lightweight CNN aimed at reducing computational complexity in brain tumor diagnosis. Their model significantly reduced inference time and incorporated class activation mapping (CAM) to improve interpretability. </w:t>
      </w:r>
      <w:r w:rsidRPr="00CB798B">
        <w:rPr>
          <w:rFonts w:cstheme="minorHAnsi"/>
          <w:sz w:val="24"/>
          <w:szCs w:val="24"/>
        </w:rPr>
        <w:lastRenderedPageBreak/>
        <w:t>However, the reduced model depth led to lower classification accuracy compared to deeper architectures, highlighting a trade-off between efficiency and performance.</w:t>
      </w:r>
    </w:p>
    <w:p w14:paraId="5090890F" w14:textId="77777777" w:rsidR="00EC23DB" w:rsidRPr="00CB798B" w:rsidRDefault="00EC23DB" w:rsidP="00EC23DB">
      <w:pPr>
        <w:jc w:val="both"/>
        <w:rPr>
          <w:rFonts w:cstheme="minorHAnsi"/>
          <w:sz w:val="24"/>
          <w:szCs w:val="24"/>
        </w:rPr>
      </w:pPr>
      <w:r w:rsidRPr="00CB798B">
        <w:rPr>
          <w:rFonts w:cstheme="minorHAnsi"/>
          <w:sz w:val="24"/>
          <w:szCs w:val="24"/>
        </w:rPr>
        <w:t>Bibi et al. employed DenseNet121 for brain tumor classification and utilized Grad-CAM to visualize discriminative tumor regions. Their study demonstrated that densely connected networks effectively capture tumor-related features. Despite promising results, explainability analysis was limited to visual inspection, and no clinical validation was provided.</w:t>
      </w:r>
    </w:p>
    <w:p w14:paraId="53E6ED20" w14:textId="77777777" w:rsidR="00EC23DB" w:rsidRPr="00CB798B" w:rsidRDefault="00EC23DB" w:rsidP="00EC23DB">
      <w:pPr>
        <w:jc w:val="both"/>
        <w:rPr>
          <w:rFonts w:cstheme="minorHAnsi"/>
          <w:sz w:val="24"/>
          <w:szCs w:val="24"/>
        </w:rPr>
      </w:pPr>
      <w:r w:rsidRPr="00CB798B">
        <w:rPr>
          <w:rFonts w:cstheme="minorHAnsi"/>
          <w:sz w:val="24"/>
          <w:szCs w:val="24"/>
        </w:rPr>
        <w:t>Nhlapho et al. performed a comparative study of multiple deep learning architectures, including DenseNet and EfficientNet, for brain tumor classification. Their findings revealed that DenseNet and EfficientNet achieved high accuracy with fewer parameters. Although Grad-CAM and Grad-CAM++ were used for interpretation, the study did not examine explanation consistency or behavior across datasets.</w:t>
      </w:r>
    </w:p>
    <w:p w14:paraId="5D23B4F2" w14:textId="77777777" w:rsidR="00EC23DB" w:rsidRPr="00CB798B" w:rsidRDefault="00EC23DB" w:rsidP="00EC23DB">
      <w:pPr>
        <w:jc w:val="both"/>
        <w:rPr>
          <w:rFonts w:cstheme="minorHAnsi"/>
          <w:sz w:val="24"/>
          <w:szCs w:val="24"/>
        </w:rPr>
      </w:pPr>
      <w:r w:rsidRPr="00CB798B">
        <w:rPr>
          <w:rFonts w:cstheme="minorHAnsi"/>
          <w:sz w:val="24"/>
          <w:szCs w:val="24"/>
        </w:rPr>
        <w:t>Ranjbarzadeh et al. proposed an optimized CNN for brain tumor segmentation using feature selection and preprocessing strategies to address class imbalance and fuzzy tumor boundaries. Their method achieved improved segmentation accuracy on the BraTS dataset. However, the work did not consider explainability or classification tasks, limiting its diagnostic scope.</w:t>
      </w:r>
    </w:p>
    <w:p w14:paraId="3DE19D54" w14:textId="77777777" w:rsidR="00EC23DB" w:rsidRPr="00CB798B" w:rsidRDefault="00EC23DB" w:rsidP="00EC23DB">
      <w:pPr>
        <w:jc w:val="both"/>
        <w:rPr>
          <w:rFonts w:cstheme="minorHAnsi"/>
          <w:sz w:val="24"/>
          <w:szCs w:val="24"/>
        </w:rPr>
      </w:pPr>
      <w:r w:rsidRPr="00CB798B">
        <w:rPr>
          <w:rFonts w:cstheme="minorHAnsi"/>
          <w:sz w:val="24"/>
          <w:szCs w:val="24"/>
        </w:rPr>
        <w:t>Gaur et al. developed an explanation-driven deep learning framework that integrated LIME and SHAP to enhance transparency in brain tumor classification. Their study emphasized interpretability as a core requirement for medical AI. However, explanations were not integrated into the training process and were used only for post-analysis, limiting their impact on model learning.</w:t>
      </w:r>
    </w:p>
    <w:p w14:paraId="135D6B32" w14:textId="77777777" w:rsidR="00EC23DB" w:rsidRPr="00CB798B" w:rsidRDefault="00EC23DB" w:rsidP="00EC23DB">
      <w:pPr>
        <w:jc w:val="both"/>
        <w:rPr>
          <w:rFonts w:cstheme="minorHAnsi"/>
          <w:sz w:val="24"/>
          <w:szCs w:val="24"/>
        </w:rPr>
      </w:pPr>
      <w:r w:rsidRPr="00CB798B">
        <w:rPr>
          <w:rFonts w:cstheme="minorHAnsi"/>
          <w:sz w:val="24"/>
          <w:szCs w:val="24"/>
        </w:rPr>
        <w:t xml:space="preserve">Zeineldin et al. introduced </w:t>
      </w:r>
      <w:r w:rsidRPr="00DF4328">
        <w:rPr>
          <w:rFonts w:cstheme="minorHAnsi"/>
          <w:sz w:val="24"/>
          <w:szCs w:val="24"/>
        </w:rPr>
        <w:t>TransXAI</w:t>
      </w:r>
      <w:r w:rsidRPr="00CB798B">
        <w:rPr>
          <w:rFonts w:cstheme="minorHAnsi"/>
          <w:sz w:val="24"/>
          <w:szCs w:val="24"/>
        </w:rPr>
        <w:t>, a CNN–Transformer hybrid model for glioma segmentation with Grad-CAM-based interpretability. The model aligned well with clinical workflows and demonstrated strong segmentation performance. However, the framework required extensive computational resources and careful MRI modality selection, limiting its scalability.</w:t>
      </w:r>
    </w:p>
    <w:p w14:paraId="01E6222D" w14:textId="77777777" w:rsidR="00EC23DB" w:rsidRPr="00CB798B" w:rsidRDefault="00EC23DB" w:rsidP="00EC23DB">
      <w:pPr>
        <w:jc w:val="both"/>
        <w:rPr>
          <w:rFonts w:cstheme="minorHAnsi"/>
          <w:sz w:val="24"/>
          <w:szCs w:val="24"/>
        </w:rPr>
      </w:pPr>
      <w:r w:rsidRPr="00CB798B">
        <w:rPr>
          <w:rFonts w:cstheme="minorHAnsi"/>
          <w:sz w:val="24"/>
          <w:szCs w:val="24"/>
        </w:rPr>
        <w:t xml:space="preserve">Tonmoy et al. proposed </w:t>
      </w:r>
      <w:r w:rsidRPr="00DF4328">
        <w:rPr>
          <w:rFonts w:cstheme="minorHAnsi"/>
          <w:sz w:val="24"/>
          <w:szCs w:val="24"/>
        </w:rPr>
        <w:t>X-Brain</w:t>
      </w:r>
      <w:r w:rsidRPr="00CB798B">
        <w:rPr>
          <w:rFonts w:cstheme="minorHAnsi"/>
          <w:sz w:val="24"/>
          <w:szCs w:val="24"/>
        </w:rPr>
        <w:t>, a robust deep attention CNN trained on a large, merged MRI dataset containing normal and tumor classes. The model employed Grad-CAM, Grad-CAM++, and Score-CAM for explainability and achieved state-of-the-art accuracy. Despite these strengths, the architecture was computationally intensive, making real-time deployment challenging.</w:t>
      </w:r>
    </w:p>
    <w:p w14:paraId="74B9D6FC" w14:textId="77777777" w:rsidR="00EC23DB" w:rsidRPr="00CB798B" w:rsidRDefault="00EC23DB" w:rsidP="00EC23DB">
      <w:pPr>
        <w:jc w:val="both"/>
        <w:rPr>
          <w:rFonts w:cstheme="minorHAnsi"/>
          <w:sz w:val="24"/>
          <w:szCs w:val="24"/>
        </w:rPr>
      </w:pPr>
      <w:r w:rsidRPr="00CB798B">
        <w:rPr>
          <w:rFonts w:cstheme="minorHAnsi"/>
          <w:sz w:val="24"/>
          <w:szCs w:val="24"/>
        </w:rPr>
        <w:t>Islam et al. (2025) presented an improved DenseNet-based architecture and compared it with several state-of-the-art models, including Vision Transformers and ConvNeXt. The integration of Grad-CAM++ enabled improved tumor localization and interpretability. However, the model’s complexity and reliance on large datasets limited its applicability in resource-constrained environments.</w:t>
      </w:r>
    </w:p>
    <w:p w14:paraId="18797C0F" w14:textId="77777777" w:rsidR="00EC23DB" w:rsidRPr="00CB798B" w:rsidRDefault="00EC23DB" w:rsidP="00EC23DB">
      <w:pPr>
        <w:jc w:val="both"/>
        <w:rPr>
          <w:rFonts w:cstheme="minorHAnsi"/>
          <w:sz w:val="24"/>
          <w:szCs w:val="24"/>
        </w:rPr>
      </w:pPr>
      <w:r w:rsidRPr="00CB798B">
        <w:rPr>
          <w:rFonts w:cstheme="minorHAnsi"/>
          <w:sz w:val="24"/>
          <w:szCs w:val="24"/>
        </w:rPr>
        <w:t xml:space="preserve">Brima and Atemkeng conducted a detailed evaluation of visual interpretability methods, including integrated gradients and saliency-based techniques, across multiple CNN architectures. Their work advanced the understanding of how deep models interpret medical </w:t>
      </w:r>
      <w:r w:rsidRPr="00CB798B">
        <w:rPr>
          <w:rFonts w:cstheme="minorHAnsi"/>
          <w:sz w:val="24"/>
          <w:szCs w:val="24"/>
        </w:rPr>
        <w:lastRenderedPageBreak/>
        <w:t>images. Nevertheless, the study was not specifically tailored to brain tumor classification and lacked task-specific optimization.</w:t>
      </w:r>
    </w:p>
    <w:p w14:paraId="07991542" w14:textId="77777777" w:rsidR="00EC23DB" w:rsidRPr="00CB798B" w:rsidRDefault="00EC23DB" w:rsidP="00EC23DB">
      <w:pPr>
        <w:jc w:val="both"/>
        <w:rPr>
          <w:rFonts w:cstheme="minorHAnsi"/>
          <w:sz w:val="24"/>
          <w:szCs w:val="24"/>
        </w:rPr>
      </w:pPr>
      <w:r w:rsidRPr="00CB798B">
        <w:rPr>
          <w:rFonts w:cstheme="minorHAnsi"/>
          <w:sz w:val="24"/>
          <w:szCs w:val="24"/>
        </w:rPr>
        <w:t>Several additional studies by Akter et al., Srinivas et al., and Nassar et al. explored hybrid architectures, ensemble learning, and attention mechanisms to improve classification accuracy. While these approaches enhanced performance and robustness, explainability was either absent or limited to basic visualization, and most evaluations were confined to single datasets.</w:t>
      </w:r>
    </w:p>
    <w:p w14:paraId="47AF7CA2" w14:textId="5482D1C2" w:rsidR="00EC23DB" w:rsidRDefault="00C342B1" w:rsidP="00E64BA3">
      <w:pPr>
        <w:jc w:val="both"/>
        <w:rPr>
          <w:rFonts w:cstheme="minorHAnsi"/>
          <w:sz w:val="24"/>
          <w:szCs w:val="24"/>
        </w:rPr>
      </w:pPr>
      <w:r w:rsidRPr="00CB798B">
        <w:rPr>
          <w:rFonts w:cstheme="minorHAnsi"/>
          <w:sz w:val="24"/>
          <w:szCs w:val="24"/>
        </w:rPr>
        <w:t>Although existing studies have achieved high accuracy in brain tumor classification using deep learning models like CNNs, attention-based architectures, and transfer learning, most approaches focus mainly on predictive performance. In many works, explainable AI techniques are used only for post-hoc visualizations and are limited to evaluations involving a single dataset. There is not enough qualitative analysis of explainability behavior across different datasets, tumor types, and misclassification cases. Additionally, the clinical relevance of visual explanations is rarely examined in detail. These limitations emphasize the need for a framework centered around explainability that systematically analyzes model behavior and robustness while maintaining high diagnostic accuracy.</w:t>
      </w:r>
    </w:p>
    <w:p w14:paraId="7A0834B4" w14:textId="52239667" w:rsidR="007B15D1" w:rsidRPr="00CB798B" w:rsidRDefault="007B15D1" w:rsidP="00E64BA3">
      <w:pPr>
        <w:jc w:val="both"/>
        <w:rPr>
          <w:rFonts w:cstheme="minorHAnsi"/>
          <w:sz w:val="24"/>
          <w:szCs w:val="24"/>
        </w:rPr>
      </w:pPr>
      <w:r>
        <w:rPr>
          <w:noProof/>
        </w:rPr>
        <w:drawing>
          <wp:inline distT="0" distB="0" distL="0" distR="0" wp14:anchorId="3A4DE12F" wp14:editId="48FE9B37">
            <wp:extent cx="5731510" cy="3223895"/>
            <wp:effectExtent l="0" t="0" r="2540" b="0"/>
            <wp:docPr id="8334083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8361" name=""/>
                    <pic:cNvPicPr/>
                  </pic:nvPicPr>
                  <pic:blipFill>
                    <a:blip r:embed="rId4">
                      <a:extLst>
                        <a:ext uri="{96DAC541-7B7A-43D3-8B79-37D633B846F1}">
                          <asvg:svgBlip xmlns:asvg="http://schemas.microsoft.com/office/drawing/2016/SVG/main" r:embed="rId5"/>
                        </a:ext>
                      </a:extLst>
                    </a:blip>
                    <a:stretch>
                      <a:fillRect/>
                    </a:stretch>
                  </pic:blipFill>
                  <pic:spPr>
                    <a:xfrm>
                      <a:off x="0" y="0"/>
                      <a:ext cx="5731510" cy="3223895"/>
                    </a:xfrm>
                    <a:prstGeom prst="rect">
                      <a:avLst/>
                    </a:prstGeom>
                  </pic:spPr>
                </pic:pic>
              </a:graphicData>
            </a:graphic>
          </wp:inline>
        </w:drawing>
      </w:r>
    </w:p>
    <w:sectPr w:rsidR="007B15D1" w:rsidRPr="00CB7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A3"/>
    <w:rsid w:val="00006FFE"/>
    <w:rsid w:val="000F1E2E"/>
    <w:rsid w:val="001E6C78"/>
    <w:rsid w:val="002359B2"/>
    <w:rsid w:val="003F1391"/>
    <w:rsid w:val="003F1AA6"/>
    <w:rsid w:val="00507B7A"/>
    <w:rsid w:val="005D432B"/>
    <w:rsid w:val="0062724C"/>
    <w:rsid w:val="006D6043"/>
    <w:rsid w:val="007338FA"/>
    <w:rsid w:val="00743653"/>
    <w:rsid w:val="00780524"/>
    <w:rsid w:val="0078566B"/>
    <w:rsid w:val="007B15D1"/>
    <w:rsid w:val="008878C1"/>
    <w:rsid w:val="00966808"/>
    <w:rsid w:val="00A3267C"/>
    <w:rsid w:val="00A821F4"/>
    <w:rsid w:val="00B46664"/>
    <w:rsid w:val="00C342B1"/>
    <w:rsid w:val="00CB798B"/>
    <w:rsid w:val="00CE06B6"/>
    <w:rsid w:val="00DF4328"/>
    <w:rsid w:val="00E43B57"/>
    <w:rsid w:val="00E64BA3"/>
    <w:rsid w:val="00EC23DB"/>
    <w:rsid w:val="00FA6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14FB1"/>
  <w15:chartTrackingRefBased/>
  <w15:docId w15:val="{83EC3410-9648-491E-A6CD-3FF8131A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4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4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4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4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BA3"/>
    <w:rPr>
      <w:rFonts w:eastAsiaTheme="majorEastAsia" w:cstheme="majorBidi"/>
      <w:color w:val="272727" w:themeColor="text1" w:themeTint="D8"/>
    </w:rPr>
  </w:style>
  <w:style w:type="paragraph" w:styleId="Title">
    <w:name w:val="Title"/>
    <w:basedOn w:val="Normal"/>
    <w:next w:val="Normal"/>
    <w:link w:val="TitleChar"/>
    <w:uiPriority w:val="10"/>
    <w:qFormat/>
    <w:rsid w:val="00E64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BA3"/>
    <w:pPr>
      <w:spacing w:before="160"/>
      <w:jc w:val="center"/>
    </w:pPr>
    <w:rPr>
      <w:i/>
      <w:iCs/>
      <w:color w:val="404040" w:themeColor="text1" w:themeTint="BF"/>
    </w:rPr>
  </w:style>
  <w:style w:type="character" w:customStyle="1" w:styleId="QuoteChar">
    <w:name w:val="Quote Char"/>
    <w:basedOn w:val="DefaultParagraphFont"/>
    <w:link w:val="Quote"/>
    <w:uiPriority w:val="29"/>
    <w:rsid w:val="00E64BA3"/>
    <w:rPr>
      <w:i/>
      <w:iCs/>
      <w:color w:val="404040" w:themeColor="text1" w:themeTint="BF"/>
    </w:rPr>
  </w:style>
  <w:style w:type="paragraph" w:styleId="ListParagraph">
    <w:name w:val="List Paragraph"/>
    <w:basedOn w:val="Normal"/>
    <w:uiPriority w:val="34"/>
    <w:qFormat/>
    <w:rsid w:val="00E64BA3"/>
    <w:pPr>
      <w:ind w:left="720"/>
      <w:contextualSpacing/>
    </w:pPr>
  </w:style>
  <w:style w:type="character" w:styleId="IntenseEmphasis">
    <w:name w:val="Intense Emphasis"/>
    <w:basedOn w:val="DefaultParagraphFont"/>
    <w:uiPriority w:val="21"/>
    <w:qFormat/>
    <w:rsid w:val="00E64BA3"/>
    <w:rPr>
      <w:i/>
      <w:iCs/>
      <w:color w:val="2F5496" w:themeColor="accent1" w:themeShade="BF"/>
    </w:rPr>
  </w:style>
  <w:style w:type="paragraph" w:styleId="IntenseQuote">
    <w:name w:val="Intense Quote"/>
    <w:basedOn w:val="Normal"/>
    <w:next w:val="Normal"/>
    <w:link w:val="IntenseQuoteChar"/>
    <w:uiPriority w:val="30"/>
    <w:qFormat/>
    <w:rsid w:val="00E64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BA3"/>
    <w:rPr>
      <w:i/>
      <w:iCs/>
      <w:color w:val="2F5496" w:themeColor="accent1" w:themeShade="BF"/>
    </w:rPr>
  </w:style>
  <w:style w:type="character" w:styleId="IntenseReference">
    <w:name w:val="Intense Reference"/>
    <w:basedOn w:val="DefaultParagraphFont"/>
    <w:uiPriority w:val="32"/>
    <w:qFormat/>
    <w:rsid w:val="00E64BA3"/>
    <w:rPr>
      <w:b/>
      <w:bCs/>
      <w:smallCaps/>
      <w:color w:val="2F5496" w:themeColor="accent1" w:themeShade="BF"/>
      <w:spacing w:val="5"/>
    </w:rPr>
  </w:style>
  <w:style w:type="paragraph" w:styleId="NormalWeb">
    <w:name w:val="Normal (Web)"/>
    <w:basedOn w:val="Normal"/>
    <w:uiPriority w:val="99"/>
    <w:semiHidden/>
    <w:unhideWhenUsed/>
    <w:rsid w:val="007436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4</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 marati</dc:creator>
  <cp:keywords/>
  <dc:description/>
  <cp:lastModifiedBy>vijay kumar marati</cp:lastModifiedBy>
  <cp:revision>15</cp:revision>
  <dcterms:created xsi:type="dcterms:W3CDTF">2026-01-19T16:11:00Z</dcterms:created>
  <dcterms:modified xsi:type="dcterms:W3CDTF">2026-03-03T09:29:00Z</dcterms:modified>
</cp:coreProperties>
</file>