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0B" w:rsidRDefault="0032100B" w:rsidP="00C94932">
      <w:pPr>
        <w:pStyle w:val="paragraph"/>
        <w:tabs>
          <w:tab w:val="left" w:pos="90"/>
        </w:tabs>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Nicole Putnam, Ph.D., of Vanderbilt University</w:t>
      </w:r>
      <w:r>
        <w:rPr>
          <w:rStyle w:val="bcx0"/>
          <w:rFonts w:ascii="Calibri" w:hAnsi="Calibri" w:cs="Segoe UI"/>
          <w:sz w:val="22"/>
          <w:szCs w:val="22"/>
        </w:rPr>
        <w:t> </w:t>
      </w:r>
      <w:r>
        <w:rPr>
          <w:rFonts w:ascii="Calibri" w:hAnsi="Calibri" w:cs="Segoe UI"/>
          <w:sz w:val="22"/>
          <w:szCs w:val="22"/>
        </w:rPr>
        <w:br/>
      </w:r>
      <w:hyperlink r:id="rId5" w:tgtFrame="_blank" w:history="1">
        <w:r>
          <w:rPr>
            <w:rStyle w:val="normaltextrun"/>
            <w:rFonts w:ascii="Calibri" w:hAnsi="Calibri" w:cs="Segoe UI"/>
            <w:b/>
            <w:bCs/>
            <w:color w:val="0563C1"/>
            <w:sz w:val="22"/>
            <w:szCs w:val="22"/>
            <w:u w:val="single"/>
          </w:rPr>
          <w:t xml:space="preserve">“The impact of innate immune recognition of Staphylococcus </w:t>
        </w:r>
        <w:proofErr w:type="spellStart"/>
        <w:r>
          <w:rPr>
            <w:rStyle w:val="normaltextrun"/>
            <w:rFonts w:ascii="Calibri" w:hAnsi="Calibri" w:cs="Segoe UI"/>
            <w:b/>
            <w:bCs/>
            <w:color w:val="0563C1"/>
            <w:sz w:val="22"/>
            <w:szCs w:val="22"/>
            <w:u w:val="single"/>
          </w:rPr>
          <w:t>aureus</w:t>
        </w:r>
        <w:proofErr w:type="spellEnd"/>
        <w:r>
          <w:rPr>
            <w:rStyle w:val="normaltextrun"/>
            <w:rFonts w:ascii="Calibri" w:hAnsi="Calibri" w:cs="Segoe UI"/>
            <w:b/>
            <w:bCs/>
            <w:color w:val="0563C1"/>
            <w:sz w:val="22"/>
            <w:szCs w:val="22"/>
            <w:u w:val="single"/>
          </w:rPr>
          <w:t xml:space="preserve"> on bone homeostasis and skeletal immunity”</w:t>
        </w:r>
      </w:hyperlink>
      <w:r>
        <w:rPr>
          <w:rStyle w:val="eop"/>
          <w:rFonts w:ascii="Calibri" w:hAnsi="Calibri" w:cs="Segoe UI"/>
          <w:sz w:val="22"/>
          <w:szCs w:val="22"/>
        </w:rPr>
        <w:t> </w:t>
      </w:r>
    </w:p>
    <w:p w:rsidR="0032100B" w:rsidRDefault="0032100B" w:rsidP="00C94932">
      <w:pPr>
        <w:pStyle w:val="paragraph"/>
        <w:tabs>
          <w:tab w:val="left" w:pos="90"/>
        </w:tabs>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E82ABF" w:rsidRDefault="00E82ABF" w:rsidP="00C94932">
      <w:pPr>
        <w:pStyle w:val="paragraph"/>
        <w:tabs>
          <w:tab w:val="left" w:pos="90"/>
        </w:tabs>
        <w:textAlignment w:val="baseline"/>
        <w:rPr>
          <w:rStyle w:val="normaltextrun"/>
          <w:rFonts w:ascii="Calibri" w:hAnsi="Calibri" w:cs="Segoe UI"/>
          <w:b/>
          <w:bCs/>
          <w:sz w:val="22"/>
          <w:szCs w:val="22"/>
        </w:rPr>
      </w:pPr>
      <w:r>
        <w:rPr>
          <w:rStyle w:val="normaltextrun"/>
          <w:rFonts w:ascii="Calibri" w:hAnsi="Calibri" w:cs="Segoe UI"/>
          <w:b/>
          <w:bCs/>
          <w:sz w:val="22"/>
          <w:szCs w:val="22"/>
        </w:rPr>
        <w:t>Training in the Responsible Conduct of Research:</w:t>
      </w:r>
    </w:p>
    <w:p w:rsidR="00C94932" w:rsidRDefault="00C94932" w:rsidP="00C94932">
      <w:pPr>
        <w:pStyle w:val="Heading6"/>
        <w:spacing w:before="94"/>
      </w:pPr>
      <w:r>
        <w:t>TRAINING IN RESPONSIBLE CONDUCT OF RESEARCH</w:t>
      </w:r>
    </w:p>
    <w:p w:rsidR="00C94932" w:rsidRDefault="00C94932" w:rsidP="00C94932">
      <w:pPr>
        <w:pStyle w:val="BodyText"/>
        <w:spacing w:before="9"/>
        <w:rPr>
          <w:b/>
        </w:rPr>
      </w:pPr>
    </w:p>
    <w:p w:rsidR="00C94932" w:rsidRDefault="00C94932" w:rsidP="00C94932">
      <w:pPr>
        <w:spacing w:before="1"/>
        <w:ind w:left="560"/>
        <w:rPr>
          <w:b/>
        </w:rPr>
      </w:pPr>
      <w:bookmarkStart w:id="0" w:name="BRET_RCR_Training_"/>
      <w:bookmarkStart w:id="1" w:name="Vanderbilt_University_provides_introduct"/>
      <w:bookmarkEnd w:id="0"/>
      <w:bookmarkEnd w:id="1"/>
      <w:r>
        <w:rPr>
          <w:b/>
          <w:sz w:val="22"/>
        </w:rPr>
        <w:t>BRET RCR Training</w:t>
      </w:r>
    </w:p>
    <w:p w:rsidR="00C94932" w:rsidRDefault="00C94932" w:rsidP="00C94932">
      <w:pPr>
        <w:pStyle w:val="BodyText"/>
        <w:spacing w:before="1"/>
        <w:ind w:left="559" w:right="714" w:firstLine="720"/>
        <w:jc w:val="both"/>
      </w:pPr>
      <w:r>
        <w:t>Vanderbilt University provides introductory and ongoing training in Responsible Conduct of Research (RCR) to graduate students and postdoctoral fellows through the Biomedical Research, Education, and Training (BRET) Office to satisfy NIH RCR requirements.</w:t>
      </w:r>
    </w:p>
    <w:p w:rsidR="00C94932" w:rsidRDefault="00C94932" w:rsidP="00C94932">
      <w:pPr>
        <w:pStyle w:val="BodyText"/>
        <w:spacing w:before="3"/>
      </w:pPr>
    </w:p>
    <w:p w:rsidR="00C94932" w:rsidRDefault="00C94932" w:rsidP="00C94932">
      <w:pPr>
        <w:pStyle w:val="Heading6"/>
        <w:ind w:left="559"/>
      </w:pPr>
      <w:bookmarkStart w:id="2" w:name="Annual_Introduction_to_RCR_for_Incoming_"/>
      <w:bookmarkStart w:id="3" w:name="The_BRET_Office_offers_an_introduction_t"/>
      <w:bookmarkEnd w:id="2"/>
      <w:bookmarkEnd w:id="3"/>
      <w:r>
        <w:t>Annual Introduction to RCR for Incoming Students</w:t>
      </w:r>
    </w:p>
    <w:p w:rsidR="00C94932" w:rsidRDefault="00C94932" w:rsidP="00C94932">
      <w:pPr>
        <w:pStyle w:val="BodyText"/>
        <w:spacing w:before="9"/>
        <w:ind w:left="559" w:right="712" w:firstLine="720"/>
        <w:jc w:val="both"/>
      </w:pPr>
      <w:r>
        <w:t xml:space="preserve">The BRET Office offers an introduction to laboratory ethics to incoming graduate students as a component of orientation. The focus of this course is to define and prevent research misconduct in the forms of plagiarism, fabrication, and falsification by proper methods of record keeping, data management, and sharing. The a 2 hour course led by Dr. Roger </w:t>
      </w:r>
      <w:proofErr w:type="spellStart"/>
      <w:r>
        <w:t>Chalkley</w:t>
      </w:r>
      <w:proofErr w:type="spellEnd"/>
      <w:r>
        <w:t>, Senior Associate Dean for Biomedical Research, Education, and Training, includes lectures, discussions, and case studies. I completed this course in August 2014.</w:t>
      </w:r>
    </w:p>
    <w:p w:rsidR="00C94932" w:rsidRDefault="00C94932" w:rsidP="00C94932">
      <w:pPr>
        <w:pStyle w:val="BodyText"/>
        <w:spacing w:before="5"/>
      </w:pPr>
    </w:p>
    <w:p w:rsidR="00C94932" w:rsidRDefault="00C94932" w:rsidP="00C94932">
      <w:pPr>
        <w:pStyle w:val="Heading6"/>
        <w:spacing w:before="1"/>
        <w:ind w:left="559"/>
      </w:pPr>
      <w:bookmarkStart w:id="4" w:name="Annual_RCR_Symposium_"/>
      <w:bookmarkStart w:id="5" w:name="Each_May,_the_BRET_Office_organizes_a_fu"/>
      <w:bookmarkEnd w:id="4"/>
      <w:bookmarkEnd w:id="5"/>
      <w:r>
        <w:t>Annual RCR Symposium</w:t>
      </w:r>
    </w:p>
    <w:p w:rsidR="00C94932" w:rsidRDefault="00C94932" w:rsidP="00C94932">
      <w:pPr>
        <w:pStyle w:val="BodyText"/>
        <w:spacing w:before="6"/>
        <w:ind w:left="559" w:right="710" w:firstLine="720"/>
        <w:jc w:val="both"/>
      </w:pPr>
      <w:r>
        <w:t xml:space="preserve">Each May, the BRET Office organizes a full day (9 hour) symposium that addresses the RCR issues outlined by the Office of Research Integrity (ORI). I completed this training after choosing my thesis laboratory in May 2015, at the end of the first </w:t>
      </w:r>
      <w:r>
        <w:rPr>
          <w:spacing w:val="-3"/>
        </w:rPr>
        <w:t xml:space="preserve">year </w:t>
      </w:r>
      <w:r>
        <w:t>in the graduate program. Faculty presented face-to-face lectures to expose students to the nine areas of focus for RCR, followed by case studies and small group discussions, with detailed ORI subject matter noted below each</w:t>
      </w:r>
      <w:r>
        <w:rPr>
          <w:spacing w:val="-14"/>
        </w:rPr>
        <w:t xml:space="preserve"> </w:t>
      </w:r>
      <w:r>
        <w:t>topic:</w:t>
      </w:r>
    </w:p>
    <w:p w:rsidR="00C94932" w:rsidRDefault="00C94932" w:rsidP="00C94932">
      <w:pPr>
        <w:pStyle w:val="BodyText"/>
        <w:spacing w:before="4"/>
        <w:rPr>
          <w:sz w:val="23"/>
        </w:rPr>
      </w:pPr>
    </w:p>
    <w:p w:rsidR="00C94932" w:rsidRDefault="00C94932" w:rsidP="00C94932">
      <w:pPr>
        <w:pStyle w:val="ListParagraph"/>
        <w:numPr>
          <w:ilvl w:val="0"/>
          <w:numId w:val="2"/>
        </w:numPr>
        <w:tabs>
          <w:tab w:val="left" w:pos="1279"/>
          <w:tab w:val="left" w:pos="1280"/>
        </w:tabs>
        <w:spacing w:line="237" w:lineRule="auto"/>
        <w:ind w:right="1075"/>
      </w:pPr>
      <w:bookmarkStart w:id="6" w:name="1._Overview_of_Institutional_&amp;_NIH_Polic"/>
      <w:bookmarkEnd w:id="6"/>
      <w:r>
        <w:t xml:space="preserve">Overview of Institutional &amp; NIH Policies regarding grants, research, animal use, and human subjects (Drs. Roger </w:t>
      </w:r>
      <w:bookmarkStart w:id="7" w:name="i._Policies_regarding_humans/live_verteb"/>
      <w:bookmarkEnd w:id="7"/>
      <w:proofErr w:type="spellStart"/>
      <w:r>
        <w:t>Chalkley</w:t>
      </w:r>
      <w:proofErr w:type="spellEnd"/>
      <w:r>
        <w:t>, Alyssa</w:t>
      </w:r>
      <w:r>
        <w:rPr>
          <w:spacing w:val="-6"/>
        </w:rPr>
        <w:t xml:space="preserve"> </w:t>
      </w:r>
      <w:r>
        <w:t>Hasty)</w:t>
      </w:r>
    </w:p>
    <w:p w:rsidR="00C94932" w:rsidRDefault="00C94932" w:rsidP="00C94932">
      <w:pPr>
        <w:pStyle w:val="ListParagraph"/>
        <w:numPr>
          <w:ilvl w:val="1"/>
          <w:numId w:val="2"/>
        </w:numPr>
        <w:tabs>
          <w:tab w:val="left" w:pos="2723"/>
        </w:tabs>
        <w:spacing w:before="6"/>
        <w:ind w:hanging="290"/>
      </w:pPr>
      <w:bookmarkStart w:id="8" w:name="ii._Collaborative_research_"/>
      <w:bookmarkEnd w:id="8"/>
      <w:r>
        <w:t>Policies regarding humans/live vertebrate animals, safe laboratory</w:t>
      </w:r>
      <w:r>
        <w:rPr>
          <w:spacing w:val="-30"/>
        </w:rPr>
        <w:t xml:space="preserve"> </w:t>
      </w:r>
      <w:r>
        <w:t>practices</w:t>
      </w:r>
    </w:p>
    <w:p w:rsidR="00C94932" w:rsidRDefault="00C94932" w:rsidP="00C94932">
      <w:pPr>
        <w:pStyle w:val="ListParagraph"/>
        <w:numPr>
          <w:ilvl w:val="1"/>
          <w:numId w:val="2"/>
        </w:numPr>
        <w:tabs>
          <w:tab w:val="left" w:pos="2723"/>
        </w:tabs>
        <w:spacing w:before="4"/>
        <w:ind w:hanging="341"/>
      </w:pPr>
      <w:r>
        <w:t>Collaborative</w:t>
      </w:r>
      <w:r>
        <w:rPr>
          <w:spacing w:val="-5"/>
        </w:rPr>
        <w:t xml:space="preserve"> </w:t>
      </w:r>
      <w:r>
        <w:t>research</w:t>
      </w:r>
    </w:p>
    <w:p w:rsidR="00C94932" w:rsidRDefault="00C94932" w:rsidP="00C94932">
      <w:pPr>
        <w:pStyle w:val="BodyText"/>
        <w:spacing w:before="7"/>
      </w:pPr>
    </w:p>
    <w:p w:rsidR="00C94932" w:rsidRDefault="00C94932" w:rsidP="00C94932">
      <w:pPr>
        <w:pStyle w:val="ListParagraph"/>
        <w:numPr>
          <w:ilvl w:val="0"/>
          <w:numId w:val="2"/>
        </w:numPr>
        <w:tabs>
          <w:tab w:val="left" w:pos="1279"/>
          <w:tab w:val="left" w:pos="1280"/>
        </w:tabs>
        <w:ind w:right="1308"/>
      </w:pPr>
      <w:bookmarkStart w:id="9" w:name="2._What_biomedical_scientists_in_trainin"/>
      <w:bookmarkEnd w:id="9"/>
      <w:r>
        <w:t>What biomedical scientists in training need to know about the NIH funding system: R01s, Training Grants, Pr</w:t>
      </w:r>
      <w:bookmarkStart w:id="10" w:name="i._The_scientist_as_a_responsible_member"/>
      <w:bookmarkEnd w:id="10"/>
      <w:r>
        <w:t>ogram Project Grants, and Center Grants (Drs. Roland Stein, Tony</w:t>
      </w:r>
      <w:r>
        <w:rPr>
          <w:spacing w:val="-28"/>
        </w:rPr>
        <w:t xml:space="preserve"> </w:t>
      </w:r>
      <w:r>
        <w:t>Weil)</w:t>
      </w:r>
    </w:p>
    <w:p w:rsidR="00C94932" w:rsidRDefault="00C94932" w:rsidP="00C94932">
      <w:pPr>
        <w:pStyle w:val="ListParagraph"/>
        <w:numPr>
          <w:ilvl w:val="1"/>
          <w:numId w:val="2"/>
        </w:numPr>
        <w:tabs>
          <w:tab w:val="left" w:pos="2723"/>
        </w:tabs>
        <w:spacing w:before="10" w:line="237" w:lineRule="auto"/>
        <w:ind w:right="1003" w:hanging="290"/>
      </w:pPr>
      <w:r>
        <w:t>The scientist as a responsible member of society, contemporary ethical issues in biomedical</w:t>
      </w:r>
      <w:r>
        <w:rPr>
          <w:spacing w:val="-4"/>
        </w:rPr>
        <w:t xml:space="preserve"> </w:t>
      </w:r>
      <w:r>
        <w:t>research,</w:t>
      </w:r>
      <w:r>
        <w:rPr>
          <w:spacing w:val="-4"/>
        </w:rPr>
        <w:t xml:space="preserve"> </w:t>
      </w:r>
      <w:r>
        <w:t>and</w:t>
      </w:r>
      <w:r>
        <w:rPr>
          <w:spacing w:val="-4"/>
        </w:rPr>
        <w:t xml:space="preserve"> </w:t>
      </w:r>
      <w:r>
        <w:t>the</w:t>
      </w:r>
      <w:r>
        <w:rPr>
          <w:spacing w:val="-5"/>
        </w:rPr>
        <w:t xml:space="preserve"> </w:t>
      </w:r>
      <w:r>
        <w:t>environmental</w:t>
      </w:r>
      <w:r>
        <w:rPr>
          <w:spacing w:val="-4"/>
        </w:rPr>
        <w:t xml:space="preserve"> </w:t>
      </w:r>
      <w:r>
        <w:t>and</w:t>
      </w:r>
      <w:r>
        <w:rPr>
          <w:spacing w:val="-7"/>
        </w:rPr>
        <w:t xml:space="preserve"> </w:t>
      </w:r>
      <w:r>
        <w:t>societal</w:t>
      </w:r>
      <w:r>
        <w:rPr>
          <w:spacing w:val="-3"/>
        </w:rPr>
        <w:t xml:space="preserve"> </w:t>
      </w:r>
      <w:r>
        <w:t>impacts</w:t>
      </w:r>
      <w:r>
        <w:rPr>
          <w:spacing w:val="-3"/>
        </w:rPr>
        <w:t xml:space="preserve"> </w:t>
      </w:r>
      <w:r>
        <w:t>of</w:t>
      </w:r>
      <w:r>
        <w:rPr>
          <w:spacing w:val="-4"/>
        </w:rPr>
        <w:t xml:space="preserve"> </w:t>
      </w:r>
      <w:r>
        <w:t>scientific</w:t>
      </w:r>
      <w:r>
        <w:rPr>
          <w:spacing w:val="-38"/>
        </w:rPr>
        <w:t xml:space="preserve"> </w:t>
      </w:r>
      <w:r>
        <w:t>research</w:t>
      </w:r>
    </w:p>
    <w:p w:rsidR="00C94932" w:rsidRDefault="00C94932" w:rsidP="00C94932">
      <w:pPr>
        <w:pStyle w:val="BodyText"/>
        <w:spacing w:before="10"/>
      </w:pPr>
    </w:p>
    <w:p w:rsidR="00C94932" w:rsidRDefault="00C94932" w:rsidP="00C94932">
      <w:pPr>
        <w:pStyle w:val="ListParagraph"/>
        <w:numPr>
          <w:ilvl w:val="0"/>
          <w:numId w:val="2"/>
        </w:numPr>
        <w:tabs>
          <w:tab w:val="left" w:pos="1279"/>
          <w:tab w:val="left" w:pos="1280"/>
        </w:tabs>
      </w:pPr>
      <w:bookmarkStart w:id="11" w:name="3._Data_Management,_Record_Keeping_and_C"/>
      <w:bookmarkEnd w:id="11"/>
      <w:r>
        <w:t>Data M</w:t>
      </w:r>
      <w:bookmarkStart w:id="12" w:name="i._Conflict_of_Interest_"/>
      <w:bookmarkEnd w:id="12"/>
      <w:r>
        <w:t>anagement, Record Keeping and Conflict of Interest (Drs. Danny Winder, Roger</w:t>
      </w:r>
      <w:r>
        <w:rPr>
          <w:spacing w:val="-45"/>
        </w:rPr>
        <w:t xml:space="preserve"> </w:t>
      </w:r>
      <w:proofErr w:type="spellStart"/>
      <w:r>
        <w:t>Colbran</w:t>
      </w:r>
      <w:proofErr w:type="spellEnd"/>
      <w:r>
        <w:t>)</w:t>
      </w:r>
    </w:p>
    <w:p w:rsidR="00C94932" w:rsidRDefault="00C94932" w:rsidP="00C94932">
      <w:pPr>
        <w:pStyle w:val="ListParagraph"/>
        <w:numPr>
          <w:ilvl w:val="1"/>
          <w:numId w:val="2"/>
        </w:numPr>
        <w:tabs>
          <w:tab w:val="left" w:pos="2723"/>
        </w:tabs>
        <w:spacing w:before="6"/>
        <w:ind w:hanging="290"/>
      </w:pPr>
      <w:bookmarkStart w:id="13" w:name="ii._Data_acquisition_and_laboratory_tool"/>
      <w:bookmarkEnd w:id="13"/>
      <w:r>
        <w:t>Conflict of</w:t>
      </w:r>
      <w:r>
        <w:rPr>
          <w:spacing w:val="-2"/>
        </w:rPr>
        <w:t xml:space="preserve"> </w:t>
      </w:r>
      <w:r>
        <w:t>Interest</w:t>
      </w:r>
    </w:p>
    <w:p w:rsidR="00C94932" w:rsidRDefault="00C94932" w:rsidP="00C94932">
      <w:pPr>
        <w:pStyle w:val="ListParagraph"/>
        <w:numPr>
          <w:ilvl w:val="1"/>
          <w:numId w:val="2"/>
        </w:numPr>
        <w:tabs>
          <w:tab w:val="left" w:pos="2723"/>
        </w:tabs>
        <w:spacing w:before="6"/>
        <w:ind w:hanging="341"/>
      </w:pPr>
      <w:r>
        <w:t>Data acquisition and laboratory tools, management, sharing and</w:t>
      </w:r>
      <w:r>
        <w:rPr>
          <w:spacing w:val="-25"/>
        </w:rPr>
        <w:t xml:space="preserve"> </w:t>
      </w:r>
      <w:r>
        <w:t>ownership</w:t>
      </w:r>
    </w:p>
    <w:p w:rsidR="00C94932" w:rsidRDefault="00C94932" w:rsidP="00C94932">
      <w:pPr>
        <w:pStyle w:val="BodyText"/>
        <w:spacing w:before="10"/>
      </w:pPr>
    </w:p>
    <w:p w:rsidR="00C94932" w:rsidRDefault="00C94932" w:rsidP="00C94932">
      <w:pPr>
        <w:pStyle w:val="ListParagraph"/>
        <w:numPr>
          <w:ilvl w:val="0"/>
          <w:numId w:val="2"/>
        </w:numPr>
        <w:tabs>
          <w:tab w:val="left" w:pos="1279"/>
          <w:tab w:val="left" w:pos="1280"/>
        </w:tabs>
      </w:pPr>
      <w:bookmarkStart w:id="14" w:name="4._Authorship_and_Publication_(Drs._Roge"/>
      <w:bookmarkEnd w:id="14"/>
      <w:r>
        <w:t xml:space="preserve">Authorship </w:t>
      </w:r>
      <w:bookmarkStart w:id="15" w:name="i._Peer_review_"/>
      <w:bookmarkEnd w:id="15"/>
      <w:r>
        <w:t xml:space="preserve">and Publication (Drs. Roger </w:t>
      </w:r>
      <w:proofErr w:type="spellStart"/>
      <w:r>
        <w:t>Colbran</w:t>
      </w:r>
      <w:proofErr w:type="spellEnd"/>
      <w:r>
        <w:t>, Rebecca</w:t>
      </w:r>
      <w:r>
        <w:rPr>
          <w:spacing w:val="-7"/>
        </w:rPr>
        <w:t xml:space="preserve"> </w:t>
      </w:r>
      <w:proofErr w:type="spellStart"/>
      <w:r>
        <w:t>Ihrie</w:t>
      </w:r>
      <w:proofErr w:type="spellEnd"/>
      <w:r>
        <w:t>)</w:t>
      </w:r>
    </w:p>
    <w:p w:rsidR="00C94932" w:rsidRDefault="00C94932" w:rsidP="00C94932">
      <w:pPr>
        <w:pStyle w:val="ListParagraph"/>
        <w:numPr>
          <w:ilvl w:val="1"/>
          <w:numId w:val="2"/>
        </w:numPr>
        <w:tabs>
          <w:tab w:val="left" w:pos="2723"/>
        </w:tabs>
        <w:spacing w:before="2"/>
        <w:ind w:hanging="290"/>
      </w:pPr>
      <w:bookmarkStart w:id="16" w:name="ii._Responsible_authorship_and_publicati"/>
      <w:bookmarkEnd w:id="16"/>
      <w:r>
        <w:t>Peer</w:t>
      </w:r>
      <w:r>
        <w:rPr>
          <w:spacing w:val="1"/>
        </w:rPr>
        <w:t xml:space="preserve"> </w:t>
      </w:r>
      <w:r>
        <w:t>review</w:t>
      </w:r>
    </w:p>
    <w:p w:rsidR="00C94932" w:rsidRDefault="00C94932" w:rsidP="00C94932">
      <w:pPr>
        <w:pStyle w:val="ListParagraph"/>
        <w:numPr>
          <w:ilvl w:val="1"/>
          <w:numId w:val="2"/>
        </w:numPr>
        <w:tabs>
          <w:tab w:val="left" w:pos="2723"/>
        </w:tabs>
        <w:spacing w:before="8"/>
        <w:ind w:hanging="341"/>
      </w:pPr>
      <w:r>
        <w:t>Responsible authorship and</w:t>
      </w:r>
      <w:r>
        <w:rPr>
          <w:spacing w:val="-4"/>
        </w:rPr>
        <w:t xml:space="preserve"> </w:t>
      </w:r>
      <w:r>
        <w:t>publication</w:t>
      </w:r>
    </w:p>
    <w:p w:rsidR="00C94932" w:rsidRDefault="00C94932" w:rsidP="00C94932">
      <w:pPr>
        <w:pStyle w:val="BodyText"/>
        <w:spacing w:before="8"/>
      </w:pPr>
    </w:p>
    <w:p w:rsidR="00C94932" w:rsidRDefault="00C94932" w:rsidP="00C94932">
      <w:pPr>
        <w:pStyle w:val="ListParagraph"/>
        <w:numPr>
          <w:ilvl w:val="0"/>
          <w:numId w:val="2"/>
        </w:numPr>
        <w:tabs>
          <w:tab w:val="left" w:pos="1279"/>
          <w:tab w:val="left" w:pos="1280"/>
        </w:tabs>
      </w:pPr>
      <w:bookmarkStart w:id="17" w:name="5._Reproducibility_(Drs._Brian_Welch,_Me"/>
      <w:bookmarkEnd w:id="17"/>
      <w:r>
        <w:t>Reproduci</w:t>
      </w:r>
      <w:bookmarkStart w:id="18" w:name="i._Research_misconduct_and_policies_for_"/>
      <w:bookmarkEnd w:id="18"/>
      <w:r>
        <w:t>bility (Drs. Brian Welch, Melanie</w:t>
      </w:r>
      <w:r>
        <w:rPr>
          <w:spacing w:val="-15"/>
        </w:rPr>
        <w:t xml:space="preserve"> </w:t>
      </w:r>
      <w:proofErr w:type="spellStart"/>
      <w:r>
        <w:t>Ohi</w:t>
      </w:r>
      <w:proofErr w:type="spellEnd"/>
      <w:r>
        <w:t>)</w:t>
      </w:r>
    </w:p>
    <w:p w:rsidR="00C94932" w:rsidRDefault="00C94932" w:rsidP="00C94932">
      <w:pPr>
        <w:pStyle w:val="ListParagraph"/>
        <w:numPr>
          <w:ilvl w:val="1"/>
          <w:numId w:val="2"/>
        </w:numPr>
        <w:tabs>
          <w:tab w:val="left" w:pos="2723"/>
        </w:tabs>
        <w:spacing w:before="9"/>
        <w:ind w:hanging="290"/>
      </w:pPr>
      <w:r>
        <w:t>Research misconduct and policies for handling</w:t>
      </w:r>
      <w:r>
        <w:rPr>
          <w:spacing w:val="-8"/>
        </w:rPr>
        <w:t xml:space="preserve"> </w:t>
      </w:r>
      <w:r>
        <w:t>misconduct</w:t>
      </w:r>
    </w:p>
    <w:p w:rsidR="00C94932" w:rsidRDefault="00C94932" w:rsidP="00C94932">
      <w:pPr>
        <w:pStyle w:val="BodyText"/>
        <w:spacing w:before="7"/>
      </w:pPr>
    </w:p>
    <w:p w:rsidR="00C94932" w:rsidRDefault="00C94932" w:rsidP="00C94932">
      <w:pPr>
        <w:pStyle w:val="ListParagraph"/>
        <w:numPr>
          <w:ilvl w:val="0"/>
          <w:numId w:val="2"/>
        </w:numPr>
        <w:tabs>
          <w:tab w:val="left" w:pos="1279"/>
          <w:tab w:val="left" w:pos="1280"/>
        </w:tabs>
      </w:pPr>
      <w:bookmarkStart w:id="19" w:name="6._Mentorship_(Drs._Rebecca_Ihrie,_Melan"/>
      <w:bookmarkEnd w:id="19"/>
      <w:r>
        <w:t xml:space="preserve">Mentorship </w:t>
      </w:r>
      <w:bookmarkStart w:id="20" w:name="i._Mentor/mentee_responsibilities_and_re"/>
      <w:bookmarkEnd w:id="20"/>
      <w:r>
        <w:t xml:space="preserve">(Drs. Rebecca </w:t>
      </w:r>
      <w:proofErr w:type="spellStart"/>
      <w:r>
        <w:t>Ihrie</w:t>
      </w:r>
      <w:proofErr w:type="spellEnd"/>
      <w:r>
        <w:t>, Melanie</w:t>
      </w:r>
      <w:r>
        <w:rPr>
          <w:spacing w:val="-8"/>
        </w:rPr>
        <w:t xml:space="preserve"> </w:t>
      </w:r>
      <w:proofErr w:type="spellStart"/>
      <w:r>
        <w:t>Ohi</w:t>
      </w:r>
      <w:proofErr w:type="spellEnd"/>
      <w:r>
        <w:t>)</w:t>
      </w:r>
    </w:p>
    <w:p w:rsidR="00C94932" w:rsidRDefault="00C94932" w:rsidP="00C94932">
      <w:pPr>
        <w:pStyle w:val="ListParagraph"/>
        <w:numPr>
          <w:ilvl w:val="1"/>
          <w:numId w:val="2"/>
        </w:numPr>
        <w:tabs>
          <w:tab w:val="left" w:pos="2723"/>
        </w:tabs>
        <w:spacing w:before="6"/>
        <w:ind w:hanging="290"/>
      </w:pPr>
      <w:r>
        <w:t>Mentor/mentee responsibilities and</w:t>
      </w:r>
      <w:r>
        <w:rPr>
          <w:spacing w:val="-9"/>
        </w:rPr>
        <w:t xml:space="preserve"> </w:t>
      </w:r>
      <w:r>
        <w:t>relationships</w:t>
      </w:r>
    </w:p>
    <w:p w:rsidR="00C94932" w:rsidRDefault="00C94932" w:rsidP="00C94932">
      <w:pPr>
        <w:pStyle w:val="BodyText"/>
        <w:spacing w:before="10"/>
      </w:pPr>
    </w:p>
    <w:p w:rsidR="00C94932" w:rsidRDefault="00C94932" w:rsidP="00C94932">
      <w:pPr>
        <w:pStyle w:val="Heading6"/>
      </w:pPr>
      <w:bookmarkStart w:id="21" w:name="Ongoing_Training_in_RCR_"/>
      <w:bookmarkStart w:id="22" w:name="Training_in_Responsible_Conduct_of_Resea"/>
      <w:bookmarkEnd w:id="21"/>
      <w:bookmarkEnd w:id="22"/>
      <w:r>
        <w:t>Ongoing Training in RCR</w:t>
      </w:r>
    </w:p>
    <w:p w:rsidR="00C94932" w:rsidRDefault="00C94932" w:rsidP="00C94932">
      <w:pPr>
        <w:pStyle w:val="BodyText"/>
        <w:spacing w:before="4"/>
        <w:ind w:left="560" w:right="710" w:firstLine="720"/>
        <w:jc w:val="both"/>
      </w:pPr>
      <w:r>
        <w:t xml:space="preserve">Training in Responsible Conduct of Research </w:t>
      </w:r>
      <w:r>
        <w:rPr>
          <w:spacing w:val="3"/>
        </w:rPr>
        <w:t xml:space="preserve">is </w:t>
      </w:r>
      <w:r>
        <w:t xml:space="preserve">constantly ongoing in the </w:t>
      </w:r>
      <w:proofErr w:type="spellStart"/>
      <w:r>
        <w:t>Cassat</w:t>
      </w:r>
      <w:proofErr w:type="spellEnd"/>
      <w:r>
        <w:t xml:space="preserve"> laboratory environment. On a weekly basis, Dr. </w:t>
      </w:r>
      <w:proofErr w:type="spellStart"/>
      <w:r>
        <w:t>Cassat</w:t>
      </w:r>
      <w:proofErr w:type="spellEnd"/>
      <w:r>
        <w:t xml:space="preserve"> and I meet individually to discuss the progress of my research Aims and informally discuss ORI issues as they develop, such as data acquisition, management, and sharing of data. These interactions extend into our weekly laboratory meetings, making RCR a common topic of conversation in the laboratory. For </w:t>
      </w:r>
      <w:r>
        <w:lastRenderedPageBreak/>
        <w:t xml:space="preserve">example, Dr. </w:t>
      </w:r>
      <w:proofErr w:type="spellStart"/>
      <w:r>
        <w:t>Cassat</w:t>
      </w:r>
      <w:proofErr w:type="spellEnd"/>
      <w:r>
        <w:t xml:space="preserve"> facilitates discussions in RCR whenever an  opportunity arises, such as allowing graduate students in the laboratory to assist in the peer review of manuscripts. Finally, our ongoing training in RCR is formally supplemented with lab meeting presentations covering each of the 9 areas of RCR every 1-2</w:t>
      </w:r>
      <w:r>
        <w:rPr>
          <w:spacing w:val="1"/>
        </w:rPr>
        <w:t xml:space="preserve"> </w:t>
      </w:r>
      <w:r>
        <w:t>months.</w:t>
      </w:r>
    </w:p>
    <w:p w:rsidR="0032100B" w:rsidRDefault="0032100B" w:rsidP="00C94932">
      <w:pPr>
        <w:tabs>
          <w:tab w:val="left" w:pos="90"/>
        </w:tabs>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32100B" w:rsidRDefault="0032100B" w:rsidP="00C94932">
      <w:pPr>
        <w:pStyle w:val="paragraph"/>
        <w:tabs>
          <w:tab w:val="left" w:pos="90"/>
        </w:tabs>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b/>
          <w:bCs/>
          <w:sz w:val="22"/>
          <w:szCs w:val="22"/>
        </w:rPr>
        <w:lastRenderedPageBreak/>
        <w:t>Nico</w:t>
      </w:r>
      <w:proofErr w:type="spellEnd"/>
      <w:r>
        <w:rPr>
          <w:rStyle w:val="normaltextrun"/>
          <w:rFonts w:ascii="Calibri" w:hAnsi="Calibri" w:cs="Segoe UI"/>
          <w:b/>
          <w:bCs/>
          <w:sz w:val="22"/>
          <w:szCs w:val="22"/>
        </w:rPr>
        <w:t xml:space="preserve"> Contreras, University of Arizona</w:t>
      </w:r>
      <w:r>
        <w:rPr>
          <w:rStyle w:val="eop"/>
          <w:rFonts w:ascii="Calibri" w:hAnsi="Calibri" w:cs="Segoe UI"/>
          <w:sz w:val="22"/>
          <w:szCs w:val="22"/>
        </w:rPr>
        <w:t> </w:t>
      </w:r>
    </w:p>
    <w:p w:rsidR="0032100B" w:rsidRDefault="001A120E" w:rsidP="00C94932">
      <w:pPr>
        <w:pStyle w:val="paragraph"/>
        <w:tabs>
          <w:tab w:val="left" w:pos="90"/>
        </w:tabs>
        <w:spacing w:before="0" w:beforeAutospacing="0" w:after="0" w:afterAutospacing="0"/>
        <w:textAlignment w:val="baseline"/>
        <w:rPr>
          <w:rFonts w:ascii="Segoe UI" w:hAnsi="Segoe UI" w:cs="Segoe UI"/>
          <w:sz w:val="18"/>
          <w:szCs w:val="18"/>
        </w:rPr>
      </w:pPr>
      <w:hyperlink r:id="rId6" w:tgtFrame="_blank" w:history="1">
        <w:r w:rsidR="0032100B">
          <w:rPr>
            <w:rStyle w:val="normaltextrun"/>
            <w:rFonts w:ascii="Calibri" w:hAnsi="Calibri" w:cs="Segoe UI"/>
            <w:b/>
            <w:bCs/>
            <w:color w:val="0563C1"/>
            <w:sz w:val="22"/>
            <w:szCs w:val="22"/>
            <w:u w:val="single"/>
          </w:rPr>
          <w:t>“The Immunological Consequences of Mouse Cytomegalovirus on Adipose Tissue”</w:t>
        </w:r>
      </w:hyperlink>
      <w:r w:rsidR="0032100B">
        <w:rPr>
          <w:rStyle w:val="eop"/>
          <w:rFonts w:ascii="Calibri" w:hAnsi="Calibri" w:cs="Segoe UI"/>
          <w:sz w:val="22"/>
          <w:szCs w:val="22"/>
        </w:rPr>
        <w:t> </w:t>
      </w:r>
    </w:p>
    <w:p w:rsidR="0032100B" w:rsidRDefault="0032100B" w:rsidP="00C94932">
      <w:pPr>
        <w:pStyle w:val="paragraph"/>
        <w:tabs>
          <w:tab w:val="left" w:pos="90"/>
        </w:tabs>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E82ABF" w:rsidRDefault="00E82ABF" w:rsidP="00C94932">
      <w:pPr>
        <w:pStyle w:val="paragraph"/>
        <w:tabs>
          <w:tab w:val="left" w:pos="90"/>
        </w:tabs>
        <w:textAlignment w:val="baseline"/>
        <w:rPr>
          <w:rStyle w:val="normaltextrun"/>
          <w:rFonts w:ascii="Calibri" w:hAnsi="Calibri" w:cs="Segoe UI"/>
          <w:b/>
          <w:bCs/>
          <w:sz w:val="22"/>
          <w:szCs w:val="22"/>
        </w:rPr>
      </w:pPr>
      <w:r>
        <w:rPr>
          <w:rStyle w:val="normaltextrun"/>
          <w:rFonts w:ascii="Calibri" w:hAnsi="Calibri" w:cs="Segoe UI"/>
          <w:b/>
          <w:bCs/>
          <w:sz w:val="22"/>
          <w:szCs w:val="22"/>
        </w:rPr>
        <w:t>Training in the Responsible Conduct of Research:</w:t>
      </w:r>
    </w:p>
    <w:p w:rsidR="00C94932" w:rsidRDefault="00C94932" w:rsidP="00C94932">
      <w:pPr>
        <w:tabs>
          <w:tab w:val="left" w:pos="90"/>
        </w:tabs>
        <w:jc w:val="both"/>
        <w:rPr>
          <w:b/>
        </w:rPr>
      </w:pPr>
      <w:r>
        <w:rPr>
          <w:b/>
          <w:sz w:val="22"/>
        </w:rPr>
        <w:t>Plan for Instruction in the Responsible Conduct of Research</w:t>
      </w:r>
    </w:p>
    <w:p w:rsidR="00C94932" w:rsidRDefault="00C94932" w:rsidP="00C94932">
      <w:pPr>
        <w:tabs>
          <w:tab w:val="left" w:pos="90"/>
        </w:tabs>
        <w:spacing w:before="4"/>
        <w:jc w:val="both"/>
      </w:pPr>
      <w:r>
        <w:rPr>
          <w:sz w:val="22"/>
        </w:rPr>
        <w:t>The University of Arizona offers a certificate in RCR education designed to meet NIH guidelines. The certificate requires a minimum of nine (9) hours of RCR instruction, comprised primarily of live workshops, presentations, academic coursework and/or face-to-face discussions led and facilitated by faculty, compliance officers, and mentors. The NIH RCR Certificate may be earned by taking an approved course for academic credit or by completing the following workshop-based curriculum:</w:t>
      </w:r>
    </w:p>
    <w:p w:rsidR="00C94932" w:rsidRDefault="00C94932" w:rsidP="00C94932">
      <w:pPr>
        <w:tabs>
          <w:tab w:val="left" w:pos="90"/>
        </w:tabs>
        <w:spacing w:line="252" w:lineRule="exact"/>
        <w:jc w:val="both"/>
      </w:pPr>
      <w:r>
        <w:rPr>
          <w:sz w:val="22"/>
          <w:u w:val="single"/>
        </w:rPr>
        <w:t>Core Workshop:</w:t>
      </w:r>
      <w:r>
        <w:rPr>
          <w:sz w:val="22"/>
        </w:rPr>
        <w:t xml:space="preserve"> 1.5 hrs</w:t>
      </w:r>
    </w:p>
    <w:p w:rsidR="00C94932" w:rsidRDefault="00C94932" w:rsidP="00C94932">
      <w:pPr>
        <w:pStyle w:val="ListParagraph"/>
        <w:numPr>
          <w:ilvl w:val="0"/>
          <w:numId w:val="1"/>
        </w:numPr>
        <w:tabs>
          <w:tab w:val="left" w:pos="90"/>
          <w:tab w:val="left" w:pos="717"/>
        </w:tabs>
        <w:ind w:left="0" w:hanging="90"/>
        <w:jc w:val="both"/>
      </w:pPr>
      <w:r>
        <w:t>Introduction</w:t>
      </w:r>
      <w:r>
        <w:rPr>
          <w:spacing w:val="-6"/>
        </w:rPr>
        <w:t xml:space="preserve"> </w:t>
      </w:r>
      <w:r>
        <w:t>to</w:t>
      </w:r>
      <w:r>
        <w:rPr>
          <w:spacing w:val="-6"/>
        </w:rPr>
        <w:t xml:space="preserve"> </w:t>
      </w:r>
      <w:r>
        <w:t>the</w:t>
      </w:r>
      <w:r>
        <w:rPr>
          <w:spacing w:val="-6"/>
        </w:rPr>
        <w:t xml:space="preserve"> </w:t>
      </w:r>
      <w:r>
        <w:t>Responsible</w:t>
      </w:r>
      <w:r>
        <w:rPr>
          <w:spacing w:val="-5"/>
        </w:rPr>
        <w:t xml:space="preserve"> </w:t>
      </w:r>
      <w:r>
        <w:t>Conduct of</w:t>
      </w:r>
      <w:r>
        <w:rPr>
          <w:spacing w:val="2"/>
        </w:rPr>
        <w:t xml:space="preserve"> </w:t>
      </w:r>
      <w:r>
        <w:t>Research</w:t>
      </w:r>
      <w:r>
        <w:rPr>
          <w:spacing w:val="-6"/>
        </w:rPr>
        <w:t xml:space="preserve"> </w:t>
      </w:r>
      <w:r>
        <w:t>(choose</w:t>
      </w:r>
      <w:r>
        <w:rPr>
          <w:spacing w:val="-4"/>
        </w:rPr>
        <w:t xml:space="preserve"> </w:t>
      </w:r>
      <w:r>
        <w:t>one</w:t>
      </w:r>
      <w:r>
        <w:rPr>
          <w:spacing w:val="-6"/>
        </w:rPr>
        <w:t xml:space="preserve"> </w:t>
      </w:r>
      <w:r>
        <w:t>of the</w:t>
      </w:r>
      <w:r>
        <w:rPr>
          <w:spacing w:val="-12"/>
        </w:rPr>
        <w:t xml:space="preserve"> </w:t>
      </w:r>
      <w:r>
        <w:t>following):</w:t>
      </w:r>
      <w:r>
        <w:rPr>
          <w:spacing w:val="-5"/>
        </w:rPr>
        <w:t xml:space="preserve"> </w:t>
      </w:r>
      <w:r>
        <w:t>Introduction</w:t>
      </w:r>
      <w:r>
        <w:rPr>
          <w:spacing w:val="-6"/>
        </w:rPr>
        <w:t xml:space="preserve"> </w:t>
      </w:r>
      <w:r>
        <w:t>to</w:t>
      </w:r>
      <w:r>
        <w:rPr>
          <w:spacing w:val="-6"/>
        </w:rPr>
        <w:t xml:space="preserve"> </w:t>
      </w:r>
      <w:r>
        <w:t>RCR</w:t>
      </w:r>
      <w:r>
        <w:rPr>
          <w:spacing w:val="-9"/>
        </w:rPr>
        <w:t xml:space="preserve"> </w:t>
      </w:r>
      <w:r>
        <w:rPr>
          <w:spacing w:val="-3"/>
        </w:rPr>
        <w:t xml:space="preserve">(face- </w:t>
      </w:r>
      <w:r>
        <w:t>to-face workshop) or Online Introduction to RCR</w:t>
      </w:r>
      <w:r>
        <w:rPr>
          <w:spacing w:val="-15"/>
        </w:rPr>
        <w:t xml:space="preserve"> </w:t>
      </w:r>
      <w:r>
        <w:t>(CITI)</w:t>
      </w:r>
    </w:p>
    <w:p w:rsidR="00C94932" w:rsidRDefault="00C94932" w:rsidP="00C94932">
      <w:pPr>
        <w:tabs>
          <w:tab w:val="left" w:pos="90"/>
        </w:tabs>
        <w:spacing w:line="246" w:lineRule="exact"/>
        <w:jc w:val="both"/>
      </w:pPr>
      <w:r>
        <w:rPr>
          <w:sz w:val="22"/>
          <w:u w:val="single"/>
        </w:rPr>
        <w:t>Five Elective Workshops:</w:t>
      </w:r>
      <w:r>
        <w:rPr>
          <w:sz w:val="22"/>
        </w:rPr>
        <w:t xml:space="preserve"> 7.5 hrs</w:t>
      </w:r>
    </w:p>
    <w:p w:rsidR="00C94932" w:rsidRDefault="00C94932" w:rsidP="00C94932">
      <w:pPr>
        <w:pStyle w:val="ListParagraph"/>
        <w:numPr>
          <w:ilvl w:val="0"/>
          <w:numId w:val="1"/>
        </w:numPr>
        <w:tabs>
          <w:tab w:val="left" w:pos="90"/>
          <w:tab w:val="left" w:pos="683"/>
        </w:tabs>
        <w:spacing w:line="257" w:lineRule="exact"/>
        <w:ind w:left="0" w:hanging="122"/>
        <w:jc w:val="both"/>
      </w:pPr>
      <w:r>
        <w:t>Select from RCR Workshop Series (see 2016-2017 schedule</w:t>
      </w:r>
      <w:r>
        <w:rPr>
          <w:spacing w:val="-11"/>
        </w:rPr>
        <w:t xml:space="preserve"> </w:t>
      </w:r>
      <w:r>
        <w:t>below)</w:t>
      </w:r>
    </w:p>
    <w:p w:rsidR="00C94932" w:rsidRDefault="00C94932" w:rsidP="00C94932">
      <w:pPr>
        <w:pStyle w:val="ListParagraph"/>
        <w:numPr>
          <w:ilvl w:val="0"/>
          <w:numId w:val="1"/>
        </w:numPr>
        <w:tabs>
          <w:tab w:val="left" w:pos="90"/>
          <w:tab w:val="left" w:pos="683"/>
        </w:tabs>
        <w:spacing w:line="257" w:lineRule="exact"/>
        <w:ind w:left="0" w:hanging="123"/>
        <w:jc w:val="both"/>
      </w:pPr>
      <w:r>
        <w:t>Up to 3 hours of supplemental instruction from faculty mentor(s) may count toward the elective</w:t>
      </w:r>
      <w:r>
        <w:rPr>
          <w:spacing w:val="-32"/>
        </w:rPr>
        <w:t xml:space="preserve"> </w:t>
      </w:r>
      <w:r>
        <w:t>requirement.</w:t>
      </w:r>
    </w:p>
    <w:p w:rsidR="00C94932" w:rsidRDefault="00C94932" w:rsidP="00C94932">
      <w:pPr>
        <w:pStyle w:val="BodyText"/>
        <w:tabs>
          <w:tab w:val="left" w:pos="90"/>
        </w:tabs>
        <w:spacing w:before="10"/>
      </w:pPr>
    </w:p>
    <w:p w:rsidR="00C94932" w:rsidRDefault="00C94932" w:rsidP="00C94932">
      <w:pPr>
        <w:tabs>
          <w:tab w:val="left" w:pos="90"/>
        </w:tabs>
      </w:pPr>
      <w:r>
        <w:rPr>
          <w:b/>
          <w:sz w:val="22"/>
        </w:rPr>
        <w:t>Sample 2016-2017 RCR Workshop Schedule (</w:t>
      </w:r>
      <w:r>
        <w:rPr>
          <w:sz w:val="22"/>
        </w:rPr>
        <w:t>Visit rgw.arizona.edu/</w:t>
      </w:r>
      <w:proofErr w:type="spellStart"/>
      <w:r>
        <w:rPr>
          <w:sz w:val="22"/>
        </w:rPr>
        <w:t>rcr</w:t>
      </w:r>
      <w:proofErr w:type="spellEnd"/>
      <w:r>
        <w:rPr>
          <w:sz w:val="22"/>
        </w:rPr>
        <w:t xml:space="preserve"> for most up to date schedule) </w:t>
      </w:r>
      <w:r>
        <w:rPr>
          <w:sz w:val="22"/>
          <w:u w:val="single"/>
        </w:rPr>
        <w:t>Fall 2016:</w:t>
      </w:r>
    </w:p>
    <w:p w:rsidR="00C94932" w:rsidRDefault="00C94932" w:rsidP="00C94932">
      <w:pPr>
        <w:tabs>
          <w:tab w:val="left" w:pos="90"/>
          <w:tab w:val="left" w:pos="2719"/>
        </w:tabs>
        <w:spacing w:before="1"/>
      </w:pPr>
      <w:r>
        <w:rPr>
          <w:sz w:val="22"/>
        </w:rPr>
        <w:t>September 9</w:t>
      </w:r>
      <w:r>
        <w:rPr>
          <w:spacing w:val="-2"/>
          <w:sz w:val="22"/>
        </w:rPr>
        <w:t xml:space="preserve"> </w:t>
      </w:r>
      <w:r>
        <w:rPr>
          <w:sz w:val="22"/>
        </w:rPr>
        <w:t>or</w:t>
      </w:r>
      <w:r>
        <w:rPr>
          <w:spacing w:val="-1"/>
          <w:sz w:val="22"/>
        </w:rPr>
        <w:t xml:space="preserve"> </w:t>
      </w:r>
      <w:r>
        <w:rPr>
          <w:sz w:val="22"/>
        </w:rPr>
        <w:t>16</w:t>
      </w:r>
      <w:r>
        <w:rPr>
          <w:sz w:val="22"/>
        </w:rPr>
        <w:tab/>
        <w:t>Introduction to the Responsible Conduct of Research September 30</w:t>
      </w:r>
      <w:r>
        <w:rPr>
          <w:sz w:val="22"/>
        </w:rPr>
        <w:tab/>
        <w:t>Ethics of Research with Human</w:t>
      </w:r>
      <w:r>
        <w:rPr>
          <w:spacing w:val="-1"/>
          <w:sz w:val="22"/>
        </w:rPr>
        <w:t xml:space="preserve"> </w:t>
      </w:r>
      <w:r>
        <w:rPr>
          <w:sz w:val="22"/>
        </w:rPr>
        <w:t>Subjects</w:t>
      </w:r>
    </w:p>
    <w:p w:rsidR="00C94932" w:rsidRDefault="00C94932" w:rsidP="00C94932">
      <w:pPr>
        <w:tabs>
          <w:tab w:val="left" w:pos="90"/>
          <w:tab w:val="left" w:pos="2719"/>
        </w:tabs>
        <w:jc w:val="both"/>
      </w:pPr>
      <w:r>
        <w:rPr>
          <w:sz w:val="22"/>
        </w:rPr>
        <w:t>October</w:t>
      </w:r>
      <w:r>
        <w:rPr>
          <w:spacing w:val="1"/>
          <w:sz w:val="22"/>
        </w:rPr>
        <w:t xml:space="preserve"> </w:t>
      </w:r>
      <w:r>
        <w:rPr>
          <w:sz w:val="22"/>
        </w:rPr>
        <w:t>14</w:t>
      </w:r>
      <w:r>
        <w:rPr>
          <w:sz w:val="22"/>
        </w:rPr>
        <w:tab/>
        <w:t>Ethics and Practice of</w:t>
      </w:r>
      <w:r>
        <w:rPr>
          <w:spacing w:val="4"/>
          <w:sz w:val="22"/>
        </w:rPr>
        <w:t xml:space="preserve"> </w:t>
      </w:r>
      <w:r>
        <w:rPr>
          <w:sz w:val="22"/>
        </w:rPr>
        <w:t>Mentoring</w:t>
      </w:r>
    </w:p>
    <w:p w:rsidR="00C94932" w:rsidRDefault="00C94932" w:rsidP="00C94932">
      <w:pPr>
        <w:tabs>
          <w:tab w:val="left" w:pos="90"/>
          <w:tab w:val="left" w:pos="2720"/>
        </w:tabs>
        <w:spacing w:before="1"/>
      </w:pPr>
      <w:r>
        <w:rPr>
          <w:sz w:val="22"/>
        </w:rPr>
        <w:t>October</w:t>
      </w:r>
      <w:r>
        <w:rPr>
          <w:spacing w:val="1"/>
          <w:sz w:val="22"/>
        </w:rPr>
        <w:t xml:space="preserve"> </w:t>
      </w:r>
      <w:r>
        <w:rPr>
          <w:sz w:val="22"/>
        </w:rPr>
        <w:t>21</w:t>
      </w:r>
      <w:r>
        <w:rPr>
          <w:sz w:val="22"/>
        </w:rPr>
        <w:tab/>
        <w:t>Animal Research: Ethical and Regulatory Considerations October</w:t>
      </w:r>
      <w:r>
        <w:rPr>
          <w:spacing w:val="1"/>
          <w:sz w:val="22"/>
        </w:rPr>
        <w:t xml:space="preserve"> </w:t>
      </w:r>
      <w:r>
        <w:rPr>
          <w:sz w:val="22"/>
        </w:rPr>
        <w:t>28</w:t>
      </w:r>
      <w:r>
        <w:rPr>
          <w:sz w:val="22"/>
        </w:rPr>
        <w:tab/>
        <w:t>Data Management, Acquisition, and</w:t>
      </w:r>
      <w:r>
        <w:rPr>
          <w:spacing w:val="-7"/>
          <w:sz w:val="22"/>
        </w:rPr>
        <w:t xml:space="preserve"> </w:t>
      </w:r>
      <w:r>
        <w:rPr>
          <w:sz w:val="22"/>
        </w:rPr>
        <w:t>Ownership</w:t>
      </w:r>
    </w:p>
    <w:p w:rsidR="00C94932" w:rsidRDefault="00C94932" w:rsidP="00C94932">
      <w:pPr>
        <w:tabs>
          <w:tab w:val="left" w:pos="90"/>
          <w:tab w:val="left" w:pos="2719"/>
        </w:tabs>
        <w:spacing w:before="1"/>
      </w:pPr>
      <w:r>
        <w:rPr>
          <w:sz w:val="22"/>
        </w:rPr>
        <w:t>November 11</w:t>
      </w:r>
      <w:r>
        <w:rPr>
          <w:sz w:val="22"/>
        </w:rPr>
        <w:tab/>
        <w:t>Ethics, Integrity, and the Handling of Research Misconduct November 18</w:t>
      </w:r>
      <w:r>
        <w:rPr>
          <w:sz w:val="22"/>
        </w:rPr>
        <w:tab/>
        <w:t>Ethics of Authorship and</w:t>
      </w:r>
      <w:r>
        <w:rPr>
          <w:spacing w:val="-5"/>
          <w:sz w:val="22"/>
        </w:rPr>
        <w:t xml:space="preserve"> </w:t>
      </w:r>
      <w:r>
        <w:rPr>
          <w:sz w:val="22"/>
        </w:rPr>
        <w:t>Publication</w:t>
      </w:r>
    </w:p>
    <w:p w:rsidR="00C94932" w:rsidRDefault="00C94932" w:rsidP="00C94932">
      <w:pPr>
        <w:tabs>
          <w:tab w:val="left" w:pos="90"/>
        </w:tabs>
        <w:jc w:val="both"/>
      </w:pPr>
      <w:r>
        <w:rPr>
          <w:sz w:val="22"/>
          <w:u w:val="single"/>
        </w:rPr>
        <w:t>Spring 2017</w:t>
      </w:r>
      <w:r>
        <w:rPr>
          <w:sz w:val="22"/>
        </w:rPr>
        <w:t xml:space="preserve"> - Dates TBD: Conflict of Interest, Ethics and Practice of Peer Review, Ethics of Research with Human Subjects, Ethics of Collaborative Research and Working with Industry, Introduction to Safe Laboratory Practices, Ethical Considerations in Biomedical Research, and Ethics of Overlapping Publications.</w:t>
      </w:r>
    </w:p>
    <w:p w:rsidR="00C94932" w:rsidRDefault="00C94932" w:rsidP="00C94932">
      <w:pPr>
        <w:pStyle w:val="BodyText"/>
        <w:tabs>
          <w:tab w:val="left" w:pos="90"/>
        </w:tabs>
        <w:spacing w:before="8"/>
      </w:pPr>
    </w:p>
    <w:p w:rsidR="00C94932" w:rsidRDefault="00C94932" w:rsidP="00C94932">
      <w:pPr>
        <w:tabs>
          <w:tab w:val="left" w:pos="90"/>
        </w:tabs>
        <w:ind w:hanging="1"/>
        <w:jc w:val="both"/>
      </w:pPr>
      <w:r>
        <w:rPr>
          <w:b/>
          <w:sz w:val="22"/>
        </w:rPr>
        <w:t>Training Completion Deadline</w:t>
      </w:r>
      <w:r>
        <w:rPr>
          <w:sz w:val="22"/>
        </w:rPr>
        <w:t xml:space="preserve">: At the University of Arizona the NIH </w:t>
      </w:r>
      <w:r>
        <w:rPr>
          <w:spacing w:val="-2"/>
          <w:sz w:val="22"/>
        </w:rPr>
        <w:t xml:space="preserve">RCR </w:t>
      </w:r>
      <w:r>
        <w:rPr>
          <w:sz w:val="22"/>
        </w:rPr>
        <w:t>Certificate program must be initiated within 30 days of the post-award date and completed within one calendar year after the post-award date.</w:t>
      </w:r>
    </w:p>
    <w:p w:rsidR="00C94932" w:rsidRDefault="00C94932" w:rsidP="00C94932">
      <w:pPr>
        <w:tabs>
          <w:tab w:val="left" w:pos="90"/>
        </w:tabs>
        <w:jc w:val="both"/>
      </w:pPr>
      <w:r>
        <w:rPr>
          <w:b/>
          <w:sz w:val="22"/>
        </w:rPr>
        <w:t>Training Topics</w:t>
      </w:r>
      <w:r>
        <w:rPr>
          <w:sz w:val="22"/>
        </w:rPr>
        <w:t xml:space="preserve">: RCR educational topic areas include but are not limited to: Animal Subjects Protection**; Collaborative Science; Conflict of Interest; Data Acquisition, Management, Sharing and Ownership; Human Subjects Protection**; Mentor/Trainee Relationships; Peer Review; Publication Practices and Responsible </w:t>
      </w:r>
      <w:r>
        <w:rPr>
          <w:position w:val="2"/>
          <w:sz w:val="22"/>
        </w:rPr>
        <w:t xml:space="preserve">Authorship; and Research Misconduct. </w:t>
      </w:r>
      <w:r>
        <w:rPr>
          <w:b/>
          <w:i/>
          <w:sz w:val="22"/>
        </w:rPr>
        <w:t>**Special Note</w:t>
      </w:r>
      <w:r>
        <w:rPr>
          <w:sz w:val="22"/>
        </w:rPr>
        <w:t>: At the University of Arizona, research with human subjects (orcr.arizona.edu/</w:t>
      </w:r>
      <w:proofErr w:type="spellStart"/>
      <w:r>
        <w:rPr>
          <w:sz w:val="22"/>
        </w:rPr>
        <w:t>hspp</w:t>
      </w:r>
      <w:proofErr w:type="spellEnd"/>
      <w:r>
        <w:rPr>
          <w:sz w:val="22"/>
        </w:rPr>
        <w:t>) and animals (orcr.arizona.edu/</w:t>
      </w:r>
      <w:proofErr w:type="spellStart"/>
      <w:r>
        <w:rPr>
          <w:sz w:val="22"/>
        </w:rPr>
        <w:t>iacuc</w:t>
      </w:r>
      <w:proofErr w:type="spellEnd"/>
      <w:r>
        <w:rPr>
          <w:sz w:val="22"/>
        </w:rPr>
        <w:t>) require specific training requirements that are additional to and are not satisfied by the RCR training requirements described in this Institutional Plan for NIH-required RCR</w:t>
      </w:r>
      <w:r>
        <w:rPr>
          <w:spacing w:val="-19"/>
          <w:sz w:val="22"/>
        </w:rPr>
        <w:t xml:space="preserve"> </w:t>
      </w:r>
      <w:r>
        <w:rPr>
          <w:sz w:val="22"/>
        </w:rPr>
        <w:t>training.</w:t>
      </w:r>
    </w:p>
    <w:p w:rsidR="00C94932" w:rsidRDefault="00C94932" w:rsidP="00C94932">
      <w:pPr>
        <w:tabs>
          <w:tab w:val="left" w:pos="90"/>
        </w:tabs>
        <w:jc w:val="both"/>
      </w:pPr>
      <w:r>
        <w:rPr>
          <w:b/>
          <w:sz w:val="22"/>
        </w:rPr>
        <w:t>Contact Hours Required</w:t>
      </w:r>
      <w:r>
        <w:rPr>
          <w:sz w:val="22"/>
        </w:rPr>
        <w:t>: The University of Arizona requires a minimum of 9 hours of RCR instruction to earn the NIH RCR Certificate. However, more hours are encouraged.</w:t>
      </w:r>
    </w:p>
    <w:p w:rsidR="00C94932" w:rsidRDefault="00C94932" w:rsidP="00C94932">
      <w:pPr>
        <w:tabs>
          <w:tab w:val="left" w:pos="90"/>
        </w:tabs>
        <w:ind w:hanging="3"/>
        <w:jc w:val="both"/>
      </w:pPr>
      <w:r>
        <w:rPr>
          <w:b/>
          <w:sz w:val="22"/>
        </w:rPr>
        <w:t>Instructional Format</w:t>
      </w:r>
      <w:r>
        <w:rPr>
          <w:sz w:val="22"/>
        </w:rPr>
        <w:t xml:space="preserve">: At least 7.5 hours must be comprised of live instructional formats such as workshops, academic course hours, and face-to-face discussions with faculty mentor(s) and peers. The University of Arizona encourages NIH-funded scholars, trainees, and fellows to participate in as much live instruction as possible. No more than 1.5 hours of supplemental online instruction in RCR may count toward RCR Certificate. </w:t>
      </w:r>
      <w:r>
        <w:rPr>
          <w:b/>
          <w:sz w:val="22"/>
        </w:rPr>
        <w:t>Tracking and Verification of Hours</w:t>
      </w:r>
      <w:r>
        <w:rPr>
          <w:sz w:val="22"/>
        </w:rPr>
        <w:t>: Principal Investigators conducting NIH-supported research are responsible for ensuring that all students and postdoctoral researchers associated with the award complete the RCR training requirements as described above. Individuals should keep documentation of the RCR training they receive, including all workshops and face-to-face discussions with faculty mentors.</w:t>
      </w:r>
    </w:p>
    <w:p w:rsidR="00C94932" w:rsidRDefault="00C94932" w:rsidP="00C94932">
      <w:pPr>
        <w:tabs>
          <w:tab w:val="left" w:pos="90"/>
        </w:tabs>
        <w:jc w:val="both"/>
      </w:pPr>
      <w:r>
        <w:rPr>
          <w:b/>
          <w:sz w:val="22"/>
        </w:rPr>
        <w:t>Monitoring Compliance</w:t>
      </w:r>
      <w:r>
        <w:rPr>
          <w:sz w:val="22"/>
        </w:rPr>
        <w:t xml:space="preserve">: The University of Arizona, through the Office for Research and Discovery, is responsible for certifying that the RCR training plan is in place and verifying certificate completion. </w:t>
      </w:r>
      <w:proofErr w:type="spellStart"/>
      <w:r>
        <w:rPr>
          <w:sz w:val="22"/>
        </w:rPr>
        <w:t>UAccess</w:t>
      </w:r>
      <w:proofErr w:type="spellEnd"/>
      <w:r>
        <w:rPr>
          <w:sz w:val="22"/>
        </w:rPr>
        <w:t xml:space="preserve"> Learning will be the primary tool for this verification.</w:t>
      </w:r>
    </w:p>
    <w:p w:rsidR="00C94932" w:rsidRDefault="00C94932" w:rsidP="00C94932">
      <w:pPr>
        <w:tabs>
          <w:tab w:val="left" w:pos="90"/>
        </w:tabs>
        <w:spacing w:line="242" w:lineRule="auto"/>
        <w:jc w:val="both"/>
      </w:pPr>
      <w:r>
        <w:rPr>
          <w:b/>
          <w:sz w:val="22"/>
        </w:rPr>
        <w:t>Consequences of Noncompliance</w:t>
      </w:r>
      <w:r>
        <w:rPr>
          <w:sz w:val="22"/>
        </w:rPr>
        <w:t>: Noncompliance with the NIH requirements for RCR training may result in the forfeiture of research funds and sanctions against future NIH or other federal agency research funding, in addition to any institutional sanctions pursuant to relevant UA personnel or other policies.</w:t>
      </w:r>
    </w:p>
    <w:p w:rsidR="00C94932" w:rsidRDefault="00C94932" w:rsidP="00C94932">
      <w:pPr>
        <w:tabs>
          <w:tab w:val="left" w:pos="90"/>
        </w:tabs>
        <w:jc w:val="both"/>
        <w:rPr>
          <w:rStyle w:val="normaltextrun"/>
          <w:rFonts w:ascii="Calibri" w:hAnsi="Calibri" w:cs="Segoe UI"/>
          <w:b/>
          <w:bCs/>
          <w:sz w:val="22"/>
          <w:szCs w:val="22"/>
        </w:rPr>
      </w:pPr>
      <w:r>
        <w:rPr>
          <w:b/>
          <w:sz w:val="22"/>
        </w:rPr>
        <w:t>The Value of RCR</w:t>
      </w:r>
      <w:r>
        <w:rPr>
          <w:sz w:val="22"/>
        </w:rPr>
        <w:t xml:space="preserve">: Fulfillment of NIH requirements in Responsible Conduct of Research (RCR) training is just one, albeit very useful, component of training generations of University of Arizona researchers in the highest professional standards. Professional excellence in research includes a dedication to integrity. Education in the responsible conduct of research meets more than just regulatory standards and requirements. It  also  promotes ethical professional values and behaviors. </w:t>
      </w:r>
    </w:p>
    <w:p w:rsidR="00E82ABF" w:rsidRDefault="00E82ABF" w:rsidP="00C94932">
      <w:pPr>
        <w:tabs>
          <w:tab w:val="left" w:pos="90"/>
        </w:tabs>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32100B" w:rsidRDefault="0032100B" w:rsidP="00C94932">
      <w:pPr>
        <w:pStyle w:val="paragraph"/>
        <w:tabs>
          <w:tab w:val="left" w:pos="90"/>
        </w:tabs>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lastRenderedPageBreak/>
        <w:t>Samantha Lynne Schwartz, Emory University</w:t>
      </w:r>
      <w:r>
        <w:rPr>
          <w:rStyle w:val="eop"/>
          <w:rFonts w:ascii="Calibri" w:hAnsi="Calibri" w:cs="Segoe UI"/>
          <w:sz w:val="22"/>
          <w:szCs w:val="22"/>
        </w:rPr>
        <w:t> </w:t>
      </w:r>
    </w:p>
    <w:p w:rsidR="0032100B" w:rsidRDefault="001A120E" w:rsidP="00C94932">
      <w:pPr>
        <w:pStyle w:val="paragraph"/>
        <w:tabs>
          <w:tab w:val="left" w:pos="90"/>
        </w:tabs>
        <w:spacing w:before="0" w:beforeAutospacing="0" w:after="0" w:afterAutospacing="0"/>
        <w:textAlignment w:val="baseline"/>
        <w:rPr>
          <w:rFonts w:ascii="Segoe UI" w:hAnsi="Segoe UI" w:cs="Segoe UI"/>
          <w:sz w:val="18"/>
          <w:szCs w:val="18"/>
        </w:rPr>
      </w:pPr>
      <w:hyperlink r:id="rId7" w:tgtFrame="_blank" w:history="1">
        <w:r w:rsidR="0032100B">
          <w:rPr>
            <w:rStyle w:val="normaltextrun"/>
            <w:rFonts w:ascii="Calibri" w:hAnsi="Calibri" w:cs="Segoe UI"/>
            <w:b/>
            <w:bCs/>
            <w:color w:val="0563C1"/>
            <w:sz w:val="22"/>
            <w:szCs w:val="22"/>
            <w:u w:val="single"/>
          </w:rPr>
          <w:t xml:space="preserve">“Regulation of 2'-5'-Oligoadenylate </w:t>
        </w:r>
        <w:proofErr w:type="spellStart"/>
        <w:r w:rsidR="0032100B">
          <w:rPr>
            <w:rStyle w:val="normaltextrun"/>
            <w:rFonts w:ascii="Calibri" w:hAnsi="Calibri" w:cs="Segoe UI"/>
            <w:b/>
            <w:bCs/>
            <w:color w:val="0563C1"/>
            <w:sz w:val="22"/>
            <w:szCs w:val="22"/>
            <w:u w:val="single"/>
          </w:rPr>
          <w:t>Synthetase</w:t>
        </w:r>
        <w:proofErr w:type="spellEnd"/>
        <w:r w:rsidR="0032100B">
          <w:rPr>
            <w:rStyle w:val="normaltextrun"/>
            <w:rFonts w:ascii="Calibri" w:hAnsi="Calibri" w:cs="Segoe UI"/>
            <w:b/>
            <w:bCs/>
            <w:color w:val="0563C1"/>
            <w:sz w:val="22"/>
            <w:szCs w:val="22"/>
            <w:u w:val="single"/>
          </w:rPr>
          <w:t xml:space="preserve"> 1 (OAS1) by </w:t>
        </w:r>
        <w:proofErr w:type="spellStart"/>
        <w:r w:rsidR="0032100B">
          <w:rPr>
            <w:rStyle w:val="normaltextrun"/>
            <w:rFonts w:ascii="Calibri" w:hAnsi="Calibri" w:cs="Segoe UI"/>
            <w:b/>
            <w:bCs/>
            <w:color w:val="0563C1"/>
            <w:sz w:val="22"/>
            <w:szCs w:val="22"/>
            <w:u w:val="single"/>
          </w:rPr>
          <w:t>dsRNA</w:t>
        </w:r>
        <w:proofErr w:type="spellEnd"/>
        <w:r w:rsidR="0032100B">
          <w:rPr>
            <w:rStyle w:val="normaltextrun"/>
            <w:rFonts w:ascii="Calibri" w:hAnsi="Calibri" w:cs="Segoe UI"/>
            <w:b/>
            <w:bCs/>
            <w:color w:val="0563C1"/>
            <w:sz w:val="22"/>
            <w:szCs w:val="22"/>
            <w:u w:val="single"/>
          </w:rPr>
          <w:t>”</w:t>
        </w:r>
      </w:hyperlink>
      <w:r w:rsidR="0032100B">
        <w:rPr>
          <w:rStyle w:val="eop"/>
          <w:rFonts w:ascii="Calibri" w:hAnsi="Calibri" w:cs="Segoe UI"/>
          <w:sz w:val="22"/>
          <w:szCs w:val="22"/>
        </w:rPr>
        <w:t> </w:t>
      </w:r>
    </w:p>
    <w:p w:rsidR="0032100B" w:rsidRDefault="0032100B" w:rsidP="00C94932">
      <w:pPr>
        <w:pStyle w:val="paragraph"/>
        <w:tabs>
          <w:tab w:val="left" w:pos="90"/>
        </w:tabs>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E82ABF" w:rsidRDefault="00E82ABF" w:rsidP="00C94932">
      <w:pPr>
        <w:pStyle w:val="paragraph"/>
        <w:tabs>
          <w:tab w:val="left" w:pos="90"/>
        </w:tabs>
        <w:textAlignment w:val="baseline"/>
        <w:rPr>
          <w:rStyle w:val="normaltextrun"/>
          <w:rFonts w:ascii="Calibri" w:hAnsi="Calibri" w:cs="Segoe UI"/>
          <w:b/>
          <w:bCs/>
          <w:sz w:val="22"/>
          <w:szCs w:val="22"/>
        </w:rPr>
      </w:pPr>
      <w:r>
        <w:rPr>
          <w:rStyle w:val="normaltextrun"/>
          <w:rFonts w:ascii="Calibri" w:hAnsi="Calibri" w:cs="Segoe UI"/>
          <w:b/>
          <w:bCs/>
          <w:sz w:val="22"/>
          <w:szCs w:val="22"/>
        </w:rPr>
        <w:t>Training in the Responsible Conduct of Research:</w:t>
      </w:r>
    </w:p>
    <w:p w:rsidR="00C94932" w:rsidRDefault="00C94932" w:rsidP="00C94932">
      <w:pPr>
        <w:pStyle w:val="Heading3"/>
      </w:pPr>
      <w:r>
        <w:t>RESPONSIBLE CONDUCT OF RESEARCH</w:t>
      </w:r>
    </w:p>
    <w:p w:rsidR="00C94932" w:rsidRDefault="00C94932" w:rsidP="00C94932">
      <w:pPr>
        <w:pStyle w:val="BodyText"/>
        <w:spacing w:before="162"/>
        <w:ind w:left="579" w:right="697"/>
        <w:jc w:val="both"/>
      </w:pPr>
      <w:r>
        <w:t xml:space="preserve">All Emory University graduate students are required to take a six-hour ethics seminar course, called Jones Program in Ethics (JPE 600), at the start of their first year. The ethics course covers general topics applicable to all disciplines and is supported by the Laney Graduate School in collaboration with the Emory Center for Ethics. I am also required to attend at least four additional workshops sponsored by the Laney Graduate School or the Emory Center for Ethics. I attended my first workshop this semester, where I met the Editor-in- Chief of the European Journal of Neuroscience, Dr. Paul </w:t>
      </w:r>
      <w:proofErr w:type="spellStart"/>
      <w:r>
        <w:t>Bolam</w:t>
      </w:r>
      <w:proofErr w:type="spellEnd"/>
      <w:r>
        <w:t xml:space="preserve">. </w:t>
      </w:r>
      <w:r>
        <w:rPr>
          <w:spacing w:val="6"/>
        </w:rPr>
        <w:t xml:space="preserve">We </w:t>
      </w:r>
      <w:r>
        <w:t>discussed the ethical conundrums that plague science publishing, such as the “crisis” in the peer review process, conflicts of interest, and plagiarism. He also gave us an inside look at the publishing timeline and the stages manuscripts must go through from submission to</w:t>
      </w:r>
      <w:r>
        <w:rPr>
          <w:spacing w:val="-9"/>
        </w:rPr>
        <w:t xml:space="preserve"> </w:t>
      </w:r>
      <w:r>
        <w:t>acceptance.</w:t>
      </w:r>
    </w:p>
    <w:p w:rsidR="00C94932" w:rsidRDefault="00C94932" w:rsidP="00C94932">
      <w:pPr>
        <w:pStyle w:val="BodyText"/>
        <w:spacing w:before="7"/>
      </w:pPr>
    </w:p>
    <w:p w:rsidR="00C94932" w:rsidRDefault="00C94932" w:rsidP="00C94932">
      <w:pPr>
        <w:pStyle w:val="BodyText"/>
        <w:ind w:left="579" w:right="697"/>
        <w:jc w:val="both"/>
      </w:pPr>
      <w:r>
        <w:t xml:space="preserve">As a graduate student in the Biochemistry, Cell, and Developmental Biology (BCDB) Program, I attend monthly, one-hour ethics workshops (eight per school year) sponsored by the program and currently directed by Drs. Guy </w:t>
      </w:r>
      <w:proofErr w:type="spellStart"/>
      <w:r>
        <w:t>Benian</w:t>
      </w:r>
      <w:proofErr w:type="spellEnd"/>
      <w:r>
        <w:t xml:space="preserve"> (Professor, Pathology) and William </w:t>
      </w:r>
      <w:proofErr w:type="spellStart"/>
      <w:r>
        <w:t>Dynan</w:t>
      </w:r>
      <w:proofErr w:type="spellEnd"/>
      <w:r>
        <w:t xml:space="preserve"> (Professor, Biochemistry). For my first  two years in the program, I am required to attend all eight of the monthly ethics workshops. As a third year and beyond, I am required to attend at least one ethics workshop per semester. This requirement therefore meets the National Institutes of Health (NIH) requirement for retraining every four years. Students, typically a junior and senior student, are paired with a faculty advisor to put together each interactive, discussion-based workshop, supported by a </w:t>
      </w:r>
      <w:proofErr w:type="spellStart"/>
      <w:r>
        <w:t>Powerpoint</w:t>
      </w:r>
      <w:proofErr w:type="spellEnd"/>
      <w:r>
        <w:t xml:space="preserve"> presentation on one of the following topics outlined in the table below. Many of the faculty advisors attend multiple sessions, and other BCDB faculty, e.g. Drs. Richard Kahn (Biochemistry) and Michael </w:t>
      </w:r>
      <w:proofErr w:type="spellStart"/>
      <w:r>
        <w:t>Koval</w:t>
      </w:r>
      <w:proofErr w:type="spellEnd"/>
      <w:r>
        <w:t xml:space="preserve"> (Medicine), also attend to contribute to the</w:t>
      </w:r>
      <w:r>
        <w:rPr>
          <w:spacing w:val="-37"/>
        </w:rPr>
        <w:t xml:space="preserve"> </w:t>
      </w:r>
      <w:r>
        <w:t>discussions.</w:t>
      </w:r>
    </w:p>
    <w:p w:rsidR="00C94932" w:rsidRDefault="00C94932" w:rsidP="00C94932">
      <w:pPr>
        <w:pStyle w:val="BodyText"/>
        <w:rPr>
          <w:sz w:val="20"/>
        </w:rPr>
      </w:pPr>
    </w:p>
    <w:p w:rsidR="00C94932" w:rsidRDefault="00C94932" w:rsidP="00C94932">
      <w:pPr>
        <w:pStyle w:val="BodyText"/>
        <w:spacing w:before="3"/>
        <w:rPr>
          <w:sz w:val="14"/>
        </w:rPr>
      </w:pPr>
      <w:r w:rsidRPr="007D30B3">
        <w:rPr>
          <w:sz w:val="22"/>
        </w:rPr>
        <w:pict>
          <v:shapetype id="_x0000_t202" coordsize="21600,21600" o:spt="202" path="m,l,21600r21600,l21600,xe">
            <v:stroke joinstyle="miter"/>
            <v:path gradientshapeok="t" o:connecttype="rect"/>
          </v:shapetype>
          <v:shape id="_x0000_s1038" type="#_x0000_t202" style="position:absolute;margin-left:79.55pt;margin-top:9.4pt;width:451.55pt;height:22.6pt;z-index:251660288;mso-wrap-distance-left:0;mso-wrap-distance-right:0;mso-position-horizontal-relative:page" fillcolor="black" stroked="f">
            <v:textbox inset="0,0,0,0">
              <w:txbxContent>
                <w:p w:rsidR="00C94932" w:rsidRDefault="00C94932" w:rsidP="00C94932">
                  <w:pPr>
                    <w:tabs>
                      <w:tab w:val="left" w:pos="3516"/>
                      <w:tab w:val="left" w:pos="4835"/>
                    </w:tabs>
                    <w:spacing w:before="98"/>
                    <w:ind w:left="137"/>
                    <w:rPr>
                      <w:b/>
                    </w:rPr>
                  </w:pPr>
                  <w:r>
                    <w:rPr>
                      <w:b/>
                      <w:color w:val="FFFFFF"/>
                      <w:sz w:val="22"/>
                    </w:rPr>
                    <w:t>Topic</w:t>
                  </w:r>
                  <w:r>
                    <w:rPr>
                      <w:b/>
                      <w:color w:val="FFFFFF"/>
                      <w:sz w:val="22"/>
                    </w:rPr>
                    <w:tab/>
                    <w:t>Year</w:t>
                  </w:r>
                  <w:r>
                    <w:rPr>
                      <w:b/>
                      <w:color w:val="FFFFFF"/>
                      <w:sz w:val="22"/>
                    </w:rPr>
                    <w:tab/>
                    <w:t>Faculty Advisor</w:t>
                  </w:r>
                  <w:r>
                    <w:rPr>
                      <w:b/>
                      <w:color w:val="FFFFFF"/>
                      <w:spacing w:val="-6"/>
                      <w:sz w:val="22"/>
                    </w:rPr>
                    <w:t xml:space="preserve"> </w:t>
                  </w:r>
                  <w:r>
                    <w:rPr>
                      <w:b/>
                      <w:color w:val="FFFFFF"/>
                      <w:sz w:val="22"/>
                    </w:rPr>
                    <w:t>(Department)</w:t>
                  </w:r>
                </w:p>
              </w:txbxContent>
            </v:textbox>
            <w10:wrap type="topAndBottom" anchorx="page"/>
          </v:shape>
        </w:pict>
      </w:r>
    </w:p>
    <w:p w:rsidR="00C94932" w:rsidRDefault="00C94932" w:rsidP="00C94932">
      <w:pPr>
        <w:pStyle w:val="BodyText"/>
        <w:spacing w:before="2"/>
        <w:rPr>
          <w:sz w:val="8"/>
        </w:rPr>
      </w:pPr>
    </w:p>
    <w:p w:rsidR="00C94932" w:rsidRDefault="00C94932" w:rsidP="00C94932">
      <w:pPr>
        <w:rPr>
          <w:sz w:val="8"/>
        </w:rPr>
        <w:sectPr w:rsidR="00C94932">
          <w:footerReference w:type="default" r:id="rId8"/>
          <w:pgSz w:w="12240" w:h="15840"/>
          <w:pgMar w:top="400" w:right="0" w:bottom="620" w:left="140" w:header="201" w:footer="424" w:gutter="0"/>
          <w:pgNumType w:start="48"/>
          <w:cols w:space="720"/>
        </w:sectPr>
      </w:pPr>
    </w:p>
    <w:p w:rsidR="00C94932" w:rsidRDefault="00C94932" w:rsidP="00C94932">
      <w:pPr>
        <w:pStyle w:val="BodyText"/>
        <w:spacing w:before="187"/>
        <w:ind w:left="1583"/>
      </w:pPr>
      <w:r>
        <w:lastRenderedPageBreak/>
        <w:t xml:space="preserve">Conflict of </w:t>
      </w:r>
      <w:r>
        <w:rPr>
          <w:spacing w:val="-6"/>
        </w:rPr>
        <w:t>Interest</w:t>
      </w:r>
    </w:p>
    <w:p w:rsidR="00C94932" w:rsidRDefault="00C94932" w:rsidP="00C94932">
      <w:pPr>
        <w:pStyle w:val="BodyText"/>
        <w:tabs>
          <w:tab w:val="left" w:pos="2862"/>
        </w:tabs>
        <w:spacing w:before="93"/>
        <w:ind w:left="1583" w:right="2869" w:hanging="1"/>
      </w:pPr>
      <w:r>
        <w:br w:type="column"/>
      </w:r>
      <w:r>
        <w:rPr>
          <w:spacing w:val="-4"/>
          <w:position w:val="1"/>
        </w:rPr>
        <w:lastRenderedPageBreak/>
        <w:t>2015-16*</w:t>
      </w:r>
      <w:r>
        <w:rPr>
          <w:spacing w:val="-4"/>
          <w:position w:val="1"/>
        </w:rPr>
        <w:tab/>
      </w:r>
      <w:r>
        <w:t xml:space="preserve">Paul </w:t>
      </w:r>
      <w:proofErr w:type="spellStart"/>
      <w:r>
        <w:t>Doetsch</w:t>
      </w:r>
      <w:proofErr w:type="spellEnd"/>
      <w:r>
        <w:t xml:space="preserve"> (Biochemistry) 2016-17</w:t>
      </w:r>
      <w:r>
        <w:tab/>
        <w:t xml:space="preserve">Kenneth </w:t>
      </w:r>
      <w:proofErr w:type="spellStart"/>
      <w:r>
        <w:t>Moberg</w:t>
      </w:r>
      <w:proofErr w:type="spellEnd"/>
      <w:r>
        <w:t xml:space="preserve"> (Cell</w:t>
      </w:r>
      <w:r>
        <w:rPr>
          <w:spacing w:val="-28"/>
        </w:rPr>
        <w:t xml:space="preserve"> </w:t>
      </w:r>
      <w:r>
        <w:t>Biology)</w:t>
      </w:r>
    </w:p>
    <w:p w:rsidR="00C94932" w:rsidRDefault="00C94932" w:rsidP="00C94932">
      <w:pPr>
        <w:sectPr w:rsidR="00C94932">
          <w:type w:val="continuous"/>
          <w:pgSz w:w="12240" w:h="15840"/>
          <w:pgMar w:top="1200" w:right="0" w:bottom="280" w:left="140" w:header="720" w:footer="720" w:gutter="0"/>
          <w:cols w:num="2" w:space="720" w:equalWidth="0">
            <w:col w:w="3337" w:space="47"/>
            <w:col w:w="8716"/>
          </w:cols>
        </w:sectPr>
      </w:pPr>
    </w:p>
    <w:p w:rsidR="00C94932" w:rsidRDefault="00C94932" w:rsidP="00C94932">
      <w:pPr>
        <w:pStyle w:val="BodyText"/>
        <w:spacing w:before="6"/>
        <w:rPr>
          <w:sz w:val="7"/>
        </w:rPr>
      </w:pPr>
    </w:p>
    <w:p w:rsidR="00C94932" w:rsidRDefault="00C94932" w:rsidP="00C94932">
      <w:pPr>
        <w:pStyle w:val="BodyText"/>
        <w:ind w:left="1480"/>
        <w:rPr>
          <w:sz w:val="20"/>
        </w:rPr>
      </w:pPr>
      <w:r>
        <w:rPr>
          <w:sz w:val="20"/>
        </w:rPr>
      </w:r>
      <w:r>
        <w:rPr>
          <w:sz w:val="20"/>
        </w:rPr>
        <w:pict>
          <v:group id="_x0000_s1026" style="width:450.05pt;height:33.75pt;mso-position-horizontal-relative:char;mso-position-vertical-relative:line" coordsize="9001,675">
            <v:rect id="_x0000_s1027" style="position:absolute;width:3380;height:675" fillcolor="#f0f0f0" stroked="f"/>
            <v:rect id="_x0000_s1028" style="position:absolute;left:108;top:170;width:3164;height:334" fillcolor="#f0f0f0" stroked="f"/>
            <v:rect id="_x0000_s1029" style="position:absolute;left:3379;width:1277;height:675" fillcolor="#f0f0f0" stroked="f"/>
            <v:rect id="_x0000_s1030" style="position:absolute;left:3487;top:84;width:1061;height:252" fillcolor="#f0f0f0" stroked="f"/>
            <v:rect id="_x0000_s1031" style="position:absolute;left:3487;top:336;width:1061;height:255" fillcolor="#f0f0f0" stroked="f"/>
            <v:rect id="_x0000_s1032" style="position:absolute;left:4656;width:4345;height:675" fillcolor="#f0f0f0" stroked="f"/>
            <v:rect id="_x0000_s1033" style="position:absolute;left:4764;top:84;width:4129;height:252" fillcolor="#f0f0f0" stroked="f"/>
            <v:rect id="_x0000_s1034" style="position:absolute;left:4764;top:336;width:4129;height:255" fillcolor="#f0f0f0" stroked="f"/>
            <v:shape id="_x0000_s1035" type="#_x0000_t202" style="position:absolute;left:4764;top:104;width:2710;height:504" filled="f" stroked="f">
              <v:textbox inset="0,0,0,0">
                <w:txbxContent>
                  <w:p w:rsidR="00C94932" w:rsidRDefault="00C94932" w:rsidP="00C94932">
                    <w:pPr>
                      <w:spacing w:line="244" w:lineRule="auto"/>
                    </w:pPr>
                    <w:r>
                      <w:rPr>
                        <w:sz w:val="22"/>
                      </w:rPr>
                      <w:t>David Pallas (Biochemistry) David Katz (Cell Biology)</w:t>
                    </w:r>
                  </w:p>
                </w:txbxContent>
              </v:textbox>
            </v:shape>
            <v:shape id="_x0000_s1036" type="#_x0000_t202" style="position:absolute;left:3487;top:80;width:915;height:494" filled="f" stroked="f">
              <v:textbox inset="0,0,0,0">
                <w:txbxContent>
                  <w:p w:rsidR="00C94932" w:rsidRDefault="00C94932" w:rsidP="00C94932">
                    <w:pPr>
                      <w:spacing w:line="244" w:lineRule="exact"/>
                    </w:pPr>
                    <w:r>
                      <w:rPr>
                        <w:sz w:val="22"/>
                      </w:rPr>
                      <w:t>2015-16</w:t>
                    </w:r>
                  </w:p>
                  <w:p w:rsidR="00C94932" w:rsidRDefault="00C94932" w:rsidP="00C94932">
                    <w:pPr>
                      <w:spacing w:line="250" w:lineRule="exact"/>
                    </w:pPr>
                    <w:r>
                      <w:rPr>
                        <w:sz w:val="22"/>
                      </w:rPr>
                      <w:t>2016-17*</w:t>
                    </w:r>
                  </w:p>
                </w:txbxContent>
              </v:textbox>
            </v:shape>
            <v:shape id="_x0000_s1037" type="#_x0000_t202" style="position:absolute;left:103;top:162;width:3151;height:247" filled="f" stroked="f">
              <v:textbox inset="0,0,0,0">
                <w:txbxContent>
                  <w:p w:rsidR="00C94932" w:rsidRDefault="00C94932" w:rsidP="00C94932">
                    <w:pPr>
                      <w:spacing w:line="247" w:lineRule="exact"/>
                    </w:pPr>
                    <w:r>
                      <w:rPr>
                        <w:sz w:val="22"/>
                      </w:rPr>
                      <w:t>Animal Experiments and IACUC</w:t>
                    </w:r>
                  </w:p>
                </w:txbxContent>
              </v:textbox>
            </v:shape>
            <w10:wrap type="none"/>
            <w10:anchorlock/>
          </v:group>
        </w:pict>
      </w:r>
    </w:p>
    <w:p w:rsidR="00C94932" w:rsidRDefault="00C94932" w:rsidP="00C94932">
      <w:pPr>
        <w:pStyle w:val="BodyText"/>
        <w:spacing w:before="10"/>
        <w:rPr>
          <w:sz w:val="13"/>
        </w:rPr>
      </w:pPr>
    </w:p>
    <w:p w:rsidR="00C94932" w:rsidRDefault="00C94932" w:rsidP="00C94932">
      <w:pPr>
        <w:rPr>
          <w:sz w:val="13"/>
        </w:rPr>
        <w:sectPr w:rsidR="00C94932">
          <w:type w:val="continuous"/>
          <w:pgSz w:w="12240" w:h="15840"/>
          <w:pgMar w:top="1200" w:right="0" w:bottom="280" w:left="140" w:header="720" w:footer="720" w:gutter="0"/>
          <w:cols w:space="720"/>
        </w:sectPr>
      </w:pPr>
    </w:p>
    <w:p w:rsidR="00C94932" w:rsidRDefault="00C94932" w:rsidP="00C94932">
      <w:pPr>
        <w:pStyle w:val="BodyText"/>
        <w:spacing w:before="182"/>
        <w:ind w:left="1583"/>
      </w:pPr>
      <w:r>
        <w:lastRenderedPageBreak/>
        <w:t>Human Subjects and</w:t>
      </w:r>
      <w:r>
        <w:rPr>
          <w:spacing w:val="-40"/>
        </w:rPr>
        <w:t xml:space="preserve"> </w:t>
      </w:r>
      <w:r>
        <w:t>Tissues</w:t>
      </w:r>
    </w:p>
    <w:p w:rsidR="00C94932" w:rsidRDefault="00C94932" w:rsidP="00C94932">
      <w:pPr>
        <w:pStyle w:val="BodyText"/>
        <w:spacing w:before="94"/>
        <w:ind w:left="510"/>
      </w:pPr>
      <w:r>
        <w:br w:type="column"/>
      </w:r>
      <w:r>
        <w:lastRenderedPageBreak/>
        <w:t>2015-16</w:t>
      </w:r>
    </w:p>
    <w:p w:rsidR="00C94932" w:rsidRDefault="00C94932" w:rsidP="00C94932">
      <w:pPr>
        <w:pStyle w:val="BodyText"/>
        <w:spacing w:before="5"/>
        <w:rPr>
          <w:sz w:val="19"/>
        </w:rPr>
      </w:pPr>
      <w:r>
        <w:br w:type="column"/>
      </w:r>
    </w:p>
    <w:p w:rsidR="00C94932" w:rsidRDefault="00C94932" w:rsidP="00C94932">
      <w:pPr>
        <w:pStyle w:val="BodyText"/>
        <w:ind w:left="425"/>
      </w:pPr>
      <w:r>
        <w:t xml:space="preserve">Judy </w:t>
      </w:r>
      <w:proofErr w:type="spellStart"/>
      <w:r>
        <w:t>Fridovich-Keil</w:t>
      </w:r>
      <w:proofErr w:type="spellEnd"/>
      <w:r>
        <w:t xml:space="preserve"> (Human Genetics)</w:t>
      </w:r>
    </w:p>
    <w:p w:rsidR="00C94932" w:rsidRDefault="00C94932" w:rsidP="00C94932">
      <w:pPr>
        <w:sectPr w:rsidR="00C94932">
          <w:type w:val="continuous"/>
          <w:pgSz w:w="12240" w:h="15840"/>
          <w:pgMar w:top="1200" w:right="0" w:bottom="280" w:left="140" w:header="720" w:footer="720" w:gutter="0"/>
          <w:cols w:num="3" w:space="720" w:equalWidth="0">
            <w:col w:w="4417" w:space="40"/>
            <w:col w:w="1319" w:space="39"/>
            <w:col w:w="6285"/>
          </w:cols>
        </w:sectPr>
      </w:pPr>
    </w:p>
    <w:p w:rsidR="00C94932" w:rsidRDefault="00C94932" w:rsidP="00C94932">
      <w:pPr>
        <w:pStyle w:val="BodyText"/>
        <w:rPr>
          <w:sz w:val="20"/>
        </w:rPr>
      </w:pPr>
    </w:p>
    <w:p w:rsidR="00C94932" w:rsidRDefault="00C94932" w:rsidP="00C94932">
      <w:pPr>
        <w:pStyle w:val="BodyText"/>
        <w:rPr>
          <w:sz w:val="20"/>
        </w:rPr>
      </w:pPr>
    </w:p>
    <w:p w:rsidR="00C94932" w:rsidRDefault="00C94932" w:rsidP="00C94932">
      <w:pPr>
        <w:pStyle w:val="BodyText"/>
        <w:rPr>
          <w:sz w:val="20"/>
        </w:rPr>
      </w:pPr>
    </w:p>
    <w:p w:rsidR="00C94932" w:rsidRDefault="00C94932" w:rsidP="00C94932">
      <w:pPr>
        <w:pStyle w:val="BodyText"/>
        <w:rPr>
          <w:sz w:val="20"/>
        </w:rPr>
      </w:pPr>
    </w:p>
    <w:p w:rsidR="00C94932" w:rsidRDefault="00C94932" w:rsidP="00C94932">
      <w:pPr>
        <w:pStyle w:val="BodyText"/>
        <w:rPr>
          <w:sz w:val="20"/>
        </w:rPr>
      </w:pPr>
    </w:p>
    <w:p w:rsidR="00C94932" w:rsidRDefault="00C94932" w:rsidP="00C94932">
      <w:pPr>
        <w:pStyle w:val="BodyText"/>
        <w:rPr>
          <w:sz w:val="20"/>
        </w:rPr>
      </w:pPr>
    </w:p>
    <w:p w:rsidR="00C94932" w:rsidRDefault="00C94932" w:rsidP="00C94932">
      <w:pPr>
        <w:pStyle w:val="BodyText"/>
        <w:rPr>
          <w:sz w:val="20"/>
        </w:rPr>
      </w:pPr>
    </w:p>
    <w:p w:rsidR="00C94932" w:rsidRDefault="00C94932" w:rsidP="00C94932">
      <w:pPr>
        <w:pStyle w:val="BodyText"/>
        <w:rPr>
          <w:sz w:val="20"/>
        </w:rPr>
      </w:pPr>
    </w:p>
    <w:p w:rsidR="00C94932" w:rsidRDefault="00C94932" w:rsidP="00C94932">
      <w:pPr>
        <w:pStyle w:val="BodyText"/>
        <w:rPr>
          <w:sz w:val="20"/>
        </w:rPr>
      </w:pPr>
    </w:p>
    <w:p w:rsidR="00C94932" w:rsidRDefault="00C94932" w:rsidP="00C94932">
      <w:pPr>
        <w:pStyle w:val="BodyText"/>
        <w:rPr>
          <w:sz w:val="20"/>
        </w:rPr>
      </w:pPr>
    </w:p>
    <w:p w:rsidR="00C94932" w:rsidRDefault="00C94932" w:rsidP="00C94932">
      <w:pPr>
        <w:pStyle w:val="BodyText"/>
        <w:rPr>
          <w:sz w:val="20"/>
        </w:rPr>
      </w:pPr>
    </w:p>
    <w:p w:rsidR="00C94932" w:rsidRDefault="00C94932" w:rsidP="00C94932">
      <w:pPr>
        <w:pStyle w:val="BodyText"/>
        <w:rPr>
          <w:sz w:val="20"/>
        </w:rPr>
      </w:pPr>
    </w:p>
    <w:p w:rsidR="00C94932" w:rsidRDefault="00C94932" w:rsidP="00C94932">
      <w:pPr>
        <w:pStyle w:val="BodyText"/>
        <w:rPr>
          <w:sz w:val="20"/>
        </w:rPr>
      </w:pPr>
    </w:p>
    <w:p w:rsidR="00C94932" w:rsidRDefault="00C94932" w:rsidP="00C94932">
      <w:pPr>
        <w:pStyle w:val="BodyText"/>
        <w:rPr>
          <w:sz w:val="20"/>
        </w:rPr>
      </w:pPr>
    </w:p>
    <w:p w:rsidR="00C94932" w:rsidRDefault="00C94932" w:rsidP="00C94932">
      <w:pPr>
        <w:pStyle w:val="BodyText"/>
        <w:rPr>
          <w:sz w:val="20"/>
        </w:rPr>
      </w:pPr>
    </w:p>
    <w:p w:rsidR="00C94932" w:rsidRDefault="00C94932" w:rsidP="00C94932">
      <w:pPr>
        <w:pStyle w:val="BodyText"/>
        <w:rPr>
          <w:sz w:val="20"/>
        </w:rPr>
      </w:pPr>
    </w:p>
    <w:p w:rsidR="00C94932" w:rsidRDefault="00C94932" w:rsidP="00C94932">
      <w:pPr>
        <w:pStyle w:val="BodyText"/>
        <w:rPr>
          <w:sz w:val="20"/>
        </w:rPr>
      </w:pPr>
    </w:p>
    <w:p w:rsidR="00C94932" w:rsidRDefault="00C94932" w:rsidP="00C94932">
      <w:pPr>
        <w:pStyle w:val="BodyText"/>
        <w:spacing w:before="9"/>
        <w:rPr>
          <w:sz w:val="16"/>
        </w:rPr>
      </w:pPr>
    </w:p>
    <w:p w:rsidR="00C94932" w:rsidRDefault="00C94932" w:rsidP="00C94932">
      <w:pPr>
        <w:pStyle w:val="BodyText"/>
        <w:spacing w:before="94"/>
        <w:ind w:left="1657"/>
      </w:pPr>
      <w:r>
        <w:pict>
          <v:shape id="_x0000_s1039" type="#_x0000_t202" style="position:absolute;left:0;text-align:left;margin-left:79.55pt;margin-top:-211.7pt;width:451.95pt;height:214.25pt;z-index:251661312;mso-position-horizontal-relative:page" filled="f" stroked="f">
            <v:textbox inset="0,0,0,0">
              <w:txbxContent>
                <w:tbl>
                  <w:tblPr>
                    <w:tblW w:w="0" w:type="auto"/>
                    <w:tblInd w:w="7" w:type="dxa"/>
                    <w:tblLayout w:type="fixed"/>
                    <w:tblCellMar>
                      <w:left w:w="0" w:type="dxa"/>
                      <w:right w:w="0" w:type="dxa"/>
                    </w:tblCellMar>
                    <w:tblLook w:val="01E0"/>
                  </w:tblPr>
                  <w:tblGrid>
                    <w:gridCol w:w="3369"/>
                    <w:gridCol w:w="1196"/>
                    <w:gridCol w:w="4474"/>
                  </w:tblGrid>
                  <w:tr w:rsidR="00C94932">
                    <w:trPr>
                      <w:trHeight w:val="312"/>
                    </w:trPr>
                    <w:tc>
                      <w:tcPr>
                        <w:tcW w:w="3369" w:type="dxa"/>
                      </w:tcPr>
                      <w:p w:rsidR="00C94932" w:rsidRDefault="00C94932">
                        <w:pPr>
                          <w:pStyle w:val="TableParagraph"/>
                          <w:rPr>
                            <w:rFonts w:ascii="Times New Roman"/>
                            <w:sz w:val="20"/>
                          </w:rPr>
                        </w:pPr>
                      </w:p>
                    </w:tc>
                    <w:tc>
                      <w:tcPr>
                        <w:tcW w:w="1196" w:type="dxa"/>
                      </w:tcPr>
                      <w:p w:rsidR="00C94932" w:rsidRDefault="00C94932">
                        <w:pPr>
                          <w:pStyle w:val="TableParagraph"/>
                          <w:spacing w:line="247" w:lineRule="exact"/>
                          <w:ind w:left="154"/>
                        </w:pPr>
                        <w:r>
                          <w:t>2016-17</w:t>
                        </w:r>
                      </w:p>
                    </w:tc>
                    <w:tc>
                      <w:tcPr>
                        <w:tcW w:w="4474" w:type="dxa"/>
                      </w:tcPr>
                      <w:p w:rsidR="00C94932" w:rsidRDefault="00C94932">
                        <w:pPr>
                          <w:pStyle w:val="TableParagraph"/>
                          <w:rPr>
                            <w:rFonts w:ascii="Times New Roman"/>
                            <w:sz w:val="20"/>
                          </w:rPr>
                        </w:pPr>
                      </w:p>
                    </w:tc>
                  </w:tr>
                  <w:tr w:rsidR="00C94932">
                    <w:trPr>
                      <w:trHeight w:val="264"/>
                    </w:trPr>
                    <w:tc>
                      <w:tcPr>
                        <w:tcW w:w="3369" w:type="dxa"/>
                        <w:shd w:val="clear" w:color="auto" w:fill="F0F0F0"/>
                      </w:tcPr>
                      <w:p w:rsidR="00C94932" w:rsidRDefault="00C94932">
                        <w:pPr>
                          <w:pStyle w:val="TableParagraph"/>
                          <w:spacing w:line="245" w:lineRule="exact"/>
                          <w:ind w:left="139"/>
                        </w:pPr>
                        <w:r>
                          <w:t>Mentor-Mentee Responsibilities</w:t>
                        </w:r>
                      </w:p>
                    </w:tc>
                    <w:tc>
                      <w:tcPr>
                        <w:tcW w:w="1196" w:type="dxa"/>
                        <w:shd w:val="clear" w:color="auto" w:fill="F0F0F0"/>
                      </w:tcPr>
                      <w:p w:rsidR="00C94932" w:rsidRDefault="00C94932">
                        <w:pPr>
                          <w:pStyle w:val="TableParagraph"/>
                          <w:spacing w:line="245" w:lineRule="exact"/>
                          <w:ind w:left="154"/>
                        </w:pPr>
                        <w:r>
                          <w:t>2015-16</w:t>
                        </w:r>
                      </w:p>
                    </w:tc>
                    <w:tc>
                      <w:tcPr>
                        <w:tcW w:w="4474" w:type="dxa"/>
                        <w:shd w:val="clear" w:color="auto" w:fill="F0F0F0"/>
                      </w:tcPr>
                      <w:p w:rsidR="00C94932" w:rsidRDefault="00C94932">
                        <w:pPr>
                          <w:pStyle w:val="TableParagraph"/>
                          <w:spacing w:line="245" w:lineRule="exact"/>
                          <w:ind w:left="232"/>
                        </w:pPr>
                        <w:r>
                          <w:t xml:space="preserve">G. </w:t>
                        </w:r>
                        <w:proofErr w:type="spellStart"/>
                        <w:r>
                          <w:t>Benian</w:t>
                        </w:r>
                        <w:proofErr w:type="spellEnd"/>
                        <w:r>
                          <w:t xml:space="preserve"> (Path.), W. </w:t>
                        </w:r>
                        <w:proofErr w:type="spellStart"/>
                        <w:r>
                          <w:t>Dynan</w:t>
                        </w:r>
                        <w:proofErr w:type="spellEnd"/>
                        <w:r>
                          <w:t xml:space="preserve"> (</w:t>
                        </w:r>
                        <w:proofErr w:type="spellStart"/>
                        <w:r>
                          <w:t>Biochem</w:t>
                        </w:r>
                        <w:proofErr w:type="spellEnd"/>
                        <w:r>
                          <w:t>.)</w:t>
                        </w:r>
                      </w:p>
                    </w:tc>
                  </w:tr>
                  <w:tr w:rsidR="00C94932">
                    <w:trPr>
                      <w:trHeight w:val="347"/>
                    </w:trPr>
                    <w:tc>
                      <w:tcPr>
                        <w:tcW w:w="3369" w:type="dxa"/>
                        <w:shd w:val="clear" w:color="auto" w:fill="F0F0F0"/>
                      </w:tcPr>
                      <w:p w:rsidR="00C94932" w:rsidRDefault="00C94932">
                        <w:pPr>
                          <w:pStyle w:val="TableParagraph"/>
                          <w:spacing w:before="11"/>
                          <w:ind w:left="139"/>
                        </w:pPr>
                        <w:r>
                          <w:t>and Relationships</w:t>
                        </w:r>
                      </w:p>
                    </w:tc>
                    <w:tc>
                      <w:tcPr>
                        <w:tcW w:w="1196" w:type="dxa"/>
                        <w:shd w:val="clear" w:color="auto" w:fill="F0F0F0"/>
                      </w:tcPr>
                      <w:p w:rsidR="00C94932" w:rsidRDefault="00C94932">
                        <w:pPr>
                          <w:pStyle w:val="TableParagraph"/>
                          <w:spacing w:before="55"/>
                          <w:ind w:left="151"/>
                        </w:pPr>
                        <w:r>
                          <w:t>2016-17</w:t>
                        </w:r>
                      </w:p>
                    </w:tc>
                    <w:tc>
                      <w:tcPr>
                        <w:tcW w:w="4474" w:type="dxa"/>
                        <w:shd w:val="clear" w:color="auto" w:fill="F0F0F0"/>
                      </w:tcPr>
                      <w:p w:rsidR="00C94932" w:rsidRDefault="00C94932">
                        <w:pPr>
                          <w:pStyle w:val="TableParagraph"/>
                          <w:spacing w:before="55"/>
                          <w:ind w:left="232"/>
                        </w:pPr>
                        <w:r>
                          <w:t>Keith Wilkinson (Biochemistry)</w:t>
                        </w:r>
                      </w:p>
                    </w:tc>
                  </w:tr>
                  <w:tr w:rsidR="00C94932">
                    <w:trPr>
                      <w:trHeight w:val="674"/>
                    </w:trPr>
                    <w:tc>
                      <w:tcPr>
                        <w:tcW w:w="3369" w:type="dxa"/>
                      </w:tcPr>
                      <w:p w:rsidR="00C94932" w:rsidRDefault="00C94932">
                        <w:pPr>
                          <w:pStyle w:val="TableParagraph"/>
                          <w:spacing w:before="168"/>
                          <w:ind w:left="139"/>
                        </w:pPr>
                        <w:r>
                          <w:t>Collaborative Research</w:t>
                        </w:r>
                      </w:p>
                    </w:tc>
                    <w:tc>
                      <w:tcPr>
                        <w:tcW w:w="1196" w:type="dxa"/>
                      </w:tcPr>
                      <w:p w:rsidR="00C94932" w:rsidRDefault="00C94932">
                        <w:pPr>
                          <w:pStyle w:val="TableParagraph"/>
                          <w:spacing w:before="192"/>
                          <w:ind w:left="151"/>
                        </w:pPr>
                        <w:r>
                          <w:t>2015-16</w:t>
                        </w:r>
                      </w:p>
                    </w:tc>
                    <w:tc>
                      <w:tcPr>
                        <w:tcW w:w="4474" w:type="dxa"/>
                      </w:tcPr>
                      <w:p w:rsidR="00C94932" w:rsidRDefault="00C94932">
                        <w:pPr>
                          <w:pStyle w:val="TableParagraph"/>
                          <w:spacing w:before="192"/>
                          <w:ind w:left="232"/>
                        </w:pPr>
                        <w:r>
                          <w:t xml:space="preserve">Eric </w:t>
                        </w:r>
                        <w:proofErr w:type="spellStart"/>
                        <w:r>
                          <w:t>Ortlund</w:t>
                        </w:r>
                        <w:proofErr w:type="spellEnd"/>
                        <w:r>
                          <w:t xml:space="preserve"> (Biochemistry)</w:t>
                        </w:r>
                      </w:p>
                    </w:tc>
                  </w:tr>
                  <w:tr w:rsidR="00C94932">
                    <w:trPr>
                      <w:trHeight w:val="714"/>
                    </w:trPr>
                    <w:tc>
                      <w:tcPr>
                        <w:tcW w:w="9039" w:type="dxa"/>
                        <w:gridSpan w:val="3"/>
                        <w:shd w:val="clear" w:color="auto" w:fill="F0F0F0"/>
                      </w:tcPr>
                      <w:p w:rsidR="00C94932" w:rsidRDefault="00C94932">
                        <w:pPr>
                          <w:pStyle w:val="TableParagraph"/>
                          <w:tabs>
                            <w:tab w:val="left" w:pos="3525"/>
                            <w:tab w:val="left" w:pos="4799"/>
                          </w:tabs>
                          <w:spacing w:before="33" w:line="286" w:lineRule="exact"/>
                          <w:ind w:left="3528" w:right="1132" w:hanging="3389"/>
                        </w:pPr>
                        <w:r>
                          <w:rPr>
                            <w:position w:val="1"/>
                          </w:rPr>
                          <w:t>Peer Review</w:t>
                        </w:r>
                        <w:r>
                          <w:rPr>
                            <w:position w:val="1"/>
                          </w:rPr>
                          <w:tab/>
                        </w:r>
                        <w:r>
                          <w:rPr>
                            <w:position w:val="10"/>
                          </w:rPr>
                          <w:t>2015-16</w:t>
                        </w:r>
                        <w:r>
                          <w:rPr>
                            <w:position w:val="10"/>
                          </w:rPr>
                          <w:tab/>
                        </w:r>
                        <w:r>
                          <w:t xml:space="preserve">Graeme Conn (Biochemistry) </w:t>
                        </w:r>
                        <w:r>
                          <w:rPr>
                            <w:position w:val="1"/>
                          </w:rPr>
                          <w:t>2016-17</w:t>
                        </w:r>
                        <w:r>
                          <w:rPr>
                            <w:position w:val="1"/>
                          </w:rPr>
                          <w:tab/>
                        </w:r>
                        <w:proofErr w:type="spellStart"/>
                        <w:r>
                          <w:t>Alexa</w:t>
                        </w:r>
                        <w:proofErr w:type="spellEnd"/>
                        <w:r>
                          <w:t xml:space="preserve"> </w:t>
                        </w:r>
                        <w:proofErr w:type="spellStart"/>
                        <w:r>
                          <w:t>Mattheyses</w:t>
                        </w:r>
                        <w:proofErr w:type="spellEnd"/>
                        <w:r>
                          <w:t xml:space="preserve"> (Cell</w:t>
                        </w:r>
                        <w:r>
                          <w:rPr>
                            <w:spacing w:val="-13"/>
                          </w:rPr>
                          <w:t xml:space="preserve"> </w:t>
                        </w:r>
                        <w:r>
                          <w:t>Biology)</w:t>
                        </w:r>
                      </w:p>
                    </w:tc>
                  </w:tr>
                  <w:tr w:rsidR="00C94932">
                    <w:trPr>
                      <w:trHeight w:val="610"/>
                    </w:trPr>
                    <w:tc>
                      <w:tcPr>
                        <w:tcW w:w="3369" w:type="dxa"/>
                      </w:tcPr>
                      <w:p w:rsidR="00C94932" w:rsidRDefault="00C94932">
                        <w:pPr>
                          <w:pStyle w:val="TableParagraph"/>
                          <w:spacing w:line="247" w:lineRule="exact"/>
                          <w:ind w:left="139"/>
                        </w:pPr>
                        <w:r>
                          <w:t>Data Management and Sharing</w:t>
                        </w:r>
                      </w:p>
                    </w:tc>
                    <w:tc>
                      <w:tcPr>
                        <w:tcW w:w="1196" w:type="dxa"/>
                      </w:tcPr>
                      <w:p w:rsidR="00C94932" w:rsidRDefault="00C94932">
                        <w:pPr>
                          <w:pStyle w:val="TableParagraph"/>
                          <w:spacing w:line="177" w:lineRule="exact"/>
                          <w:ind w:left="151"/>
                        </w:pPr>
                        <w:r>
                          <w:t>2015-16</w:t>
                        </w:r>
                      </w:p>
                      <w:p w:rsidR="00C94932" w:rsidRDefault="00C94932">
                        <w:pPr>
                          <w:pStyle w:val="TableParagraph"/>
                          <w:spacing w:before="83"/>
                          <w:ind w:left="151"/>
                        </w:pPr>
                        <w:r>
                          <w:t>2016-17</w:t>
                        </w:r>
                      </w:p>
                    </w:tc>
                    <w:tc>
                      <w:tcPr>
                        <w:tcW w:w="4474" w:type="dxa"/>
                      </w:tcPr>
                      <w:p w:rsidR="00C94932" w:rsidRDefault="00C94932">
                        <w:pPr>
                          <w:pStyle w:val="TableParagraph"/>
                          <w:spacing w:before="3" w:line="244" w:lineRule="auto"/>
                          <w:ind w:left="232" w:right="1055"/>
                        </w:pPr>
                        <w:r>
                          <w:t>Ichiro Matsumura (Biochemistry) Maureen Powers (Cell Biology)</w:t>
                        </w:r>
                      </w:p>
                    </w:tc>
                  </w:tr>
                  <w:tr w:rsidR="00C94932">
                    <w:trPr>
                      <w:trHeight w:val="282"/>
                    </w:trPr>
                    <w:tc>
                      <w:tcPr>
                        <w:tcW w:w="3369" w:type="dxa"/>
                        <w:shd w:val="clear" w:color="auto" w:fill="F0F0F0"/>
                      </w:tcPr>
                      <w:p w:rsidR="00C94932" w:rsidRDefault="00C94932">
                        <w:pPr>
                          <w:pStyle w:val="TableParagraph"/>
                          <w:spacing w:before="14" w:line="248" w:lineRule="exact"/>
                          <w:ind w:left="139"/>
                        </w:pPr>
                        <w:r>
                          <w:t>Research Misconduct and Data</w:t>
                        </w:r>
                      </w:p>
                    </w:tc>
                    <w:tc>
                      <w:tcPr>
                        <w:tcW w:w="1196" w:type="dxa"/>
                        <w:shd w:val="clear" w:color="auto" w:fill="F0F0F0"/>
                      </w:tcPr>
                      <w:p w:rsidR="00C94932" w:rsidRDefault="00C94932">
                        <w:pPr>
                          <w:pStyle w:val="TableParagraph"/>
                          <w:spacing w:before="14" w:line="248" w:lineRule="exact"/>
                          <w:ind w:left="151"/>
                        </w:pPr>
                        <w:r>
                          <w:t>2015-16</w:t>
                        </w:r>
                      </w:p>
                    </w:tc>
                    <w:tc>
                      <w:tcPr>
                        <w:tcW w:w="4474" w:type="dxa"/>
                        <w:shd w:val="clear" w:color="auto" w:fill="F0F0F0"/>
                      </w:tcPr>
                      <w:p w:rsidR="00C94932" w:rsidRDefault="00C94932">
                        <w:pPr>
                          <w:pStyle w:val="TableParagraph"/>
                          <w:spacing w:before="14" w:line="248" w:lineRule="exact"/>
                          <w:ind w:left="232"/>
                        </w:pPr>
                        <w:r>
                          <w:t>Christine Dunham (Biochemistry)</w:t>
                        </w:r>
                      </w:p>
                    </w:tc>
                  </w:tr>
                  <w:tr w:rsidR="00C94932">
                    <w:trPr>
                      <w:trHeight w:val="387"/>
                    </w:trPr>
                    <w:tc>
                      <w:tcPr>
                        <w:tcW w:w="3369" w:type="dxa"/>
                        <w:shd w:val="clear" w:color="auto" w:fill="F0F0F0"/>
                      </w:tcPr>
                      <w:p w:rsidR="00C94932" w:rsidRDefault="00C94932">
                        <w:pPr>
                          <w:pStyle w:val="TableParagraph"/>
                          <w:spacing w:before="8"/>
                          <w:ind w:left="139"/>
                        </w:pPr>
                        <w:r>
                          <w:t>Manipulation</w:t>
                        </w:r>
                      </w:p>
                    </w:tc>
                    <w:tc>
                      <w:tcPr>
                        <w:tcW w:w="1196" w:type="dxa"/>
                        <w:shd w:val="clear" w:color="auto" w:fill="F0F0F0"/>
                      </w:tcPr>
                      <w:p w:rsidR="00C94932" w:rsidRDefault="00C94932">
                        <w:pPr>
                          <w:pStyle w:val="TableParagraph"/>
                          <w:spacing w:before="51"/>
                          <w:ind w:left="151"/>
                        </w:pPr>
                        <w:r>
                          <w:t>2016-17</w:t>
                        </w:r>
                      </w:p>
                    </w:tc>
                    <w:tc>
                      <w:tcPr>
                        <w:tcW w:w="4474" w:type="dxa"/>
                        <w:shd w:val="clear" w:color="auto" w:fill="F0F0F0"/>
                      </w:tcPr>
                      <w:p w:rsidR="00C94932" w:rsidRDefault="00C94932">
                        <w:pPr>
                          <w:pStyle w:val="TableParagraph"/>
                          <w:spacing w:before="51"/>
                          <w:ind w:left="232"/>
                        </w:pPr>
                        <w:r>
                          <w:t>David Pallas (Biochemistry)</w:t>
                        </w:r>
                      </w:p>
                    </w:tc>
                  </w:tr>
                  <w:tr w:rsidR="00C94932">
                    <w:trPr>
                      <w:trHeight w:val="285"/>
                    </w:trPr>
                    <w:tc>
                      <w:tcPr>
                        <w:tcW w:w="3369" w:type="dxa"/>
                      </w:tcPr>
                      <w:p w:rsidR="00C94932" w:rsidRDefault="00C94932">
                        <w:pPr>
                          <w:pStyle w:val="TableParagraph"/>
                          <w:spacing w:before="17" w:line="249" w:lineRule="exact"/>
                          <w:ind w:left="139"/>
                        </w:pPr>
                        <w:r>
                          <w:t>Responsible Authorship and</w:t>
                        </w:r>
                      </w:p>
                    </w:tc>
                    <w:tc>
                      <w:tcPr>
                        <w:tcW w:w="1196" w:type="dxa"/>
                      </w:tcPr>
                      <w:p w:rsidR="00C94932" w:rsidRDefault="00C94932">
                        <w:pPr>
                          <w:pStyle w:val="TableParagraph"/>
                          <w:spacing w:before="17" w:line="249" w:lineRule="exact"/>
                          <w:ind w:left="151"/>
                        </w:pPr>
                        <w:r>
                          <w:t>2015-16</w:t>
                        </w:r>
                      </w:p>
                    </w:tc>
                    <w:tc>
                      <w:tcPr>
                        <w:tcW w:w="4474" w:type="dxa"/>
                      </w:tcPr>
                      <w:p w:rsidR="00C94932" w:rsidRDefault="00C94932">
                        <w:pPr>
                          <w:pStyle w:val="TableParagraph"/>
                          <w:spacing w:before="17" w:line="249" w:lineRule="exact"/>
                          <w:ind w:left="232"/>
                        </w:pPr>
                        <w:r>
                          <w:t xml:space="preserve">Judy </w:t>
                        </w:r>
                        <w:proofErr w:type="spellStart"/>
                        <w:r>
                          <w:t>Fridovich-Keil</w:t>
                        </w:r>
                        <w:proofErr w:type="spellEnd"/>
                        <w:r>
                          <w:t xml:space="preserve"> (Human Genetics)</w:t>
                        </w:r>
                      </w:p>
                    </w:tc>
                  </w:tr>
                  <w:tr w:rsidR="00C94932">
                    <w:trPr>
                      <w:trHeight w:val="390"/>
                    </w:trPr>
                    <w:tc>
                      <w:tcPr>
                        <w:tcW w:w="3369" w:type="dxa"/>
                        <w:tcBorders>
                          <w:bottom w:val="single" w:sz="4" w:space="0" w:color="000000"/>
                        </w:tcBorders>
                      </w:tcPr>
                      <w:p w:rsidR="00C94932" w:rsidRDefault="00C94932">
                        <w:pPr>
                          <w:pStyle w:val="TableParagraph"/>
                          <w:spacing w:before="9"/>
                          <w:ind w:left="139"/>
                        </w:pPr>
                        <w:r>
                          <w:t>Publication</w:t>
                        </w:r>
                      </w:p>
                    </w:tc>
                    <w:tc>
                      <w:tcPr>
                        <w:tcW w:w="1196" w:type="dxa"/>
                        <w:tcBorders>
                          <w:bottom w:val="single" w:sz="4" w:space="0" w:color="000000"/>
                        </w:tcBorders>
                      </w:tcPr>
                      <w:p w:rsidR="00C94932" w:rsidRDefault="00C94932">
                        <w:pPr>
                          <w:pStyle w:val="TableParagraph"/>
                          <w:spacing w:before="52"/>
                          <w:ind w:left="151"/>
                        </w:pPr>
                        <w:r>
                          <w:t>2016-17</w:t>
                        </w:r>
                      </w:p>
                    </w:tc>
                    <w:tc>
                      <w:tcPr>
                        <w:tcW w:w="4474" w:type="dxa"/>
                        <w:tcBorders>
                          <w:bottom w:val="single" w:sz="4" w:space="0" w:color="000000"/>
                        </w:tcBorders>
                      </w:tcPr>
                      <w:p w:rsidR="00C94932" w:rsidRDefault="00C94932">
                        <w:pPr>
                          <w:pStyle w:val="TableParagraph"/>
                          <w:spacing w:before="52"/>
                          <w:ind w:left="232"/>
                        </w:pPr>
                        <w:r>
                          <w:t>William Kelly (Biology)</w:t>
                        </w:r>
                      </w:p>
                    </w:tc>
                  </w:tr>
                </w:tbl>
                <w:p w:rsidR="00C94932" w:rsidRDefault="00C94932" w:rsidP="00C94932">
                  <w:pPr>
                    <w:pStyle w:val="BodyText"/>
                  </w:pPr>
                </w:p>
              </w:txbxContent>
            </v:textbox>
            <w10:wrap anchorx="page"/>
          </v:shape>
        </w:pict>
      </w:r>
      <w:r>
        <w:t>*Denotes the two ethics presentations I have given to date.</w:t>
      </w:r>
    </w:p>
    <w:p w:rsidR="00466451" w:rsidRPr="00E82ABF" w:rsidRDefault="00466451" w:rsidP="00C94932">
      <w:pPr>
        <w:tabs>
          <w:tab w:val="left" w:pos="90"/>
        </w:tabs>
        <w:rPr>
          <w:rFonts w:ascii="Segoe UI" w:eastAsia="Times New Roman" w:hAnsi="Segoe UI" w:cs="Segoe UI"/>
          <w:color w:val="666666"/>
          <w:sz w:val="18"/>
          <w:szCs w:val="18"/>
          <w:shd w:val="clear" w:color="auto" w:fill="FFFFFF"/>
        </w:rPr>
      </w:pPr>
    </w:p>
    <w:sectPr w:rsidR="00466451" w:rsidRPr="00E82ABF" w:rsidSect="00466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0B3" w:rsidRDefault="00325C14">
    <w:pPr>
      <w:pStyle w:val="BodyText"/>
      <w:spacing w:line="14" w:lineRule="auto"/>
      <w:rPr>
        <w:sz w:val="20"/>
      </w:rPr>
    </w:pPr>
    <w:r w:rsidRPr="007D30B3">
      <w:rPr>
        <w:sz w:val="22"/>
      </w:rPr>
      <w:pict>
        <v:shapetype id="_x0000_t202" coordsize="21600,21600" o:spt="202" path="m,l,21600r21600,l21600,xe">
          <v:stroke joinstyle="miter"/>
          <v:path gradientshapeok="t" o:connecttype="rect"/>
        </v:shapetype>
        <v:shape id="_x0000_s3073" type="#_x0000_t202" style="position:absolute;margin-left:325.5pt;margin-top:759.8pt;width:40.1pt;height:13.15pt;z-index:-251656192;mso-position-horizontal-relative:page;mso-position-vertical-relative:page" filled="f" stroked="f">
          <v:textbox inset="0,0,0,0">
            <w:txbxContent>
              <w:p w:rsidR="007D30B3" w:rsidRDefault="00325C14">
                <w:pPr>
                  <w:spacing w:before="12"/>
                  <w:ind w:left="20"/>
                  <w:rPr>
                    <w:sz w:val="20"/>
                  </w:rPr>
                </w:pPr>
                <w:r>
                  <w:rPr>
                    <w:sz w:val="20"/>
                  </w:rPr>
                  <w:t xml:space="preserve">Page </w:t>
                </w:r>
                <w:r>
                  <w:fldChar w:fldCharType="begin"/>
                </w:r>
                <w:r>
                  <w:rPr>
                    <w:sz w:val="20"/>
                  </w:rPr>
                  <w:instrText xml:space="preserve"> PAGE </w:instrText>
                </w:r>
                <w:r>
                  <w:fldChar w:fldCharType="separate"/>
                </w:r>
                <w:r w:rsidR="00C94932">
                  <w:rPr>
                    <w:noProof/>
                    <w:sz w:val="20"/>
                  </w:rPr>
                  <w:t>52</w:t>
                </w:r>
                <w:r>
                  <w:fldChar w:fldCharType="end"/>
                </w:r>
              </w:p>
            </w:txbxContent>
          </v:textbox>
          <w10:wrap anchorx="page" anchory="page"/>
        </v:shape>
      </w:pict>
    </w:r>
    <w:r w:rsidRPr="007D30B3">
      <w:rPr>
        <w:sz w:val="22"/>
      </w:rPr>
      <w:pict>
        <v:shape id="_x0000_s3074" type="#_x0000_t202" style="position:absolute;margin-left:78.8pt;margin-top:762.1pt;width:176.5pt;height:11pt;z-index:-251655168;mso-position-horizontal-relative:page;mso-position-vertical-relative:page" filled="f" stroked="f">
          <v:textbox inset="0,0,0,0">
            <w:txbxContent>
              <w:p w:rsidR="007D30B3" w:rsidRDefault="00325C14">
                <w:pPr>
                  <w:spacing w:before="15"/>
                  <w:ind w:left="20"/>
                  <w:rPr>
                    <w:sz w:val="16"/>
                  </w:rPr>
                </w:pPr>
                <w:r>
                  <w:rPr>
                    <w:sz w:val="16"/>
                  </w:rPr>
                  <w:t>Training in the Responsible Conduct of Research</w:t>
                </w:r>
              </w:p>
            </w:txbxContent>
          </v:textbox>
          <w10:wrap anchorx="page" anchory="pag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E7B58"/>
    <w:multiLevelType w:val="hybridMultilevel"/>
    <w:tmpl w:val="4808B094"/>
    <w:lvl w:ilvl="0" w:tplc="C53070B6">
      <w:start w:val="1"/>
      <w:numFmt w:val="decimal"/>
      <w:lvlText w:val="%1."/>
      <w:lvlJc w:val="left"/>
      <w:pPr>
        <w:ind w:left="1280" w:hanging="360"/>
        <w:jc w:val="left"/>
      </w:pPr>
      <w:rPr>
        <w:rFonts w:ascii="Arial" w:eastAsia="Arial" w:hAnsi="Arial" w:cs="Arial" w:hint="default"/>
        <w:b/>
        <w:bCs/>
        <w:spacing w:val="-33"/>
        <w:w w:val="99"/>
        <w:sz w:val="22"/>
        <w:szCs w:val="22"/>
        <w:lang w:val="en-US" w:eastAsia="en-US" w:bidi="en-US"/>
      </w:rPr>
    </w:lvl>
    <w:lvl w:ilvl="1" w:tplc="89FE6AC2">
      <w:start w:val="1"/>
      <w:numFmt w:val="lowerRoman"/>
      <w:lvlText w:val="%2."/>
      <w:lvlJc w:val="left"/>
      <w:pPr>
        <w:ind w:left="2722" w:hanging="291"/>
        <w:jc w:val="left"/>
      </w:pPr>
      <w:rPr>
        <w:rFonts w:ascii="Arial" w:eastAsia="Arial" w:hAnsi="Arial" w:cs="Arial" w:hint="default"/>
        <w:spacing w:val="-8"/>
        <w:w w:val="99"/>
        <w:sz w:val="22"/>
        <w:szCs w:val="22"/>
        <w:lang w:val="en-US" w:eastAsia="en-US" w:bidi="en-US"/>
      </w:rPr>
    </w:lvl>
    <w:lvl w:ilvl="2" w:tplc="1504BE26">
      <w:numFmt w:val="bullet"/>
      <w:lvlText w:val="•"/>
      <w:lvlJc w:val="left"/>
      <w:pPr>
        <w:ind w:left="2720" w:hanging="291"/>
      </w:pPr>
      <w:rPr>
        <w:rFonts w:hint="default"/>
        <w:lang w:val="en-US" w:eastAsia="en-US" w:bidi="en-US"/>
      </w:rPr>
    </w:lvl>
    <w:lvl w:ilvl="3" w:tplc="37786FA0">
      <w:numFmt w:val="bullet"/>
      <w:lvlText w:val="•"/>
      <w:lvlJc w:val="left"/>
      <w:pPr>
        <w:ind w:left="3890" w:hanging="291"/>
      </w:pPr>
      <w:rPr>
        <w:rFonts w:hint="default"/>
        <w:lang w:val="en-US" w:eastAsia="en-US" w:bidi="en-US"/>
      </w:rPr>
    </w:lvl>
    <w:lvl w:ilvl="4" w:tplc="E3E8C4B2">
      <w:numFmt w:val="bullet"/>
      <w:lvlText w:val="•"/>
      <w:lvlJc w:val="left"/>
      <w:pPr>
        <w:ind w:left="5060" w:hanging="291"/>
      </w:pPr>
      <w:rPr>
        <w:rFonts w:hint="default"/>
        <w:lang w:val="en-US" w:eastAsia="en-US" w:bidi="en-US"/>
      </w:rPr>
    </w:lvl>
    <w:lvl w:ilvl="5" w:tplc="83D29D4A">
      <w:numFmt w:val="bullet"/>
      <w:lvlText w:val="•"/>
      <w:lvlJc w:val="left"/>
      <w:pPr>
        <w:ind w:left="6230" w:hanging="291"/>
      </w:pPr>
      <w:rPr>
        <w:rFonts w:hint="default"/>
        <w:lang w:val="en-US" w:eastAsia="en-US" w:bidi="en-US"/>
      </w:rPr>
    </w:lvl>
    <w:lvl w:ilvl="6" w:tplc="A028995E">
      <w:numFmt w:val="bullet"/>
      <w:lvlText w:val="•"/>
      <w:lvlJc w:val="left"/>
      <w:pPr>
        <w:ind w:left="7400" w:hanging="291"/>
      </w:pPr>
      <w:rPr>
        <w:rFonts w:hint="default"/>
        <w:lang w:val="en-US" w:eastAsia="en-US" w:bidi="en-US"/>
      </w:rPr>
    </w:lvl>
    <w:lvl w:ilvl="7" w:tplc="18421A78">
      <w:numFmt w:val="bullet"/>
      <w:lvlText w:val="•"/>
      <w:lvlJc w:val="left"/>
      <w:pPr>
        <w:ind w:left="8570" w:hanging="291"/>
      </w:pPr>
      <w:rPr>
        <w:rFonts w:hint="default"/>
        <w:lang w:val="en-US" w:eastAsia="en-US" w:bidi="en-US"/>
      </w:rPr>
    </w:lvl>
    <w:lvl w:ilvl="8" w:tplc="B6FA030A">
      <w:numFmt w:val="bullet"/>
      <w:lvlText w:val="•"/>
      <w:lvlJc w:val="left"/>
      <w:pPr>
        <w:ind w:left="9740" w:hanging="291"/>
      </w:pPr>
      <w:rPr>
        <w:rFonts w:hint="default"/>
        <w:lang w:val="en-US" w:eastAsia="en-US" w:bidi="en-US"/>
      </w:rPr>
    </w:lvl>
  </w:abstractNum>
  <w:abstractNum w:abstractNumId="1">
    <w:nsid w:val="61C210F9"/>
    <w:multiLevelType w:val="hybridMultilevel"/>
    <w:tmpl w:val="01FC76B0"/>
    <w:lvl w:ilvl="0" w:tplc="9D52DF60">
      <w:numFmt w:val="bullet"/>
      <w:lvlText w:val="-"/>
      <w:lvlJc w:val="left"/>
      <w:pPr>
        <w:ind w:left="650" w:hanging="157"/>
      </w:pPr>
      <w:rPr>
        <w:rFonts w:ascii="Cambria" w:eastAsia="Cambria" w:hAnsi="Cambria" w:cs="Cambria" w:hint="default"/>
        <w:w w:val="100"/>
        <w:sz w:val="22"/>
        <w:szCs w:val="22"/>
        <w:lang w:val="en-US" w:eastAsia="en-US" w:bidi="en-US"/>
      </w:rPr>
    </w:lvl>
    <w:lvl w:ilvl="1" w:tplc="E326DB12">
      <w:numFmt w:val="bullet"/>
      <w:lvlText w:val="•"/>
      <w:lvlJc w:val="left"/>
      <w:pPr>
        <w:ind w:left="1788" w:hanging="157"/>
      </w:pPr>
      <w:rPr>
        <w:rFonts w:hint="default"/>
        <w:lang w:val="en-US" w:eastAsia="en-US" w:bidi="en-US"/>
      </w:rPr>
    </w:lvl>
    <w:lvl w:ilvl="2" w:tplc="EAE884AC">
      <w:numFmt w:val="bullet"/>
      <w:lvlText w:val="•"/>
      <w:lvlJc w:val="left"/>
      <w:pPr>
        <w:ind w:left="2916" w:hanging="157"/>
      </w:pPr>
      <w:rPr>
        <w:rFonts w:hint="default"/>
        <w:lang w:val="en-US" w:eastAsia="en-US" w:bidi="en-US"/>
      </w:rPr>
    </w:lvl>
    <w:lvl w:ilvl="3" w:tplc="273C7D3C">
      <w:numFmt w:val="bullet"/>
      <w:lvlText w:val="•"/>
      <w:lvlJc w:val="left"/>
      <w:pPr>
        <w:ind w:left="4044" w:hanging="157"/>
      </w:pPr>
      <w:rPr>
        <w:rFonts w:hint="default"/>
        <w:lang w:val="en-US" w:eastAsia="en-US" w:bidi="en-US"/>
      </w:rPr>
    </w:lvl>
    <w:lvl w:ilvl="4" w:tplc="F0C0B6D4">
      <w:numFmt w:val="bullet"/>
      <w:lvlText w:val="•"/>
      <w:lvlJc w:val="left"/>
      <w:pPr>
        <w:ind w:left="5172" w:hanging="157"/>
      </w:pPr>
      <w:rPr>
        <w:rFonts w:hint="default"/>
        <w:lang w:val="en-US" w:eastAsia="en-US" w:bidi="en-US"/>
      </w:rPr>
    </w:lvl>
    <w:lvl w:ilvl="5" w:tplc="96106284">
      <w:numFmt w:val="bullet"/>
      <w:lvlText w:val="•"/>
      <w:lvlJc w:val="left"/>
      <w:pPr>
        <w:ind w:left="6300" w:hanging="157"/>
      </w:pPr>
      <w:rPr>
        <w:rFonts w:hint="default"/>
        <w:lang w:val="en-US" w:eastAsia="en-US" w:bidi="en-US"/>
      </w:rPr>
    </w:lvl>
    <w:lvl w:ilvl="6" w:tplc="EF3C81CE">
      <w:numFmt w:val="bullet"/>
      <w:lvlText w:val="•"/>
      <w:lvlJc w:val="left"/>
      <w:pPr>
        <w:ind w:left="7428" w:hanging="157"/>
      </w:pPr>
      <w:rPr>
        <w:rFonts w:hint="default"/>
        <w:lang w:val="en-US" w:eastAsia="en-US" w:bidi="en-US"/>
      </w:rPr>
    </w:lvl>
    <w:lvl w:ilvl="7" w:tplc="4F3E5C54">
      <w:numFmt w:val="bullet"/>
      <w:lvlText w:val="•"/>
      <w:lvlJc w:val="left"/>
      <w:pPr>
        <w:ind w:left="8556" w:hanging="157"/>
      </w:pPr>
      <w:rPr>
        <w:rFonts w:hint="default"/>
        <w:lang w:val="en-US" w:eastAsia="en-US" w:bidi="en-US"/>
      </w:rPr>
    </w:lvl>
    <w:lvl w:ilvl="8" w:tplc="69569AE0">
      <w:numFmt w:val="bullet"/>
      <w:lvlText w:val="•"/>
      <w:lvlJc w:val="left"/>
      <w:pPr>
        <w:ind w:left="9684" w:hanging="157"/>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hdrShapeDefaults>
    <o:shapedefaults v:ext="edit" spidmax="4098"/>
    <o:shapelayout v:ext="edit">
      <o:idmap v:ext="edit" data="3"/>
    </o:shapelayout>
  </w:hdrShapeDefaults>
  <w:compat/>
  <w:rsids>
    <w:rsidRoot w:val="0032100B"/>
    <w:rsid w:val="001A120E"/>
    <w:rsid w:val="0032100B"/>
    <w:rsid w:val="00325C14"/>
    <w:rsid w:val="00466451"/>
    <w:rsid w:val="00BA7195"/>
    <w:rsid w:val="00C1780A"/>
    <w:rsid w:val="00C94932"/>
    <w:rsid w:val="00CA1491"/>
    <w:rsid w:val="00E82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451"/>
  </w:style>
  <w:style w:type="paragraph" w:styleId="Heading3">
    <w:name w:val="heading 3"/>
    <w:basedOn w:val="Normal"/>
    <w:link w:val="Heading3Char"/>
    <w:uiPriority w:val="1"/>
    <w:qFormat/>
    <w:rsid w:val="00C94932"/>
    <w:pPr>
      <w:widowControl w:val="0"/>
      <w:autoSpaceDE w:val="0"/>
      <w:autoSpaceDN w:val="0"/>
      <w:spacing w:before="94"/>
      <w:ind w:left="580"/>
      <w:outlineLvl w:val="2"/>
    </w:pPr>
    <w:rPr>
      <w:rFonts w:ascii="Arial" w:eastAsia="Arial" w:hAnsi="Arial" w:cs="Arial"/>
      <w:b/>
      <w:bCs/>
      <w:sz w:val="22"/>
      <w:szCs w:val="22"/>
      <w:lang w:bidi="en-US"/>
    </w:rPr>
  </w:style>
  <w:style w:type="paragraph" w:styleId="Heading6">
    <w:name w:val="heading 6"/>
    <w:basedOn w:val="Normal"/>
    <w:next w:val="Normal"/>
    <w:link w:val="Heading6Char"/>
    <w:uiPriority w:val="9"/>
    <w:semiHidden/>
    <w:unhideWhenUsed/>
    <w:qFormat/>
    <w:rsid w:val="00C9493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100B"/>
    <w:pPr>
      <w:spacing w:before="100" w:beforeAutospacing="1" w:after="100" w:afterAutospacing="1"/>
    </w:pPr>
    <w:rPr>
      <w:rFonts w:eastAsia="Times New Roman"/>
    </w:rPr>
  </w:style>
  <w:style w:type="character" w:customStyle="1" w:styleId="normaltextrun">
    <w:name w:val="normaltextrun"/>
    <w:basedOn w:val="DefaultParagraphFont"/>
    <w:rsid w:val="0032100B"/>
  </w:style>
  <w:style w:type="character" w:customStyle="1" w:styleId="bcx0">
    <w:name w:val="bcx0"/>
    <w:basedOn w:val="DefaultParagraphFont"/>
    <w:rsid w:val="0032100B"/>
  </w:style>
  <w:style w:type="character" w:customStyle="1" w:styleId="eop">
    <w:name w:val="eop"/>
    <w:basedOn w:val="DefaultParagraphFont"/>
    <w:rsid w:val="0032100B"/>
  </w:style>
  <w:style w:type="character" w:customStyle="1" w:styleId="pagebreaktextspan">
    <w:name w:val="pagebreaktextspan"/>
    <w:basedOn w:val="DefaultParagraphFont"/>
    <w:rsid w:val="0032100B"/>
  </w:style>
  <w:style w:type="paragraph" w:styleId="BodyText">
    <w:name w:val="Body Text"/>
    <w:basedOn w:val="Normal"/>
    <w:link w:val="BodyTextChar"/>
    <w:uiPriority w:val="1"/>
    <w:qFormat/>
    <w:rsid w:val="00C94932"/>
    <w:pPr>
      <w:widowControl w:val="0"/>
      <w:autoSpaceDE w:val="0"/>
      <w:autoSpaceDN w:val="0"/>
    </w:pPr>
    <w:rPr>
      <w:rFonts w:ascii="Arial" w:eastAsia="Arial" w:hAnsi="Arial" w:cs="Arial"/>
      <w:sz w:val="21"/>
      <w:szCs w:val="21"/>
      <w:lang w:bidi="en-US"/>
    </w:rPr>
  </w:style>
  <w:style w:type="character" w:customStyle="1" w:styleId="BodyTextChar">
    <w:name w:val="Body Text Char"/>
    <w:basedOn w:val="DefaultParagraphFont"/>
    <w:link w:val="BodyText"/>
    <w:uiPriority w:val="1"/>
    <w:rsid w:val="00C94932"/>
    <w:rPr>
      <w:rFonts w:ascii="Arial" w:eastAsia="Arial" w:hAnsi="Arial" w:cs="Arial"/>
      <w:sz w:val="21"/>
      <w:szCs w:val="21"/>
      <w:lang w:bidi="en-US"/>
    </w:rPr>
  </w:style>
  <w:style w:type="paragraph" w:styleId="ListParagraph">
    <w:name w:val="List Paragraph"/>
    <w:basedOn w:val="Normal"/>
    <w:uiPriority w:val="1"/>
    <w:qFormat/>
    <w:rsid w:val="00C94932"/>
    <w:pPr>
      <w:widowControl w:val="0"/>
      <w:autoSpaceDE w:val="0"/>
      <w:autoSpaceDN w:val="0"/>
      <w:ind w:left="1200" w:hanging="641"/>
    </w:pPr>
    <w:rPr>
      <w:rFonts w:ascii="Arial" w:eastAsia="Arial" w:hAnsi="Arial" w:cs="Arial"/>
      <w:sz w:val="22"/>
      <w:szCs w:val="22"/>
      <w:lang w:bidi="en-US"/>
    </w:rPr>
  </w:style>
  <w:style w:type="character" w:customStyle="1" w:styleId="Heading3Char">
    <w:name w:val="Heading 3 Char"/>
    <w:basedOn w:val="DefaultParagraphFont"/>
    <w:link w:val="Heading3"/>
    <w:uiPriority w:val="1"/>
    <w:rsid w:val="00C94932"/>
    <w:rPr>
      <w:rFonts w:ascii="Arial" w:eastAsia="Arial" w:hAnsi="Arial" w:cs="Arial"/>
      <w:b/>
      <w:bCs/>
      <w:sz w:val="22"/>
      <w:szCs w:val="22"/>
      <w:lang w:bidi="en-US"/>
    </w:rPr>
  </w:style>
  <w:style w:type="paragraph" w:customStyle="1" w:styleId="TableParagraph">
    <w:name w:val="Table Paragraph"/>
    <w:basedOn w:val="Normal"/>
    <w:uiPriority w:val="1"/>
    <w:qFormat/>
    <w:rsid w:val="00C94932"/>
    <w:pPr>
      <w:widowControl w:val="0"/>
      <w:autoSpaceDE w:val="0"/>
      <w:autoSpaceDN w:val="0"/>
    </w:pPr>
    <w:rPr>
      <w:rFonts w:ascii="Arial" w:eastAsia="Arial" w:hAnsi="Arial" w:cs="Arial"/>
      <w:sz w:val="22"/>
      <w:szCs w:val="22"/>
      <w:lang w:bidi="en-US"/>
    </w:rPr>
  </w:style>
  <w:style w:type="character" w:customStyle="1" w:styleId="Heading6Char">
    <w:name w:val="Heading 6 Char"/>
    <w:basedOn w:val="DefaultParagraphFont"/>
    <w:link w:val="Heading6"/>
    <w:uiPriority w:val="9"/>
    <w:semiHidden/>
    <w:rsid w:val="00C94932"/>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664866174">
      <w:bodyDiv w:val="1"/>
      <w:marLeft w:val="0"/>
      <w:marRight w:val="0"/>
      <w:marTop w:val="0"/>
      <w:marBottom w:val="0"/>
      <w:divBdr>
        <w:top w:val="none" w:sz="0" w:space="0" w:color="auto"/>
        <w:left w:val="none" w:sz="0" w:space="0" w:color="auto"/>
        <w:bottom w:val="none" w:sz="0" w:space="0" w:color="auto"/>
        <w:right w:val="none" w:sz="0" w:space="0" w:color="auto"/>
      </w:divBdr>
      <w:divsChild>
        <w:div w:id="609048325">
          <w:marLeft w:val="0"/>
          <w:marRight w:val="0"/>
          <w:marTop w:val="0"/>
          <w:marBottom w:val="0"/>
          <w:divBdr>
            <w:top w:val="none" w:sz="0" w:space="0" w:color="auto"/>
            <w:left w:val="none" w:sz="0" w:space="0" w:color="auto"/>
            <w:bottom w:val="none" w:sz="0" w:space="0" w:color="auto"/>
            <w:right w:val="none" w:sz="0" w:space="0" w:color="auto"/>
          </w:divBdr>
        </w:div>
        <w:div w:id="265428827">
          <w:marLeft w:val="0"/>
          <w:marRight w:val="0"/>
          <w:marTop w:val="0"/>
          <w:marBottom w:val="0"/>
          <w:divBdr>
            <w:top w:val="none" w:sz="0" w:space="0" w:color="auto"/>
            <w:left w:val="none" w:sz="0" w:space="0" w:color="auto"/>
            <w:bottom w:val="none" w:sz="0" w:space="0" w:color="auto"/>
            <w:right w:val="none" w:sz="0" w:space="0" w:color="auto"/>
          </w:divBdr>
        </w:div>
        <w:div w:id="163058329">
          <w:marLeft w:val="0"/>
          <w:marRight w:val="0"/>
          <w:marTop w:val="0"/>
          <w:marBottom w:val="0"/>
          <w:divBdr>
            <w:top w:val="none" w:sz="0" w:space="0" w:color="auto"/>
            <w:left w:val="none" w:sz="0" w:space="0" w:color="auto"/>
            <w:bottom w:val="none" w:sz="0" w:space="0" w:color="auto"/>
            <w:right w:val="none" w:sz="0" w:space="0" w:color="auto"/>
          </w:divBdr>
        </w:div>
        <w:div w:id="372314974">
          <w:marLeft w:val="0"/>
          <w:marRight w:val="0"/>
          <w:marTop w:val="0"/>
          <w:marBottom w:val="0"/>
          <w:divBdr>
            <w:top w:val="none" w:sz="0" w:space="0" w:color="auto"/>
            <w:left w:val="none" w:sz="0" w:space="0" w:color="auto"/>
            <w:bottom w:val="none" w:sz="0" w:space="0" w:color="auto"/>
            <w:right w:val="none" w:sz="0" w:space="0" w:color="auto"/>
          </w:divBdr>
        </w:div>
        <w:div w:id="38088495">
          <w:marLeft w:val="0"/>
          <w:marRight w:val="0"/>
          <w:marTop w:val="0"/>
          <w:marBottom w:val="0"/>
          <w:divBdr>
            <w:top w:val="none" w:sz="0" w:space="0" w:color="auto"/>
            <w:left w:val="none" w:sz="0" w:space="0" w:color="auto"/>
            <w:bottom w:val="none" w:sz="0" w:space="0" w:color="auto"/>
            <w:right w:val="none" w:sz="0" w:space="0" w:color="auto"/>
          </w:divBdr>
        </w:div>
        <w:div w:id="773407503">
          <w:marLeft w:val="0"/>
          <w:marRight w:val="0"/>
          <w:marTop w:val="0"/>
          <w:marBottom w:val="0"/>
          <w:divBdr>
            <w:top w:val="none" w:sz="0" w:space="0" w:color="auto"/>
            <w:left w:val="none" w:sz="0" w:space="0" w:color="auto"/>
            <w:bottom w:val="none" w:sz="0" w:space="0" w:color="auto"/>
            <w:right w:val="none" w:sz="0" w:space="0" w:color="auto"/>
          </w:divBdr>
        </w:div>
        <w:div w:id="924610781">
          <w:marLeft w:val="0"/>
          <w:marRight w:val="0"/>
          <w:marTop w:val="0"/>
          <w:marBottom w:val="0"/>
          <w:divBdr>
            <w:top w:val="none" w:sz="0" w:space="0" w:color="auto"/>
            <w:left w:val="none" w:sz="0" w:space="0" w:color="auto"/>
            <w:bottom w:val="none" w:sz="0" w:space="0" w:color="auto"/>
            <w:right w:val="none" w:sz="0" w:space="0" w:color="auto"/>
          </w:divBdr>
        </w:div>
        <w:div w:id="2011827089">
          <w:marLeft w:val="0"/>
          <w:marRight w:val="0"/>
          <w:marTop w:val="0"/>
          <w:marBottom w:val="0"/>
          <w:divBdr>
            <w:top w:val="none" w:sz="0" w:space="0" w:color="auto"/>
            <w:left w:val="none" w:sz="0" w:space="0" w:color="auto"/>
            <w:bottom w:val="none" w:sz="0" w:space="0" w:color="auto"/>
            <w:right w:val="none" w:sz="0" w:space="0" w:color="auto"/>
          </w:divBdr>
        </w:div>
        <w:div w:id="1055130430">
          <w:marLeft w:val="0"/>
          <w:marRight w:val="0"/>
          <w:marTop w:val="0"/>
          <w:marBottom w:val="0"/>
          <w:divBdr>
            <w:top w:val="none" w:sz="0" w:space="0" w:color="auto"/>
            <w:left w:val="none" w:sz="0" w:space="0" w:color="auto"/>
            <w:bottom w:val="none" w:sz="0" w:space="0" w:color="auto"/>
            <w:right w:val="none" w:sz="0" w:space="0" w:color="auto"/>
          </w:divBdr>
        </w:div>
        <w:div w:id="2048676287">
          <w:marLeft w:val="0"/>
          <w:marRight w:val="0"/>
          <w:marTop w:val="0"/>
          <w:marBottom w:val="0"/>
          <w:divBdr>
            <w:top w:val="none" w:sz="0" w:space="0" w:color="auto"/>
            <w:left w:val="none" w:sz="0" w:space="0" w:color="auto"/>
            <w:bottom w:val="none" w:sz="0" w:space="0" w:color="auto"/>
            <w:right w:val="none" w:sz="0" w:space="0" w:color="auto"/>
          </w:divBdr>
        </w:div>
        <w:div w:id="463936085">
          <w:marLeft w:val="0"/>
          <w:marRight w:val="0"/>
          <w:marTop w:val="0"/>
          <w:marBottom w:val="0"/>
          <w:divBdr>
            <w:top w:val="none" w:sz="0" w:space="0" w:color="auto"/>
            <w:left w:val="none" w:sz="0" w:space="0" w:color="auto"/>
            <w:bottom w:val="none" w:sz="0" w:space="0" w:color="auto"/>
            <w:right w:val="none" w:sz="0" w:space="0" w:color="auto"/>
          </w:divBdr>
        </w:div>
        <w:div w:id="962685624">
          <w:marLeft w:val="0"/>
          <w:marRight w:val="0"/>
          <w:marTop w:val="0"/>
          <w:marBottom w:val="0"/>
          <w:divBdr>
            <w:top w:val="none" w:sz="0" w:space="0" w:color="auto"/>
            <w:left w:val="none" w:sz="0" w:space="0" w:color="auto"/>
            <w:bottom w:val="none" w:sz="0" w:space="0" w:color="auto"/>
            <w:right w:val="none" w:sz="0" w:space="0" w:color="auto"/>
          </w:divBdr>
        </w:div>
        <w:div w:id="881286187">
          <w:marLeft w:val="0"/>
          <w:marRight w:val="0"/>
          <w:marTop w:val="0"/>
          <w:marBottom w:val="0"/>
          <w:divBdr>
            <w:top w:val="none" w:sz="0" w:space="0" w:color="auto"/>
            <w:left w:val="none" w:sz="0" w:space="0" w:color="auto"/>
            <w:bottom w:val="none" w:sz="0" w:space="0" w:color="auto"/>
            <w:right w:val="none" w:sz="0" w:space="0" w:color="auto"/>
          </w:divBdr>
        </w:div>
        <w:div w:id="2056270608">
          <w:marLeft w:val="0"/>
          <w:marRight w:val="0"/>
          <w:marTop w:val="0"/>
          <w:marBottom w:val="0"/>
          <w:divBdr>
            <w:top w:val="none" w:sz="0" w:space="0" w:color="auto"/>
            <w:left w:val="none" w:sz="0" w:space="0" w:color="auto"/>
            <w:bottom w:val="none" w:sz="0" w:space="0" w:color="auto"/>
            <w:right w:val="none" w:sz="0" w:space="0" w:color="auto"/>
          </w:divBdr>
        </w:div>
        <w:div w:id="2115322790">
          <w:marLeft w:val="0"/>
          <w:marRight w:val="0"/>
          <w:marTop w:val="0"/>
          <w:marBottom w:val="0"/>
          <w:divBdr>
            <w:top w:val="none" w:sz="0" w:space="0" w:color="auto"/>
            <w:left w:val="none" w:sz="0" w:space="0" w:color="auto"/>
            <w:bottom w:val="none" w:sz="0" w:space="0" w:color="auto"/>
            <w:right w:val="none" w:sz="0" w:space="0" w:color="auto"/>
          </w:divBdr>
        </w:div>
        <w:div w:id="155033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niaid.nih.gov/sites/default/files/F31-Sample-Application_Samantha-Schwartz.pdf"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aid.nih.gov/sites/default/files/F31-sample-application_nico_contreras.pdf" TargetMode="External"/><Relationship Id="rId11" Type="http://schemas.openxmlformats.org/officeDocument/2006/relationships/customXml" Target="../customXml/item1.xml"/><Relationship Id="rId5" Type="http://schemas.openxmlformats.org/officeDocument/2006/relationships/hyperlink" Target="https://www.niaid.nih.gov/sites/default/files/nicoleputnamapplicationF3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17A8DE10E0543A201DBD35BC29763" ma:contentTypeVersion="" ma:contentTypeDescription="Create a new document." ma:contentTypeScope="" ma:versionID="3795969e2ebb6a81e92d6bef3c620eb5">
  <xsd:schema xmlns:xsd="http://www.w3.org/2001/XMLSchema" xmlns:xs="http://www.w3.org/2001/XMLSchema" xmlns:p="http://schemas.microsoft.com/office/2006/metadata/properties" xmlns:ns2="20c30dde-31e7-480d-b1dd-7373eee4a6c2" xmlns:ns3="7aef31f0-4568-4676-8d14-d955c17f2274" xmlns:ns4="BDA0B903-E0B5-4A55-A5B9-47A9617E7F39" xmlns:ns5="bda0b903-e0b5-4a55-a5b9-47a9617e7f39" targetNamespace="http://schemas.microsoft.com/office/2006/metadata/properties" ma:root="true" ma:fieldsID="79cb37eb51305ebe39ad8470ae3138d9" ns2:_="" ns3:_="" ns4:_="" ns5:_="">
    <xsd:import namespace="20c30dde-31e7-480d-b1dd-7373eee4a6c2"/>
    <xsd:import namespace="7aef31f0-4568-4676-8d14-d955c17f2274"/>
    <xsd:import namespace="BDA0B903-E0B5-4A55-A5B9-47A9617E7F39"/>
    <xsd:import namespace="bda0b903-e0b5-4a55-a5b9-47a9617e7f39"/>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5:MediaServiceAutoTags" minOccurs="0"/>
                <xsd:element ref="ns5:MediaServiceGenerationTime" minOccurs="0"/>
                <xsd:element ref="ns5:MediaServiceEventHashCode" minOccurs="0"/>
                <xsd:element ref="ns5:MediaServiceOCR" minOccurs="0"/>
                <xsd:element ref="ns5:MediaServiceDateTaken" minOccurs="0"/>
                <xsd:element ref="ns5:MediaServiceAutoKeyPoints" minOccurs="0"/>
                <xsd:element ref="ns5:MediaServiceKeyPoints"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30dde-31e7-480d-b1dd-7373eee4a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ef31f0-4568-4676-8d14-d955c17f2274"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E48428-C020-49FE-81C9-175006AB1366}"/>
</file>

<file path=customXml/itemProps2.xml><?xml version="1.0" encoding="utf-8"?>
<ds:datastoreItem xmlns:ds="http://schemas.openxmlformats.org/officeDocument/2006/customXml" ds:itemID="{6D461232-6E02-4653-A768-C36D952FA511}"/>
</file>

<file path=customXml/itemProps3.xml><?xml version="1.0" encoding="utf-8"?>
<ds:datastoreItem xmlns:ds="http://schemas.openxmlformats.org/officeDocument/2006/customXml" ds:itemID="{89C57F52-D629-40A9-9AB1-7EC8A3FA3ECF}"/>
</file>

<file path=docProps/app.xml><?xml version="1.0" encoding="utf-8"?>
<Properties xmlns="http://schemas.openxmlformats.org/officeDocument/2006/extended-properties" xmlns:vt="http://schemas.openxmlformats.org/officeDocument/2006/docPropsVTypes">
  <Template>Normal</Template>
  <TotalTime>9</TotalTime>
  <Pages>5</Pages>
  <Words>1662</Words>
  <Characters>9476</Characters>
  <Application>Microsoft Office Word</Application>
  <DocSecurity>0</DocSecurity>
  <Lines>78</Lines>
  <Paragraphs>22</Paragraphs>
  <ScaleCrop>false</ScaleCrop>
  <Company>Hewlett-Packard</Company>
  <LinksUpToDate>false</LinksUpToDate>
  <CharactersWithSpaces>11116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c:creator>
  <cp:lastModifiedBy>KS</cp:lastModifiedBy>
  <cp:revision>3</cp:revision>
  <dcterms:created xsi:type="dcterms:W3CDTF">2020-04-15T16:41:00Z</dcterms:created>
  <dcterms:modified xsi:type="dcterms:W3CDTF">2020-04-15T18:12:00Z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0x010100AA617A8DE10E0543A201DBD35BC29763</vt:lpwstr>
  </property>
</Properties>
</file>