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4" w:tgtFrame="_blank" w:history="1">
        <w:r>
          <w:rPr>
            <w:rStyle w:val="normaltextrun"/>
            <w:rFonts w:ascii="Calibri" w:hAnsi="Calibri" w:cs="Segoe UI"/>
            <w:b/>
            <w:bCs/>
            <w:color w:val="0563C1"/>
            <w:sz w:val="22"/>
            <w:szCs w:val="22"/>
            <w:u w:val="single"/>
          </w:rPr>
          <w:t xml:space="preserve">“The impact of innate immune recognition of Staphylococcus </w:t>
        </w:r>
        <w:proofErr w:type="spellStart"/>
        <w:r>
          <w:rPr>
            <w:rStyle w:val="normaltextrun"/>
            <w:rFonts w:ascii="Calibri" w:hAnsi="Calibri" w:cs="Segoe UI"/>
            <w:b/>
            <w:bCs/>
            <w:color w:val="0563C1"/>
            <w:sz w:val="22"/>
            <w:szCs w:val="22"/>
            <w:u w:val="single"/>
          </w:rPr>
          <w:t>aureus</w:t>
        </w:r>
        <w:proofErr w:type="spellEnd"/>
        <w:r>
          <w:rPr>
            <w:rStyle w:val="normaltextrun"/>
            <w:rFonts w:ascii="Calibri" w:hAnsi="Calibri" w:cs="Segoe UI"/>
            <w:b/>
            <w:bCs/>
            <w:color w:val="0563C1"/>
            <w:sz w:val="22"/>
            <w:szCs w:val="22"/>
            <w:u w:val="single"/>
          </w:rPr>
          <w:t xml:space="preserve"> on bone homeostasis and skeletal immunity”</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52327B" w:rsidRDefault="0052327B" w:rsidP="0032100B">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Equipment:</w:t>
      </w:r>
    </w:p>
    <w:p w:rsidR="0052327B" w:rsidRDefault="0052327B" w:rsidP="0052327B">
      <w:pPr>
        <w:pStyle w:val="Heading6"/>
        <w:spacing w:before="94"/>
      </w:pPr>
      <w:r>
        <w:t>EQUIPMENT</w:t>
      </w:r>
    </w:p>
    <w:p w:rsidR="0052327B" w:rsidRDefault="0052327B" w:rsidP="0052327B">
      <w:pPr>
        <w:pStyle w:val="BodyText"/>
        <w:spacing w:before="9"/>
        <w:rPr>
          <w:b/>
          <w:sz w:val="21"/>
        </w:rPr>
      </w:pPr>
    </w:p>
    <w:p w:rsidR="0052327B" w:rsidRDefault="0052327B" w:rsidP="0052327B">
      <w:pPr>
        <w:spacing w:before="1"/>
        <w:ind w:left="560"/>
        <w:rPr>
          <w:b/>
        </w:rPr>
      </w:pPr>
      <w:bookmarkStart w:id="0" w:name="Cassat_Laboratory_(1035_MRB_IV)_"/>
      <w:bookmarkStart w:id="1" w:name="The_Cassat_laboratory_houses_all_of_the_"/>
      <w:bookmarkEnd w:id="0"/>
      <w:bookmarkEnd w:id="1"/>
      <w:proofErr w:type="spellStart"/>
      <w:r>
        <w:rPr>
          <w:b/>
          <w:sz w:val="22"/>
        </w:rPr>
        <w:t>Cassat</w:t>
      </w:r>
      <w:proofErr w:type="spellEnd"/>
      <w:r>
        <w:rPr>
          <w:b/>
          <w:sz w:val="22"/>
        </w:rPr>
        <w:t xml:space="preserve"> Laboratory (1035 MRB IV)</w:t>
      </w:r>
    </w:p>
    <w:p w:rsidR="0052327B" w:rsidRDefault="0052327B" w:rsidP="0052327B">
      <w:pPr>
        <w:pStyle w:val="BodyText"/>
        <w:spacing w:before="1"/>
        <w:ind w:left="559" w:right="707" w:firstLine="720"/>
        <w:jc w:val="both"/>
      </w:pPr>
      <w:r>
        <w:t xml:space="preserve">The </w:t>
      </w:r>
      <w:proofErr w:type="spellStart"/>
      <w:r>
        <w:t>Cassat</w:t>
      </w:r>
      <w:proofErr w:type="spellEnd"/>
      <w:r>
        <w:t xml:space="preserve"> laboratory houses all of the necessary equipment to study the molecular biology of microbial pathogens and skeletal cell biology. The equipment that may be utilized in this proposal includes the following: a Thermo </w:t>
      </w:r>
      <w:proofErr w:type="spellStart"/>
      <w:r>
        <w:t>Sorvall</w:t>
      </w:r>
      <w:proofErr w:type="spellEnd"/>
      <w:r>
        <w:t xml:space="preserve"> Lynx 6000 </w:t>
      </w:r>
      <w:proofErr w:type="spellStart"/>
      <w:r>
        <w:t>superspeed</w:t>
      </w:r>
      <w:proofErr w:type="spellEnd"/>
      <w:r>
        <w:t xml:space="preserve"> centrifuge with general purpose and </w:t>
      </w:r>
      <w:proofErr w:type="spellStart"/>
      <w:r>
        <w:t>ultraspeed</w:t>
      </w:r>
      <w:proofErr w:type="spellEnd"/>
      <w:r>
        <w:t xml:space="preserve"> rotors, Thermo </w:t>
      </w:r>
      <w:proofErr w:type="spellStart"/>
      <w:r>
        <w:t>Sorvall</w:t>
      </w:r>
      <w:proofErr w:type="spellEnd"/>
      <w:r>
        <w:t xml:space="preserve"> Legend XTR </w:t>
      </w:r>
      <w:proofErr w:type="spellStart"/>
      <w:r>
        <w:t>benchtop</w:t>
      </w:r>
      <w:proofErr w:type="spellEnd"/>
      <w:r>
        <w:t xml:space="preserve"> centrifuge with 2 rotors; Thermo Legend Micro21 and 21R </w:t>
      </w:r>
      <w:proofErr w:type="spellStart"/>
      <w:r>
        <w:t>benchtop</w:t>
      </w:r>
      <w:proofErr w:type="spellEnd"/>
      <w:r>
        <w:t xml:space="preserve"> </w:t>
      </w:r>
      <w:proofErr w:type="spellStart"/>
      <w:r>
        <w:t>microcentrifuges</w:t>
      </w:r>
      <w:proofErr w:type="spellEnd"/>
      <w:r>
        <w:t xml:space="preserve">, Locator Jr. Plus </w:t>
      </w:r>
      <w:proofErr w:type="spellStart"/>
      <w:r>
        <w:t>Cryo</w:t>
      </w:r>
      <w:proofErr w:type="spellEnd"/>
      <w:r>
        <w:t xml:space="preserve"> Vessel for liquid nitrogen cell storage, </w:t>
      </w:r>
      <w:proofErr w:type="spellStart"/>
      <w:r>
        <w:t>Nuaire</w:t>
      </w:r>
      <w:proofErr w:type="spellEnd"/>
      <w:r>
        <w:t xml:space="preserve"> Class II Type A2 </w:t>
      </w:r>
      <w:proofErr w:type="spellStart"/>
      <w:r>
        <w:t>Biosafety</w:t>
      </w:r>
      <w:proofErr w:type="spellEnd"/>
      <w:r>
        <w:t xml:space="preserve"> Cabinets (2), Olympus inverted microscope CKX53 with </w:t>
      </w:r>
      <w:proofErr w:type="spellStart"/>
      <w:r>
        <w:t>QImaging</w:t>
      </w:r>
      <w:proofErr w:type="spellEnd"/>
      <w:r>
        <w:t xml:space="preserve"> OQCLR5 digital camera, an </w:t>
      </w:r>
      <w:proofErr w:type="spellStart"/>
      <w:r>
        <w:t>AquaSolutions</w:t>
      </w:r>
      <w:proofErr w:type="spellEnd"/>
      <w:r>
        <w:t xml:space="preserve"> Water Purification System, </w:t>
      </w:r>
      <w:proofErr w:type="spellStart"/>
      <w:r>
        <w:t>Eppendorf</w:t>
      </w:r>
      <w:proofErr w:type="spellEnd"/>
      <w:r>
        <w:t xml:space="preserve"> Nexus </w:t>
      </w:r>
      <w:proofErr w:type="spellStart"/>
      <w:r>
        <w:t>Mastercycler</w:t>
      </w:r>
      <w:proofErr w:type="spellEnd"/>
      <w:r>
        <w:t xml:space="preserve"> Gradient </w:t>
      </w:r>
      <w:proofErr w:type="spellStart"/>
      <w:r>
        <w:t>Thermocycler</w:t>
      </w:r>
      <w:proofErr w:type="spellEnd"/>
      <w:r>
        <w:t xml:space="preserve">, </w:t>
      </w:r>
      <w:proofErr w:type="spellStart"/>
      <w:r>
        <w:t>Mettler</w:t>
      </w:r>
      <w:proofErr w:type="spellEnd"/>
      <w:r>
        <w:t xml:space="preserve"> </w:t>
      </w:r>
      <w:r>
        <w:rPr>
          <w:position w:val="2"/>
        </w:rPr>
        <w:t>Toledo Excellence balance, Thermo Forma series CO</w:t>
      </w:r>
      <w:r>
        <w:rPr>
          <w:sz w:val="14"/>
        </w:rPr>
        <w:t xml:space="preserve">2 </w:t>
      </w:r>
      <w:r>
        <w:rPr>
          <w:position w:val="2"/>
        </w:rPr>
        <w:t xml:space="preserve">incubators (2), New Brunswick </w:t>
      </w:r>
      <w:proofErr w:type="spellStart"/>
      <w:r>
        <w:rPr>
          <w:position w:val="2"/>
        </w:rPr>
        <w:t>Innova</w:t>
      </w:r>
      <w:proofErr w:type="spellEnd"/>
      <w:r>
        <w:rPr>
          <w:position w:val="2"/>
        </w:rPr>
        <w:t xml:space="preserve"> Model 44 </w:t>
      </w:r>
      <w:r>
        <w:t xml:space="preserve">stackable incubator shaker, Thermo MaxQ4450 tabletop shaking incubator, Fisher </w:t>
      </w:r>
      <w:proofErr w:type="spellStart"/>
      <w:r>
        <w:t>Isotemp</w:t>
      </w:r>
      <w:proofErr w:type="spellEnd"/>
      <w:r>
        <w:t xml:space="preserve"> General Microbiologic Incubators (3), </w:t>
      </w:r>
      <w:proofErr w:type="spellStart"/>
      <w:r>
        <w:t>Isotemp</w:t>
      </w:r>
      <w:proofErr w:type="spellEnd"/>
      <w:r>
        <w:t xml:space="preserve"> bath incubators (3), variable speed rotating shakers (3), hypoxia </w:t>
      </w:r>
      <w:r>
        <w:rPr>
          <w:position w:val="2"/>
        </w:rPr>
        <w:t xml:space="preserve">chambers with </w:t>
      </w:r>
      <w:proofErr w:type="spellStart"/>
      <w:r>
        <w:rPr>
          <w:position w:val="2"/>
        </w:rPr>
        <w:t>ProOx</w:t>
      </w:r>
      <w:proofErr w:type="spellEnd"/>
      <w:r>
        <w:rPr>
          <w:position w:val="2"/>
        </w:rPr>
        <w:t xml:space="preserve"> Oxygen controller modules (3) and ProC0</w:t>
      </w:r>
      <w:r>
        <w:rPr>
          <w:sz w:val="14"/>
        </w:rPr>
        <w:t xml:space="preserve">2 </w:t>
      </w:r>
      <w:r>
        <w:rPr>
          <w:position w:val="2"/>
        </w:rPr>
        <w:t xml:space="preserve">Carbon Dioxide controller modules (2), a </w:t>
      </w:r>
      <w:proofErr w:type="spellStart"/>
      <w:r>
        <w:t>BioTek</w:t>
      </w:r>
      <w:proofErr w:type="spellEnd"/>
      <w:r>
        <w:t xml:space="preserve"> Hybrid Synergy </w:t>
      </w:r>
      <w:proofErr w:type="spellStart"/>
      <w:r>
        <w:t>microplate</w:t>
      </w:r>
      <w:proofErr w:type="spellEnd"/>
      <w:r>
        <w:t xml:space="preserve"> reader, </w:t>
      </w:r>
      <w:proofErr w:type="spellStart"/>
      <w:r>
        <w:t>GeneSys</w:t>
      </w:r>
      <w:proofErr w:type="spellEnd"/>
      <w:r>
        <w:t xml:space="preserve"> 10S UV-VIS spectrophotometer, Next Advance Bullet Blender for bone homogenization, UVP </w:t>
      </w:r>
      <w:proofErr w:type="spellStart"/>
      <w:r>
        <w:t>GelDoc</w:t>
      </w:r>
      <w:proofErr w:type="spellEnd"/>
      <w:r>
        <w:t>-It</w:t>
      </w:r>
      <w:r>
        <w:rPr>
          <w:position w:val="8"/>
          <w:sz w:val="14"/>
        </w:rPr>
        <w:t xml:space="preserve">2 </w:t>
      </w:r>
      <w:r>
        <w:t xml:space="preserve">Gel Documentation system, Thermo </w:t>
      </w:r>
      <w:r>
        <w:rPr>
          <w:spacing w:val="-3"/>
        </w:rPr>
        <w:t xml:space="preserve">TSU </w:t>
      </w:r>
      <w:r>
        <w:t>series 600 -80</w:t>
      </w:r>
      <w:r>
        <w:rPr>
          <w:sz w:val="24"/>
        </w:rPr>
        <w:t>°</w:t>
      </w:r>
      <w:r>
        <w:t xml:space="preserve">C freezer, Thermo </w:t>
      </w:r>
      <w:proofErr w:type="spellStart"/>
      <w:r>
        <w:t>IsoTemp</w:t>
      </w:r>
      <w:proofErr w:type="spellEnd"/>
      <w:r>
        <w:t xml:space="preserve"> -20</w:t>
      </w:r>
      <w:r>
        <w:rPr>
          <w:sz w:val="24"/>
        </w:rPr>
        <w:t>°</w:t>
      </w:r>
      <w:r>
        <w:t>C freezer, Thermo MR49PA 4</w:t>
      </w:r>
      <w:r>
        <w:rPr>
          <w:sz w:val="24"/>
        </w:rPr>
        <w:t>°</w:t>
      </w:r>
      <w:r>
        <w:t xml:space="preserve">C refrigerator, </w:t>
      </w:r>
      <w:proofErr w:type="spellStart"/>
      <w:r>
        <w:t>Mettler</w:t>
      </w:r>
      <w:proofErr w:type="spellEnd"/>
      <w:r>
        <w:t xml:space="preserve"> Toledo S220 pH meter, protein purification columns and reagents, Thermo Scientific EC 300 XL power supply for gel electrophoresis, </w:t>
      </w:r>
      <w:proofErr w:type="spellStart"/>
      <w:r>
        <w:t>BioRad</w:t>
      </w:r>
      <w:proofErr w:type="spellEnd"/>
      <w:r>
        <w:t xml:space="preserve"> </w:t>
      </w:r>
      <w:proofErr w:type="spellStart"/>
      <w:r>
        <w:t>polyacrylamide</w:t>
      </w:r>
      <w:proofErr w:type="spellEnd"/>
      <w:r>
        <w:t xml:space="preserve"> gel casting equipment and Western transfer apparatus, and a </w:t>
      </w:r>
      <w:proofErr w:type="spellStart"/>
      <w:r>
        <w:t>BioRad</w:t>
      </w:r>
      <w:proofErr w:type="spellEnd"/>
      <w:r>
        <w:t xml:space="preserve"> </w:t>
      </w:r>
      <w:proofErr w:type="spellStart"/>
      <w:r>
        <w:t>GenePulser</w:t>
      </w:r>
      <w:proofErr w:type="spellEnd"/>
      <w:r>
        <w:t xml:space="preserve"> </w:t>
      </w:r>
      <w:proofErr w:type="spellStart"/>
      <w:r>
        <w:t>Xcell</w:t>
      </w:r>
      <w:proofErr w:type="spellEnd"/>
      <w:r>
        <w:t xml:space="preserve"> </w:t>
      </w:r>
      <w:proofErr w:type="spellStart"/>
      <w:r>
        <w:t>electroporation</w:t>
      </w:r>
      <w:proofErr w:type="spellEnd"/>
      <w:r>
        <w:rPr>
          <w:spacing w:val="-7"/>
        </w:rPr>
        <w:t xml:space="preserve"> </w:t>
      </w:r>
      <w:r>
        <w:t>apparatus.</w:t>
      </w:r>
    </w:p>
    <w:p w:rsidR="0052327B" w:rsidRDefault="0052327B" w:rsidP="0052327B">
      <w:pPr>
        <w:pStyle w:val="BodyText"/>
        <w:spacing w:before="1"/>
        <w:rPr>
          <w:sz w:val="21"/>
        </w:rPr>
      </w:pPr>
    </w:p>
    <w:p w:rsidR="0052327B" w:rsidRDefault="0052327B" w:rsidP="0052327B">
      <w:pPr>
        <w:pStyle w:val="Heading6"/>
        <w:spacing w:before="1"/>
      </w:pPr>
      <w:bookmarkStart w:id="2" w:name="Vanderbilt_University_Institute_of_Imagi"/>
      <w:bookmarkStart w:id="3" w:name="The_Center_for_Small_Animal_Imaging_(CSA"/>
      <w:bookmarkEnd w:id="2"/>
      <w:bookmarkEnd w:id="3"/>
      <w:r>
        <w:t>Vanderbilt University Institute of Imaging Sciences (VUIIS)</w:t>
      </w:r>
    </w:p>
    <w:p w:rsidR="0052327B" w:rsidRDefault="0052327B" w:rsidP="0052327B">
      <w:pPr>
        <w:pStyle w:val="BodyText"/>
        <w:spacing w:before="3"/>
        <w:ind w:left="559" w:right="707" w:firstLine="720"/>
        <w:jc w:val="both"/>
      </w:pPr>
      <w:r>
        <w:t xml:space="preserve">The Center for Small Animal Imaging (CSAI) in the VUIIS contains advanced biomedical imaging instruments spanning a wide range of modalities, including MRI, CT, PET, SPECT, ultrasound, bioluminescence (BLI), fluorescence, and optical imaging. Equipment includes a 4.7T Varian MRI, 9.4T Varian MRI, 15.2T </w:t>
      </w:r>
      <w:proofErr w:type="spellStart"/>
      <w:r>
        <w:t>Bruker</w:t>
      </w:r>
      <w:proofErr w:type="spellEnd"/>
      <w:r>
        <w:t xml:space="preserve"> </w:t>
      </w:r>
      <w:proofErr w:type="spellStart"/>
      <w:r>
        <w:t>Biospec</w:t>
      </w:r>
      <w:proofErr w:type="spellEnd"/>
      <w:r>
        <w:t xml:space="preserve"> MRI, </w:t>
      </w:r>
      <w:proofErr w:type="spellStart"/>
      <w:r>
        <w:t>Xenogen</w:t>
      </w:r>
      <w:proofErr w:type="spellEnd"/>
      <w:r>
        <w:t xml:space="preserve"> IVIS 200 bioluminescent and fluorescent imaging system, </w:t>
      </w:r>
      <w:proofErr w:type="spellStart"/>
      <w:r>
        <w:t>Scanco</w:t>
      </w:r>
      <w:proofErr w:type="spellEnd"/>
      <w:r>
        <w:t xml:space="preserve"> μCT40 and μCT50 </w:t>
      </w:r>
      <w:proofErr w:type="spellStart"/>
      <w:r>
        <w:t>microCT</w:t>
      </w:r>
      <w:proofErr w:type="spellEnd"/>
      <w:r>
        <w:t xml:space="preserve"> scanners for </w:t>
      </w:r>
      <w:r>
        <w:rPr>
          <w:i/>
        </w:rPr>
        <w:t xml:space="preserve">ex vivo </w:t>
      </w:r>
      <w:r>
        <w:t xml:space="preserve">imaging, Siemens </w:t>
      </w:r>
      <w:proofErr w:type="spellStart"/>
      <w:r>
        <w:t>MicroCAT</w:t>
      </w:r>
      <w:proofErr w:type="spellEnd"/>
      <w:r>
        <w:t xml:space="preserve"> II X-ray </w:t>
      </w:r>
      <w:proofErr w:type="spellStart"/>
      <w:r>
        <w:t>microCT</w:t>
      </w:r>
      <w:proofErr w:type="spellEnd"/>
      <w:r>
        <w:t xml:space="preserve"> and </w:t>
      </w:r>
      <w:proofErr w:type="spellStart"/>
      <w:r>
        <w:t>Scanco</w:t>
      </w:r>
      <w:proofErr w:type="spellEnd"/>
      <w:r>
        <w:t xml:space="preserve"> </w:t>
      </w:r>
      <w:proofErr w:type="spellStart"/>
      <w:r>
        <w:t>VivaCT</w:t>
      </w:r>
      <w:proofErr w:type="spellEnd"/>
      <w:r>
        <w:t xml:space="preserve"> for </w:t>
      </w:r>
      <w:r>
        <w:rPr>
          <w:i/>
        </w:rPr>
        <w:t xml:space="preserve">in vivo </w:t>
      </w:r>
      <w:r>
        <w:t xml:space="preserve">imaging, 400MHz vertical </w:t>
      </w:r>
      <w:proofErr w:type="spellStart"/>
      <w:r>
        <w:t>Bruker</w:t>
      </w:r>
      <w:proofErr w:type="spellEnd"/>
      <w:r>
        <w:t xml:space="preserve"> </w:t>
      </w:r>
      <w:proofErr w:type="spellStart"/>
      <w:r>
        <w:t>Avance</w:t>
      </w:r>
      <w:proofErr w:type="spellEnd"/>
      <w:r>
        <w:t xml:space="preserve"> III spectrometer for small molecule NMR, Siemens </w:t>
      </w:r>
      <w:proofErr w:type="spellStart"/>
      <w:r>
        <w:t>MicroPET</w:t>
      </w:r>
      <w:proofErr w:type="spellEnd"/>
      <w:r>
        <w:t xml:space="preserve"> Focus 220, </w:t>
      </w:r>
      <w:proofErr w:type="spellStart"/>
      <w:r>
        <w:t>Bioscan</w:t>
      </w:r>
      <w:proofErr w:type="spellEnd"/>
      <w:r>
        <w:t xml:space="preserve"> </w:t>
      </w:r>
      <w:proofErr w:type="spellStart"/>
      <w:r>
        <w:t>NanoSPECT</w:t>
      </w:r>
      <w:proofErr w:type="spellEnd"/>
      <w:r>
        <w:t xml:space="preserve"> SPECT/CT, CRI Maestro optical imaging systems for </w:t>
      </w:r>
      <w:r>
        <w:rPr>
          <w:i/>
        </w:rPr>
        <w:t xml:space="preserve">in vivo </w:t>
      </w:r>
      <w:r>
        <w:t xml:space="preserve">fluorescence, </w:t>
      </w:r>
      <w:proofErr w:type="spellStart"/>
      <w:r>
        <w:t>Visen</w:t>
      </w:r>
      <w:proofErr w:type="spellEnd"/>
      <w:r>
        <w:t xml:space="preserve"> FMT for quantitative optical tomography, and a </w:t>
      </w:r>
      <w:proofErr w:type="spellStart"/>
      <w:r>
        <w:t>VisualSonics</w:t>
      </w:r>
      <w:proofErr w:type="spellEnd"/>
      <w:r>
        <w:t xml:space="preserve"> high-resolution ultrasound system.</w:t>
      </w:r>
    </w:p>
    <w:p w:rsidR="0052327B" w:rsidRDefault="0052327B" w:rsidP="0052327B">
      <w:pPr>
        <w:pStyle w:val="BodyText"/>
      </w:pPr>
    </w:p>
    <w:p w:rsidR="0052327B" w:rsidRDefault="0052327B" w:rsidP="0052327B">
      <w:pPr>
        <w:pStyle w:val="Heading6"/>
      </w:pPr>
      <w:bookmarkStart w:id="4" w:name="Vanderbilt_Center_for_Bone_Biology_(VCBB"/>
      <w:bookmarkStart w:id="5" w:name="Shared_laboratory_space_in_the_VCBB_is_l"/>
      <w:bookmarkEnd w:id="4"/>
      <w:bookmarkEnd w:id="5"/>
      <w:r>
        <w:t>Vanderbilt Center for Bone Biology (VCBB) (1215 MRB IV, Olin Hall)</w:t>
      </w:r>
    </w:p>
    <w:p w:rsidR="0052327B" w:rsidRDefault="0052327B" w:rsidP="0052327B">
      <w:pPr>
        <w:pStyle w:val="BodyText"/>
        <w:spacing w:before="2"/>
        <w:ind w:left="559" w:right="720" w:firstLine="720"/>
        <w:jc w:val="both"/>
      </w:pPr>
      <w:r>
        <w:t xml:space="preserve">Shared laboratory space in the VCBB is located two floors above the </w:t>
      </w:r>
      <w:proofErr w:type="spellStart"/>
      <w:r>
        <w:t>Cassat</w:t>
      </w:r>
      <w:proofErr w:type="spellEnd"/>
      <w:r>
        <w:t xml:space="preserve"> laboratory and available</w:t>
      </w:r>
      <w:bookmarkStart w:id="6" w:name="-20°C_and_-80°C_freezers,_analytical_bal"/>
      <w:bookmarkEnd w:id="6"/>
      <w:r>
        <w:t xml:space="preserve"> for use by our team. The VCBB shared </w:t>
      </w:r>
      <w:proofErr w:type="spellStart"/>
      <w:r>
        <w:t>laboratoryincludes</w:t>
      </w:r>
      <w:proofErr w:type="spellEnd"/>
      <w:r>
        <w:t xml:space="preserve"> the following equipment, </w:t>
      </w:r>
      <w:r>
        <w:rPr>
          <w:u w:val="single"/>
        </w:rPr>
        <w:t>General</w:t>
      </w:r>
      <w:r>
        <w:t>: 4</w:t>
      </w:r>
      <w:r>
        <w:rPr>
          <w:sz w:val="24"/>
        </w:rPr>
        <w:t>°</w:t>
      </w:r>
      <w:r>
        <w:t>C</w:t>
      </w:r>
      <w:r>
        <w:rPr>
          <w:spacing w:val="-24"/>
        </w:rPr>
        <w:t xml:space="preserve"> </w:t>
      </w:r>
      <w:r>
        <w:t>refrigerators,</w:t>
      </w:r>
    </w:p>
    <w:p w:rsidR="0052327B" w:rsidRDefault="0052327B" w:rsidP="0052327B">
      <w:pPr>
        <w:pStyle w:val="BodyText"/>
        <w:spacing w:before="2"/>
        <w:ind w:left="559" w:right="702"/>
        <w:jc w:val="both"/>
      </w:pPr>
      <w:r>
        <w:lastRenderedPageBreak/>
        <w:t>-20</w:t>
      </w:r>
      <w:r>
        <w:rPr>
          <w:sz w:val="24"/>
        </w:rPr>
        <w:t>°</w:t>
      </w:r>
      <w:r>
        <w:t>C and -80</w:t>
      </w:r>
      <w:r>
        <w:rPr>
          <w:sz w:val="24"/>
        </w:rPr>
        <w:t>°</w:t>
      </w:r>
      <w:r>
        <w:t xml:space="preserve">C freezers, analytical balances, pH meters, laminar-flow hoods, mammalian and bacterial incubators/shakers, gamma-counters, hybridization ovens, </w:t>
      </w:r>
      <w:proofErr w:type="spellStart"/>
      <w:r>
        <w:t>ultraturax</w:t>
      </w:r>
      <w:proofErr w:type="spellEnd"/>
      <w:r>
        <w:t xml:space="preserve"> homogenizer, Bio-Rad DNA gel visualization and documentation system, Beckman and IEC centrifuges, cell culture hoods and incubators, automated Bio-Rad cell counter, </w:t>
      </w:r>
      <w:proofErr w:type="spellStart"/>
      <w:r>
        <w:t>luminometer</w:t>
      </w:r>
      <w:proofErr w:type="spellEnd"/>
      <w:r>
        <w:t xml:space="preserve">, spectrophotometers, a </w:t>
      </w:r>
      <w:proofErr w:type="spellStart"/>
      <w:r>
        <w:t>BioTek</w:t>
      </w:r>
      <w:proofErr w:type="spellEnd"/>
      <w:r>
        <w:t xml:space="preserve"> plate reader, </w:t>
      </w:r>
      <w:proofErr w:type="spellStart"/>
      <w:r>
        <w:t>sonicators</w:t>
      </w:r>
      <w:proofErr w:type="spellEnd"/>
      <w:r>
        <w:t xml:space="preserve"> (2), FPLC instruments, and </w:t>
      </w:r>
      <w:proofErr w:type="spellStart"/>
      <w:r>
        <w:t>cryotanks</w:t>
      </w:r>
      <w:proofErr w:type="spellEnd"/>
      <w:r>
        <w:t xml:space="preserve">. </w:t>
      </w:r>
      <w:r>
        <w:rPr>
          <w:u w:val="single"/>
        </w:rPr>
        <w:t>Molecular biology</w:t>
      </w:r>
      <w:r>
        <w:t xml:space="preserve">: Real-time </w:t>
      </w:r>
      <w:proofErr w:type="spellStart"/>
      <w:r>
        <w:t>qPCR</w:t>
      </w:r>
      <w:proofErr w:type="spellEnd"/>
      <w:r>
        <w:t xml:space="preserve"> instruments (2: ABI and Bio-Rad), Bio- </w:t>
      </w:r>
      <w:proofErr w:type="spellStart"/>
      <w:r>
        <w:t>Rad</w:t>
      </w:r>
      <w:proofErr w:type="spellEnd"/>
      <w:r>
        <w:t xml:space="preserve"> thermal cyclers (2), a Bio-Rad CF x 96 </w:t>
      </w:r>
      <w:proofErr w:type="spellStart"/>
      <w:r>
        <w:t>qRT</w:t>
      </w:r>
      <w:proofErr w:type="spellEnd"/>
      <w:r>
        <w:t xml:space="preserve">-PCR thermal cycler, DNA and protein gel migration apparatus. </w:t>
      </w:r>
      <w:r>
        <w:rPr>
          <w:u w:val="single"/>
        </w:rPr>
        <w:t xml:space="preserve">Bone </w:t>
      </w:r>
      <w:proofErr w:type="spellStart"/>
      <w:r>
        <w:rPr>
          <w:u w:val="single"/>
        </w:rPr>
        <w:t>histomorphometry</w:t>
      </w:r>
      <w:proofErr w:type="spellEnd"/>
      <w:r>
        <w:t>: Equipment for soft and calcified tissue histology, a dissecting microscope, an automated paraffin processor, a paraffin embedding station, an explosion proof -20</w:t>
      </w:r>
      <w:r>
        <w:rPr>
          <w:sz w:val="24"/>
        </w:rPr>
        <w:t>°</w:t>
      </w:r>
      <w:r>
        <w:t xml:space="preserve">C freezer for MMA polymerization, a </w:t>
      </w:r>
      <w:proofErr w:type="spellStart"/>
      <w:r>
        <w:t>Wehmer</w:t>
      </w:r>
      <w:proofErr w:type="spellEnd"/>
      <w:r>
        <w:t xml:space="preserve"> plastic embedding grinder, </w:t>
      </w:r>
      <w:proofErr w:type="spellStart"/>
      <w:r>
        <w:t>Leica</w:t>
      </w:r>
      <w:proofErr w:type="spellEnd"/>
      <w:r>
        <w:t xml:space="preserve"> RM2255 microtome (3), analytical balances, pH meters, water baths, chemical hoods dedicated for tissue staining (2), an upright Olympus microscope with fluorescence, an inverted Olympus microscope, and a high-resolution Olympus DP70 camera connected to a computer with BIOQUANT and </w:t>
      </w:r>
      <w:proofErr w:type="spellStart"/>
      <w:r>
        <w:t>OsteoMeasure</w:t>
      </w:r>
      <w:proofErr w:type="spellEnd"/>
      <w:r>
        <w:t xml:space="preserve"> </w:t>
      </w:r>
      <w:proofErr w:type="spellStart"/>
      <w:r>
        <w:t>histomorphometry</w:t>
      </w:r>
      <w:proofErr w:type="spellEnd"/>
      <w:r>
        <w:t xml:space="preserve"> software. Shared laboratory space for VCBB also extends into the Olin Engineering Hall, which is located just across 25</w:t>
      </w:r>
      <w:proofErr w:type="spellStart"/>
      <w:r>
        <w:rPr>
          <w:position w:val="8"/>
          <w:sz w:val="14"/>
        </w:rPr>
        <w:t>th</w:t>
      </w:r>
      <w:proofErr w:type="spellEnd"/>
      <w:r>
        <w:rPr>
          <w:position w:val="8"/>
          <w:sz w:val="14"/>
        </w:rPr>
        <w:t xml:space="preserve"> </w:t>
      </w:r>
      <w:r>
        <w:t xml:space="preserve">street. This space may be used for alternative approaches necessitating the </w:t>
      </w:r>
      <w:proofErr w:type="spellStart"/>
      <w:r>
        <w:t>lyophilization</w:t>
      </w:r>
      <w:proofErr w:type="spellEnd"/>
      <w:r>
        <w:t xml:space="preserve"> of proteins using the </w:t>
      </w:r>
      <w:proofErr w:type="spellStart"/>
      <w:r>
        <w:t>Labconco</w:t>
      </w:r>
      <w:proofErr w:type="spellEnd"/>
      <w:r>
        <w:t xml:space="preserve"> </w:t>
      </w:r>
      <w:proofErr w:type="spellStart"/>
      <w:r>
        <w:t>FreeZone</w:t>
      </w:r>
      <w:proofErr w:type="spellEnd"/>
      <w:r>
        <w:t xml:space="preserve"> 4.5 </w:t>
      </w:r>
      <w:proofErr w:type="spellStart"/>
      <w:r>
        <w:t>benchtop</w:t>
      </w:r>
      <w:proofErr w:type="spellEnd"/>
      <w:r>
        <w:t xml:space="preserve"> freeze</w:t>
      </w:r>
      <w:r>
        <w:rPr>
          <w:spacing w:val="-9"/>
        </w:rPr>
        <w:t xml:space="preserve"> </w:t>
      </w:r>
      <w:r>
        <w:t>dry</w:t>
      </w:r>
      <w:r>
        <w:rPr>
          <w:spacing w:val="-10"/>
        </w:rPr>
        <w:t xml:space="preserve"> </w:t>
      </w:r>
      <w:r>
        <w:t>system</w:t>
      </w:r>
      <w:r>
        <w:rPr>
          <w:spacing w:val="2"/>
        </w:rPr>
        <w:t xml:space="preserve"> </w:t>
      </w:r>
      <w:r>
        <w:t>and</w:t>
      </w:r>
      <w:r>
        <w:rPr>
          <w:spacing w:val="-8"/>
        </w:rPr>
        <w:t xml:space="preserve"> </w:t>
      </w:r>
      <w:r>
        <w:t>the</w:t>
      </w:r>
      <w:r>
        <w:rPr>
          <w:spacing w:val="-6"/>
        </w:rPr>
        <w:t xml:space="preserve"> </w:t>
      </w:r>
      <w:r>
        <w:t>loading</w:t>
      </w:r>
      <w:r>
        <w:rPr>
          <w:spacing w:val="-1"/>
        </w:rPr>
        <w:t xml:space="preserve"> </w:t>
      </w:r>
      <w:r>
        <w:t>of compounds</w:t>
      </w:r>
      <w:r>
        <w:rPr>
          <w:spacing w:val="-5"/>
        </w:rPr>
        <w:t xml:space="preserve"> </w:t>
      </w:r>
      <w:r>
        <w:t>into</w:t>
      </w:r>
      <w:r>
        <w:rPr>
          <w:spacing w:val="-5"/>
        </w:rPr>
        <w:t xml:space="preserve"> </w:t>
      </w:r>
      <w:r>
        <w:t>polymer</w:t>
      </w:r>
      <w:r>
        <w:rPr>
          <w:spacing w:val="-5"/>
        </w:rPr>
        <w:t xml:space="preserve"> </w:t>
      </w:r>
      <w:r>
        <w:t>scaffolds</w:t>
      </w:r>
      <w:r>
        <w:rPr>
          <w:spacing w:val="-2"/>
        </w:rPr>
        <w:t xml:space="preserve"> </w:t>
      </w:r>
      <w:r>
        <w:t>with</w:t>
      </w:r>
      <w:r>
        <w:rPr>
          <w:spacing w:val="-6"/>
        </w:rPr>
        <w:t xml:space="preserve"> </w:t>
      </w:r>
      <w:r>
        <w:t>the</w:t>
      </w:r>
      <w:r>
        <w:rPr>
          <w:spacing w:val="-8"/>
        </w:rPr>
        <w:t xml:space="preserve"> </w:t>
      </w:r>
      <w:proofErr w:type="spellStart"/>
      <w:r>
        <w:t>SeedMixer</w:t>
      </w:r>
      <w:proofErr w:type="spellEnd"/>
      <w:r>
        <w:rPr>
          <w:spacing w:val="-2"/>
        </w:rPr>
        <w:t xml:space="preserve"> </w:t>
      </w:r>
      <w:r>
        <w:t>DAC</w:t>
      </w:r>
      <w:r>
        <w:rPr>
          <w:spacing w:val="-3"/>
        </w:rPr>
        <w:t xml:space="preserve"> </w:t>
      </w:r>
      <w:r>
        <w:t>150</w:t>
      </w:r>
      <w:r>
        <w:rPr>
          <w:spacing w:val="-6"/>
        </w:rPr>
        <w:t xml:space="preserve"> </w:t>
      </w:r>
      <w:r>
        <w:t>FVZ.</w:t>
      </w:r>
    </w:p>
    <w:p w:rsidR="0052327B" w:rsidRDefault="0052327B" w:rsidP="0052327B">
      <w:pPr>
        <w:pStyle w:val="BodyText"/>
        <w:spacing w:before="2"/>
        <w:rPr>
          <w:sz w:val="21"/>
        </w:rPr>
      </w:pPr>
    </w:p>
    <w:p w:rsidR="0052327B" w:rsidRDefault="0052327B" w:rsidP="0052327B">
      <w:pPr>
        <w:pStyle w:val="BodyText"/>
        <w:spacing w:line="244" w:lineRule="auto"/>
        <w:ind w:left="559" w:right="713" w:firstLine="720"/>
        <w:jc w:val="both"/>
      </w:pPr>
      <w:bookmarkStart w:id="7" w:name="In_sum,_access_to_equipment_within_our_l"/>
      <w:bookmarkEnd w:id="7"/>
      <w:r>
        <w:t>In sum, access to equipment within our laboratory, the VUIIS, and VCBB will ensure that I am uniquely positioned to study fundamental processes in skeletal cell biology and host-pathogen interactions.</w:t>
      </w:r>
    </w:p>
    <w:p w:rsidR="0052327B" w:rsidRDefault="0052327B" w:rsidP="0032100B">
      <w:pPr>
        <w:pStyle w:val="paragraph"/>
        <w:textAlignment w:val="baseline"/>
        <w:rPr>
          <w:rStyle w:val="normaltextrun"/>
          <w:rFonts w:ascii="Calibri" w:hAnsi="Calibri" w:cs="Segoe UI"/>
          <w:b/>
          <w:bCs/>
          <w:sz w:val="22"/>
          <w:szCs w:val="22"/>
        </w:rPr>
      </w:pPr>
    </w:p>
    <w:p w:rsidR="0032100B" w:rsidRDefault="0032100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rPr>
        <w:lastRenderedPageBreak/>
        <w:t>Nico</w:t>
      </w:r>
      <w:proofErr w:type="spellEnd"/>
      <w:r>
        <w:rPr>
          <w:rStyle w:val="normaltextrun"/>
          <w:rFonts w:ascii="Calibri" w:hAnsi="Calibri" w:cs="Segoe UI"/>
          <w:b/>
          <w:bCs/>
          <w:sz w:val="22"/>
          <w:szCs w:val="22"/>
        </w:rPr>
        <w:t xml:space="preserve"> Contreras, University of Arizona</w:t>
      </w:r>
      <w:r>
        <w:rPr>
          <w:rStyle w:val="eop"/>
          <w:rFonts w:ascii="Calibri" w:hAnsi="Calibri" w:cs="Segoe UI"/>
          <w:sz w:val="22"/>
          <w:szCs w:val="22"/>
        </w:rPr>
        <w:t> </w:t>
      </w:r>
    </w:p>
    <w:p w:rsidR="0032100B" w:rsidRDefault="00620B73" w:rsidP="0032100B">
      <w:pPr>
        <w:pStyle w:val="paragraph"/>
        <w:spacing w:before="0" w:beforeAutospacing="0" w:after="0" w:afterAutospacing="0"/>
        <w:textAlignment w:val="baseline"/>
        <w:rPr>
          <w:rFonts w:ascii="Segoe UI" w:hAnsi="Segoe UI" w:cs="Segoe UI"/>
          <w:sz w:val="18"/>
          <w:szCs w:val="18"/>
        </w:rPr>
      </w:pPr>
      <w:hyperlink r:id="rId5" w:tgtFrame="_blank" w:history="1">
        <w:r w:rsidR="0032100B">
          <w:rPr>
            <w:rStyle w:val="normaltextrun"/>
            <w:rFonts w:ascii="Calibri" w:hAnsi="Calibri" w:cs="Segoe UI"/>
            <w:b/>
            <w:bCs/>
            <w:color w:val="0563C1"/>
            <w:sz w:val="22"/>
            <w:szCs w:val="22"/>
            <w:u w:val="single"/>
          </w:rPr>
          <w:t>“The Immunological Consequences of Mouse Cytomegalovirus on Adipose Tissue”</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52327B" w:rsidRDefault="0052327B" w:rsidP="0052327B">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Equipment:</w:t>
      </w:r>
    </w:p>
    <w:p w:rsidR="00A56886" w:rsidRDefault="00A56886" w:rsidP="0052327B">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[Included in Facilities section]</w:t>
      </w:r>
    </w:p>
    <w:p w:rsidR="0052327B" w:rsidRDefault="0052327B" w:rsidP="0052327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lastRenderedPageBreak/>
        <w:t>Samantha Lynne Schwartz, Emory University</w:t>
      </w:r>
      <w:r>
        <w:rPr>
          <w:rStyle w:val="eop"/>
          <w:rFonts w:ascii="Calibri" w:hAnsi="Calibri" w:cs="Segoe UI"/>
          <w:sz w:val="22"/>
          <w:szCs w:val="22"/>
        </w:rPr>
        <w:t> </w:t>
      </w:r>
    </w:p>
    <w:p w:rsidR="0032100B" w:rsidRDefault="00620B73" w:rsidP="0032100B">
      <w:pPr>
        <w:pStyle w:val="paragraph"/>
        <w:spacing w:before="0" w:beforeAutospacing="0" w:after="0" w:afterAutospacing="0"/>
        <w:textAlignment w:val="baseline"/>
        <w:rPr>
          <w:rFonts w:ascii="Segoe UI" w:hAnsi="Segoe UI" w:cs="Segoe UI"/>
          <w:sz w:val="18"/>
          <w:szCs w:val="18"/>
        </w:rPr>
      </w:pPr>
      <w:hyperlink r:id="rId6" w:tgtFrame="_blank" w:history="1">
        <w:r w:rsidR="0032100B">
          <w:rPr>
            <w:rStyle w:val="normaltextrun"/>
            <w:rFonts w:ascii="Calibri" w:hAnsi="Calibri" w:cs="Segoe UI"/>
            <w:b/>
            <w:bCs/>
            <w:color w:val="0563C1"/>
            <w:sz w:val="22"/>
            <w:szCs w:val="22"/>
            <w:u w:val="single"/>
          </w:rPr>
          <w:t xml:space="preserve">“Regulation of 2'-5'-Oligoadenylate </w:t>
        </w:r>
        <w:proofErr w:type="spellStart"/>
        <w:r w:rsidR="0032100B">
          <w:rPr>
            <w:rStyle w:val="normaltextrun"/>
            <w:rFonts w:ascii="Calibri" w:hAnsi="Calibri" w:cs="Segoe UI"/>
            <w:b/>
            <w:bCs/>
            <w:color w:val="0563C1"/>
            <w:sz w:val="22"/>
            <w:szCs w:val="22"/>
            <w:u w:val="single"/>
          </w:rPr>
          <w:t>Synthetase</w:t>
        </w:r>
        <w:proofErr w:type="spellEnd"/>
        <w:r w:rsidR="0032100B">
          <w:rPr>
            <w:rStyle w:val="normaltextrun"/>
            <w:rFonts w:ascii="Calibri" w:hAnsi="Calibri" w:cs="Segoe UI"/>
            <w:b/>
            <w:bCs/>
            <w:color w:val="0563C1"/>
            <w:sz w:val="22"/>
            <w:szCs w:val="22"/>
            <w:u w:val="single"/>
          </w:rPr>
          <w:t xml:space="preserve"> 1 (OAS1) by </w:t>
        </w:r>
        <w:proofErr w:type="spellStart"/>
        <w:r w:rsidR="0032100B">
          <w:rPr>
            <w:rStyle w:val="normaltextrun"/>
            <w:rFonts w:ascii="Calibri" w:hAnsi="Calibri" w:cs="Segoe UI"/>
            <w:b/>
            <w:bCs/>
            <w:color w:val="0563C1"/>
            <w:sz w:val="22"/>
            <w:szCs w:val="22"/>
            <w:u w:val="single"/>
          </w:rPr>
          <w:t>dsRNA</w:t>
        </w:r>
        <w:proofErr w:type="spellEnd"/>
        <w:r w:rsidR="0032100B">
          <w:rPr>
            <w:rStyle w:val="normaltextrun"/>
            <w:rFonts w:ascii="Calibri" w:hAnsi="Calibri" w:cs="Segoe UI"/>
            <w:b/>
            <w:bCs/>
            <w:color w:val="0563C1"/>
            <w:sz w:val="22"/>
            <w:szCs w:val="22"/>
            <w:u w:val="single"/>
          </w:rPr>
          <w:t>”</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52327B" w:rsidRDefault="0052327B" w:rsidP="0052327B">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Equipment:</w:t>
      </w:r>
    </w:p>
    <w:p w:rsidR="00240544" w:rsidRDefault="00240544" w:rsidP="00240544">
      <w:pPr>
        <w:pStyle w:val="Heading3"/>
        <w:jc w:val="both"/>
      </w:pPr>
      <w:r>
        <w:t>EQUIPMENT</w:t>
      </w:r>
    </w:p>
    <w:p w:rsidR="00240544" w:rsidRDefault="00240544" w:rsidP="00240544">
      <w:pPr>
        <w:pStyle w:val="BodyText"/>
        <w:spacing w:before="203"/>
        <w:ind w:left="580" w:right="708"/>
        <w:jc w:val="both"/>
      </w:pPr>
      <w:r>
        <w:t>As described in the sections below, collectively the Sponsor and Co-sponsor laboratories, the Departments of Biochemistry and Microbiology &amp; Immunology as well as the Emory core facilities can provide me with access to all of the equipment I will need to complete my proposed research.</w:t>
      </w:r>
    </w:p>
    <w:p w:rsidR="00240544" w:rsidRDefault="00240544" w:rsidP="00240544">
      <w:pPr>
        <w:pStyle w:val="BodyText"/>
        <w:spacing w:before="192"/>
        <w:ind w:left="577" w:right="699"/>
        <w:jc w:val="both"/>
      </w:pPr>
      <w:r>
        <w:rPr>
          <w:b/>
          <w:u w:val="thick"/>
        </w:rPr>
        <w:t>Conn Laboratory</w:t>
      </w:r>
      <w:r>
        <w:rPr>
          <w:b/>
        </w:rPr>
        <w:t xml:space="preserve">: </w:t>
      </w:r>
      <w:r>
        <w:t xml:space="preserve">All necessary equipment for RNA </w:t>
      </w:r>
      <w:r>
        <w:rPr>
          <w:i/>
        </w:rPr>
        <w:t xml:space="preserve">in vitro </w:t>
      </w:r>
      <w:r>
        <w:t xml:space="preserve">transcription and protein synthesis, purification, analysis, and crystallization is already available in the Conn laboratory on the fourth floor of the Rollins Research Center. </w:t>
      </w:r>
      <w:r>
        <w:rPr>
          <w:spacing w:val="5"/>
        </w:rPr>
        <w:t xml:space="preserve">We </w:t>
      </w:r>
      <w:r>
        <w:t xml:space="preserve">have </w:t>
      </w:r>
      <w:proofErr w:type="spellStart"/>
      <w:r>
        <w:t>Infors</w:t>
      </w:r>
      <w:proofErr w:type="spellEnd"/>
      <w:r>
        <w:t xml:space="preserve"> </w:t>
      </w:r>
      <w:proofErr w:type="spellStart"/>
      <w:r>
        <w:t>Multitron</w:t>
      </w:r>
      <w:proofErr w:type="spellEnd"/>
      <w:r>
        <w:t xml:space="preserve"> dual and </w:t>
      </w:r>
      <w:proofErr w:type="spellStart"/>
      <w:r>
        <w:t>Ecotron</w:t>
      </w:r>
      <w:proofErr w:type="spellEnd"/>
      <w:r>
        <w:t xml:space="preserve"> orbital shaker incubators (both with cooling module for low temperature expression) for bacterial culture for protein expression; a Beckman Allegra 25R table top centrifuge with swinging bucket and fixed angle rotors; two ÄKTA Purifier10 (FPLC) systems each housed in a dedicated 4 ˚C chromatography refrigerator and equipped with column selection kit for protein and protein-RNA complex purification; a </w:t>
      </w:r>
      <w:proofErr w:type="spellStart"/>
      <w:r>
        <w:t>BioTek</w:t>
      </w:r>
      <w:proofErr w:type="spellEnd"/>
      <w:r>
        <w:t xml:space="preserve"> Synergy 4 multimode (absorbance, luminescence, fluorescence) plate reader on which we have optimized our 96-well plate </w:t>
      </w:r>
      <w:proofErr w:type="spellStart"/>
      <w:r>
        <w:t>chromogenic</w:t>
      </w:r>
      <w:proofErr w:type="spellEnd"/>
      <w:r>
        <w:t xml:space="preserve"> assay of OAS activation; a Cary400 UV/Vis </w:t>
      </w:r>
      <w:proofErr w:type="spellStart"/>
      <w:r>
        <w:t>spectrophotomer</w:t>
      </w:r>
      <w:proofErr w:type="spellEnd"/>
      <w:r>
        <w:t xml:space="preserve"> with 6x6 cell </w:t>
      </w:r>
      <w:proofErr w:type="spellStart"/>
      <w:r>
        <w:t>multichanger</w:t>
      </w:r>
      <w:proofErr w:type="spellEnd"/>
      <w:r>
        <w:t xml:space="preserve"> (used for RNA UV thermal melting analysis); a </w:t>
      </w:r>
      <w:proofErr w:type="spellStart"/>
      <w:r>
        <w:t>Nanodrop</w:t>
      </w:r>
      <w:proofErr w:type="spellEnd"/>
      <w:r>
        <w:t xml:space="preserve"> 2000 UV/Vis </w:t>
      </w:r>
      <w:proofErr w:type="spellStart"/>
      <w:r>
        <w:t>spectrophotomer</w:t>
      </w:r>
      <w:proofErr w:type="spellEnd"/>
      <w:r>
        <w:t xml:space="preserve">; three incubators for macromolecular crystallization and </w:t>
      </w:r>
      <w:proofErr w:type="spellStart"/>
      <w:r>
        <w:t>Leica</w:t>
      </w:r>
      <w:proofErr w:type="spellEnd"/>
      <w:r>
        <w:t xml:space="preserve"> optical microscope with digital camera for viewing and recording crystallization experiments; electrophoresis equipment for horizontal </w:t>
      </w:r>
      <w:proofErr w:type="spellStart"/>
      <w:r>
        <w:t>agarose</w:t>
      </w:r>
      <w:proofErr w:type="spellEnd"/>
      <w:r>
        <w:t xml:space="preserve">, vertical mini/ preparative PAGE (the latter custom designed for large scale purification of </w:t>
      </w:r>
      <w:r>
        <w:rPr>
          <w:i/>
        </w:rPr>
        <w:t xml:space="preserve">in vitro </w:t>
      </w:r>
      <w:r>
        <w:t xml:space="preserve">transcribed RNA), three </w:t>
      </w:r>
      <w:proofErr w:type="spellStart"/>
      <w:r>
        <w:t>BioRad</w:t>
      </w:r>
      <w:proofErr w:type="spellEnd"/>
      <w:r>
        <w:t xml:space="preserve"> </w:t>
      </w:r>
      <w:proofErr w:type="spellStart"/>
      <w:r>
        <w:t>Sequi</w:t>
      </w:r>
      <w:proofErr w:type="spellEnd"/>
      <w:r>
        <w:t xml:space="preserve">-Gen GT sequencing gel systems, and power supplies; all other essential small equipment, </w:t>
      </w:r>
      <w:r>
        <w:rPr>
          <w:i/>
        </w:rPr>
        <w:t xml:space="preserve">e.g. </w:t>
      </w:r>
      <w:r>
        <w:t xml:space="preserve">pH meter, balances, PCR </w:t>
      </w:r>
      <w:proofErr w:type="spellStart"/>
      <w:r>
        <w:t>thermocycler</w:t>
      </w:r>
      <w:proofErr w:type="spellEnd"/>
      <w:r>
        <w:t xml:space="preserve">, </w:t>
      </w:r>
      <w:proofErr w:type="spellStart"/>
      <w:r>
        <w:t>microcentrifuges</w:t>
      </w:r>
      <w:proofErr w:type="spellEnd"/>
      <w:r>
        <w:t>; and, low</w:t>
      </w:r>
      <w:r>
        <w:rPr>
          <w:spacing w:val="-14"/>
        </w:rPr>
        <w:t xml:space="preserve"> </w:t>
      </w:r>
      <w:r>
        <w:t>temperature</w:t>
      </w:r>
      <w:r>
        <w:rPr>
          <w:spacing w:val="-8"/>
        </w:rPr>
        <w:t xml:space="preserve"> </w:t>
      </w:r>
      <w:r>
        <w:t>storage</w:t>
      </w:r>
      <w:r>
        <w:rPr>
          <w:spacing w:val="-6"/>
        </w:rPr>
        <w:t xml:space="preserve"> </w:t>
      </w:r>
      <w:r>
        <w:t xml:space="preserve">units, </w:t>
      </w:r>
      <w:r>
        <w:rPr>
          <w:i/>
        </w:rPr>
        <w:t>e.g.</w:t>
      </w:r>
      <w:r>
        <w:rPr>
          <w:i/>
          <w:spacing w:val="-4"/>
        </w:rPr>
        <w:t xml:space="preserve"> </w:t>
      </w:r>
      <w:r>
        <w:t>chiller cabinets</w:t>
      </w:r>
      <w:r>
        <w:rPr>
          <w:spacing w:val="-1"/>
        </w:rPr>
        <w:t xml:space="preserve"> </w:t>
      </w:r>
      <w:r>
        <w:t>and</w:t>
      </w:r>
      <w:r>
        <w:rPr>
          <w:spacing w:val="-13"/>
        </w:rPr>
        <w:t xml:space="preserve"> </w:t>
      </w:r>
      <w:r>
        <w:t>refrigerator</w:t>
      </w:r>
      <w:r>
        <w:rPr>
          <w:spacing w:val="-8"/>
        </w:rPr>
        <w:t xml:space="preserve"> </w:t>
      </w:r>
      <w:r>
        <w:t>(4</w:t>
      </w:r>
      <w:r>
        <w:rPr>
          <w:spacing w:val="-13"/>
        </w:rPr>
        <w:t xml:space="preserve"> </w:t>
      </w:r>
      <w:r>
        <w:t>˚C)</w:t>
      </w:r>
      <w:r>
        <w:rPr>
          <w:spacing w:val="-5"/>
        </w:rPr>
        <w:t xml:space="preserve"> </w:t>
      </w:r>
      <w:r>
        <w:t>and</w:t>
      </w:r>
      <w:r>
        <w:rPr>
          <w:spacing w:val="-15"/>
        </w:rPr>
        <w:t xml:space="preserve"> </w:t>
      </w:r>
      <w:r>
        <w:t>freezers</w:t>
      </w:r>
      <w:r>
        <w:rPr>
          <w:spacing w:val="-8"/>
        </w:rPr>
        <w:t xml:space="preserve"> </w:t>
      </w:r>
      <w:r>
        <w:t>(-20</w:t>
      </w:r>
      <w:r>
        <w:rPr>
          <w:spacing w:val="-3"/>
        </w:rPr>
        <w:t xml:space="preserve"> </w:t>
      </w:r>
      <w:r>
        <w:t>and</w:t>
      </w:r>
      <w:r>
        <w:rPr>
          <w:spacing w:val="-9"/>
        </w:rPr>
        <w:t xml:space="preserve"> </w:t>
      </w:r>
      <w:r>
        <w:t>-80</w:t>
      </w:r>
      <w:r>
        <w:rPr>
          <w:spacing w:val="-37"/>
        </w:rPr>
        <w:t xml:space="preserve"> </w:t>
      </w:r>
      <w:r>
        <w:t>˚C).</w:t>
      </w:r>
    </w:p>
    <w:p w:rsidR="00240544" w:rsidRDefault="00240544" w:rsidP="00240544">
      <w:pPr>
        <w:pStyle w:val="BodyText"/>
        <w:spacing w:before="5"/>
      </w:pPr>
    </w:p>
    <w:p w:rsidR="00240544" w:rsidRDefault="00240544" w:rsidP="00240544">
      <w:pPr>
        <w:pStyle w:val="BodyText"/>
        <w:spacing w:line="235" w:lineRule="auto"/>
        <w:ind w:left="577" w:right="690"/>
        <w:jc w:val="both"/>
      </w:pPr>
      <w:proofErr w:type="spellStart"/>
      <w:r>
        <w:rPr>
          <w:b/>
          <w:u w:val="thick"/>
        </w:rPr>
        <w:t>Lowen</w:t>
      </w:r>
      <w:proofErr w:type="spellEnd"/>
      <w:r>
        <w:rPr>
          <w:b/>
          <w:u w:val="thick"/>
        </w:rPr>
        <w:t xml:space="preserve"> Laboratory</w:t>
      </w:r>
      <w:r>
        <w:rPr>
          <w:b/>
        </w:rPr>
        <w:t xml:space="preserve">: </w:t>
      </w:r>
      <w:r>
        <w:t xml:space="preserve">Dr. </w:t>
      </w:r>
      <w:proofErr w:type="spellStart"/>
      <w:r>
        <w:t>Lowen’s</w:t>
      </w:r>
      <w:proofErr w:type="spellEnd"/>
      <w:r>
        <w:t xml:space="preserve"> laboratory is located on the third floor of the Rollins Research Center and is fully equipped for molecular and cellular biology experiments. Major equipment includes two laminar flow </w:t>
      </w:r>
      <w:r>
        <w:rPr>
          <w:position w:val="2"/>
        </w:rPr>
        <w:t>hoods, CO</w:t>
      </w:r>
      <w:r>
        <w:rPr>
          <w:sz w:val="14"/>
        </w:rPr>
        <w:t xml:space="preserve">2 </w:t>
      </w:r>
      <w:r>
        <w:rPr>
          <w:position w:val="2"/>
        </w:rPr>
        <w:t xml:space="preserve">incubators, an inverted phase contract microscope, </w:t>
      </w:r>
      <w:proofErr w:type="spellStart"/>
      <w:r>
        <w:rPr>
          <w:position w:val="2"/>
        </w:rPr>
        <w:t>microcentrifuges</w:t>
      </w:r>
      <w:proofErr w:type="spellEnd"/>
      <w:r>
        <w:rPr>
          <w:position w:val="2"/>
        </w:rPr>
        <w:t xml:space="preserve">, a table-top centrifuge, </w:t>
      </w:r>
      <w:r>
        <w:t xml:space="preserve">several electrophoresis systems, water baths, a bacterial culture shaker/incubator, liquid nitrogen tank, and a - 80 ˚C freezer. Additionally, a </w:t>
      </w:r>
      <w:proofErr w:type="spellStart"/>
      <w:r>
        <w:t>BioRad</w:t>
      </w:r>
      <w:proofErr w:type="spellEnd"/>
      <w:r>
        <w:t xml:space="preserve"> </w:t>
      </w:r>
      <w:proofErr w:type="spellStart"/>
      <w:r>
        <w:t>ChemiDoc</w:t>
      </w:r>
      <w:proofErr w:type="spellEnd"/>
      <w:r>
        <w:t xml:space="preserve"> imager, two DNA thermal cyclers, two </w:t>
      </w:r>
      <w:proofErr w:type="spellStart"/>
      <w:r>
        <w:t>BioRad</w:t>
      </w:r>
      <w:proofErr w:type="spellEnd"/>
      <w:r>
        <w:t xml:space="preserve"> real-time </w:t>
      </w:r>
      <w:r>
        <w:rPr>
          <w:spacing w:val="-3"/>
        </w:rPr>
        <w:t xml:space="preserve">PCR </w:t>
      </w:r>
      <w:r>
        <w:t>instruments with 384-well capability, and a new droplet digital PCR instrument (</w:t>
      </w:r>
      <w:proofErr w:type="spellStart"/>
      <w:r>
        <w:t>BioRad</w:t>
      </w:r>
      <w:proofErr w:type="spellEnd"/>
      <w:r>
        <w:t xml:space="preserve"> QX200) are located in Dr. </w:t>
      </w:r>
      <w:proofErr w:type="spellStart"/>
      <w:r>
        <w:t>Lowen’s</w:t>
      </w:r>
      <w:proofErr w:type="spellEnd"/>
      <w:r>
        <w:t xml:space="preserve"> laboratory. </w:t>
      </w:r>
      <w:proofErr w:type="spellStart"/>
      <w:r>
        <w:t>BioRad</w:t>
      </w:r>
      <w:proofErr w:type="spellEnd"/>
      <w:r>
        <w:t xml:space="preserve"> </w:t>
      </w:r>
      <w:proofErr w:type="spellStart"/>
      <w:r>
        <w:t>GenePulser</w:t>
      </w:r>
      <w:proofErr w:type="spellEnd"/>
      <w:r>
        <w:t xml:space="preserve"> </w:t>
      </w:r>
      <w:proofErr w:type="spellStart"/>
      <w:r>
        <w:t>Xcell</w:t>
      </w:r>
      <w:proofErr w:type="spellEnd"/>
      <w:r>
        <w:t xml:space="preserve"> and </w:t>
      </w:r>
      <w:proofErr w:type="spellStart"/>
      <w:r>
        <w:t>Lonza</w:t>
      </w:r>
      <w:proofErr w:type="spellEnd"/>
      <w:r>
        <w:t xml:space="preserve"> </w:t>
      </w:r>
      <w:proofErr w:type="spellStart"/>
      <w:r>
        <w:t>Nucleofector</w:t>
      </w:r>
      <w:proofErr w:type="spellEnd"/>
      <w:r>
        <w:t xml:space="preserve"> devices for </w:t>
      </w:r>
      <w:proofErr w:type="spellStart"/>
      <w:r>
        <w:t>electroporation</w:t>
      </w:r>
      <w:proofErr w:type="spellEnd"/>
      <w:r>
        <w:t xml:space="preserve"> of cells are available in an adjacent lab. A </w:t>
      </w:r>
      <w:proofErr w:type="spellStart"/>
      <w:r>
        <w:t>Zeiss</w:t>
      </w:r>
      <w:proofErr w:type="spellEnd"/>
      <w:r>
        <w:t xml:space="preserve"> fluorescent microscope with digital recording system is available in the department, and the lab has full access to a Becton Dickenson FACS </w:t>
      </w:r>
      <w:proofErr w:type="spellStart"/>
      <w:r>
        <w:t>Calibur</w:t>
      </w:r>
      <w:proofErr w:type="spellEnd"/>
      <w:r>
        <w:t xml:space="preserve"> flow </w:t>
      </w:r>
      <w:proofErr w:type="spellStart"/>
      <w:r>
        <w:t>cytometer</w:t>
      </w:r>
      <w:proofErr w:type="spellEnd"/>
      <w:r>
        <w:t xml:space="preserve"> that is located down the hall. An ultracentrifuge and darkroom facilities are located within 100 feet of</w:t>
      </w:r>
      <w:r>
        <w:rPr>
          <w:spacing w:val="-16"/>
        </w:rPr>
        <w:t xml:space="preserve"> </w:t>
      </w:r>
      <w:proofErr w:type="spellStart"/>
      <w:r>
        <w:t>thelab</w:t>
      </w:r>
      <w:proofErr w:type="spellEnd"/>
      <w:r>
        <w:t>.</w:t>
      </w:r>
    </w:p>
    <w:p w:rsidR="00240544" w:rsidRDefault="00240544" w:rsidP="00240544">
      <w:pPr>
        <w:pStyle w:val="BodyText"/>
        <w:spacing w:before="194"/>
        <w:ind w:left="577" w:right="697"/>
        <w:jc w:val="both"/>
      </w:pPr>
      <w:r>
        <w:rPr>
          <w:b/>
          <w:u w:val="thick"/>
        </w:rPr>
        <w:t>Departmental Shared Equipment</w:t>
      </w:r>
      <w:r>
        <w:rPr>
          <w:b/>
        </w:rPr>
        <w:t xml:space="preserve">: </w:t>
      </w:r>
      <w:r>
        <w:t xml:space="preserve">To support X-ray crystallographic studies, the </w:t>
      </w:r>
      <w:r>
        <w:lastRenderedPageBreak/>
        <w:t xml:space="preserve">Biochemistry Department provides a state-of-the-art facility for automated crystallization and ‘in-house’ X-ray data collection to support the research programs of three structural biology groups (led by Drs. Conn, Eric </w:t>
      </w:r>
      <w:proofErr w:type="spellStart"/>
      <w:r>
        <w:t>Ortlund</w:t>
      </w:r>
      <w:proofErr w:type="spellEnd"/>
      <w:r>
        <w:t xml:space="preserve">, and Christine Dunham). This equipment is housed in dedicated laboratory space within the Rollins Research Center and includes a Phoenix </w:t>
      </w:r>
      <w:proofErr w:type="spellStart"/>
      <w:r>
        <w:t>nanoliter</w:t>
      </w:r>
      <w:proofErr w:type="spellEnd"/>
      <w:r>
        <w:t xml:space="preserve"> dispensing crystallization robot (Art Robbins Instruments), a Formulator liquid handling robot (</w:t>
      </w:r>
      <w:proofErr w:type="spellStart"/>
      <w:r>
        <w:t>Formulatrix</w:t>
      </w:r>
      <w:proofErr w:type="spellEnd"/>
      <w:r>
        <w:t xml:space="preserve">) for crystal optimization, and a </w:t>
      </w:r>
      <w:proofErr w:type="spellStart"/>
      <w:r>
        <w:t>Rigaku</w:t>
      </w:r>
      <w:proofErr w:type="spellEnd"/>
      <w:r>
        <w:t xml:space="preserve"> MicroMax007HF generator with an ACTOR automated crystal mounting robot, </w:t>
      </w:r>
      <w:proofErr w:type="spellStart"/>
      <w:r>
        <w:t>Varimax</w:t>
      </w:r>
      <w:proofErr w:type="spellEnd"/>
      <w:r>
        <w:t xml:space="preserve">-HF optics, a Saturn 944+ </w:t>
      </w:r>
      <w:r>
        <w:rPr>
          <w:spacing w:val="-2"/>
        </w:rPr>
        <w:t xml:space="preserve">CCD </w:t>
      </w:r>
      <w:r>
        <w:t xml:space="preserve">detector, and Oxford </w:t>
      </w:r>
      <w:proofErr w:type="spellStart"/>
      <w:r>
        <w:t>Cryosystem</w:t>
      </w:r>
      <w:proofErr w:type="spellEnd"/>
      <w:r>
        <w:t xml:space="preserve"> X- Stream system. Adjacent to these facilities is an extensive molecular graphics area with dedicated space for computers for X-ray data processing, model building, and refinement. Emory is also a member of </w:t>
      </w:r>
      <w:r>
        <w:rPr>
          <w:b/>
          <w:u w:val="thick"/>
        </w:rPr>
        <w:t>SER-CAT</w:t>
      </w:r>
      <w:r>
        <w:rPr>
          <w:b/>
        </w:rPr>
        <w:t xml:space="preserve"> </w:t>
      </w:r>
      <w:r>
        <w:t>(Southeast Regional Collaborative Access Team) at the Advanced Photon Source (APS), providing 12 days ID (</w:t>
      </w:r>
      <w:proofErr w:type="spellStart"/>
      <w:r>
        <w:t>undulator</w:t>
      </w:r>
      <w:proofErr w:type="spellEnd"/>
      <w:r>
        <w:t xml:space="preserve"> insertion device) </w:t>
      </w:r>
      <w:proofErr w:type="spellStart"/>
      <w:r>
        <w:t>beamtime</w:t>
      </w:r>
      <w:proofErr w:type="spellEnd"/>
      <w:r>
        <w:t xml:space="preserve"> and 12 days of BM (bending magnet) </w:t>
      </w:r>
      <w:proofErr w:type="spellStart"/>
      <w:r>
        <w:t>beamtime</w:t>
      </w:r>
      <w:proofErr w:type="spellEnd"/>
      <w:r>
        <w:t xml:space="preserve"> per year to the Biochemistry X-ray crystallography</w:t>
      </w:r>
      <w:r>
        <w:rPr>
          <w:spacing w:val="-11"/>
        </w:rPr>
        <w:t xml:space="preserve"> </w:t>
      </w:r>
      <w:r>
        <w:t>groups.</w:t>
      </w:r>
    </w:p>
    <w:p w:rsidR="00240544" w:rsidRDefault="00240544" w:rsidP="00240544">
      <w:pPr>
        <w:pStyle w:val="BodyText"/>
        <w:spacing w:before="197" w:line="237" w:lineRule="auto"/>
        <w:ind w:left="580" w:right="699" w:hanging="3"/>
        <w:jc w:val="both"/>
      </w:pPr>
      <w:r>
        <w:t xml:space="preserve">For recording and </w:t>
      </w:r>
      <w:proofErr w:type="spellStart"/>
      <w:r>
        <w:t>quantitation</w:t>
      </w:r>
      <w:proofErr w:type="spellEnd"/>
      <w:r>
        <w:t xml:space="preserve"> of OAS assays using </w:t>
      </w:r>
      <w:r>
        <w:rPr>
          <w:position w:val="8"/>
          <w:sz w:val="14"/>
        </w:rPr>
        <w:t>32</w:t>
      </w:r>
      <w:r>
        <w:t xml:space="preserve">P or fluorescently labeled RNAs, we have access to two imaging systems: a GE </w:t>
      </w:r>
      <w:r>
        <w:rPr>
          <w:b/>
          <w:u w:val="thick"/>
        </w:rPr>
        <w:t>Typhoon FLA9000</w:t>
      </w:r>
      <w:r>
        <w:rPr>
          <w:b/>
        </w:rPr>
        <w:t xml:space="preserve"> </w:t>
      </w:r>
      <w:r>
        <w:t xml:space="preserve">(for </w:t>
      </w:r>
      <w:r>
        <w:rPr>
          <w:position w:val="8"/>
          <w:sz w:val="14"/>
        </w:rPr>
        <w:t>32</w:t>
      </w:r>
      <w:r>
        <w:t>P only) in the Department of Biochemistry and a GE  Typhoon Trio variable mode imager system (</w:t>
      </w:r>
      <w:r>
        <w:rPr>
          <w:position w:val="8"/>
          <w:sz w:val="14"/>
        </w:rPr>
        <w:t>32</w:t>
      </w:r>
      <w:r>
        <w:t xml:space="preserve">P and multi-color fluorescence) located in the Department </w:t>
      </w:r>
      <w:r>
        <w:rPr>
          <w:spacing w:val="-3"/>
        </w:rPr>
        <w:t>of</w:t>
      </w:r>
      <w:r>
        <w:rPr>
          <w:spacing w:val="55"/>
        </w:rPr>
        <w:t xml:space="preserve"> </w:t>
      </w:r>
      <w:r>
        <w:t xml:space="preserve">Microbiology and Immunology on the third floor of the Rollins Research Center building (adjacent to </w:t>
      </w:r>
      <w:r>
        <w:rPr>
          <w:spacing w:val="-6"/>
        </w:rPr>
        <w:t xml:space="preserve">Dr. </w:t>
      </w:r>
      <w:proofErr w:type="spellStart"/>
      <w:r>
        <w:t>Lowen’s</w:t>
      </w:r>
      <w:proofErr w:type="spellEnd"/>
      <w:r>
        <w:t xml:space="preserve"> laboratory).</w:t>
      </w:r>
    </w:p>
    <w:p w:rsidR="00240544" w:rsidRDefault="00240544" w:rsidP="00240544">
      <w:pPr>
        <w:pStyle w:val="BodyText"/>
        <w:spacing w:before="197"/>
        <w:ind w:left="580" w:right="703"/>
        <w:jc w:val="both"/>
      </w:pPr>
      <w:r>
        <w:t>Additional shared laboratory areas immediately adjacent to the Conn Lab house equipment available as needed for this project, including preparative and ultracentrifuges, autoclaves, DNA/protein gel-imaging system, scintillation counter, and X-ray film developer. Another shared gel imaging system, scintillation counter, and X-ray developer are available as in the Department, adjacent to the X-ray crystallography suite on the ground floor of the Rollins Research Center</w:t>
      </w:r>
      <w:r>
        <w:rPr>
          <w:spacing w:val="-18"/>
        </w:rPr>
        <w:t xml:space="preserve"> </w:t>
      </w:r>
      <w:r>
        <w:t>building.</w:t>
      </w:r>
    </w:p>
    <w:p w:rsidR="00240544" w:rsidRDefault="00240544" w:rsidP="00240544">
      <w:pPr>
        <w:pStyle w:val="Heading3"/>
        <w:jc w:val="both"/>
        <w:rPr>
          <w:b w:val="0"/>
        </w:rPr>
      </w:pPr>
      <w:bookmarkStart w:id="8" w:name="Emory_Core_Facilities:"/>
      <w:bookmarkEnd w:id="8"/>
      <w:r>
        <w:rPr>
          <w:u w:val="thick"/>
        </w:rPr>
        <w:t>Emory Core Facilities</w:t>
      </w:r>
      <w:r>
        <w:rPr>
          <w:b w:val="0"/>
        </w:rPr>
        <w:t>:</w:t>
      </w:r>
    </w:p>
    <w:p w:rsidR="00240544" w:rsidRDefault="00240544" w:rsidP="00240544">
      <w:pPr>
        <w:pStyle w:val="BodyText"/>
        <w:spacing w:before="203"/>
        <w:ind w:left="580"/>
        <w:jc w:val="both"/>
      </w:pPr>
      <w:r>
        <w:t>The following core facilities house equipment that I will use during the course of my project:</w:t>
      </w:r>
    </w:p>
    <w:p w:rsidR="00240544" w:rsidRDefault="00240544" w:rsidP="00240544">
      <w:pPr>
        <w:pStyle w:val="BodyText"/>
        <w:spacing w:before="196"/>
        <w:ind w:left="577" w:right="693"/>
        <w:jc w:val="both"/>
      </w:pPr>
      <w:r>
        <w:pict>
          <v:line id="_x0000_s1026" style="position:absolute;left:0;text-align:left;z-index:-251656192;mso-position-horizontal-relative:page" from="435.2pt,34.4pt" to="549.55pt,34.4pt" strokeweight="1.2pt">
            <w10:wrap anchorx="page"/>
          </v:line>
        </w:pict>
      </w:r>
      <w:r>
        <w:rPr>
          <w:b/>
          <w:i/>
          <w:u w:val="thick"/>
        </w:rPr>
        <w:t>Emory Chemical Biology Discovery Center (ECBDC)</w:t>
      </w:r>
      <w:r>
        <w:rPr>
          <w:b/>
        </w:rPr>
        <w:t xml:space="preserve">: </w:t>
      </w:r>
      <w:r>
        <w:t xml:space="preserve">For analysis of OAS1 interaction with </w:t>
      </w:r>
      <w:proofErr w:type="spellStart"/>
      <w:r>
        <w:t>dsRNAs</w:t>
      </w:r>
      <w:proofErr w:type="spellEnd"/>
      <w:r>
        <w:t xml:space="preserve">, we have access to a high-throughput bio-layer </w:t>
      </w:r>
      <w:proofErr w:type="spellStart"/>
      <w:r>
        <w:t>interferometry</w:t>
      </w:r>
      <w:proofErr w:type="spellEnd"/>
      <w:r>
        <w:t xml:space="preserve"> (BLI) instrument, the </w:t>
      </w:r>
      <w:proofErr w:type="spellStart"/>
      <w:r>
        <w:rPr>
          <w:b/>
        </w:rPr>
        <w:t>FortéBIO</w:t>
      </w:r>
      <w:proofErr w:type="spellEnd"/>
      <w:r>
        <w:rPr>
          <w:b/>
        </w:rPr>
        <w:t xml:space="preserve"> </w:t>
      </w:r>
      <w:proofErr w:type="spellStart"/>
      <w:r>
        <w:rPr>
          <w:b/>
        </w:rPr>
        <w:t>OctetRED</w:t>
      </w:r>
      <w:proofErr w:type="spellEnd"/>
      <w:r>
        <w:rPr>
          <w:b/>
          <w:position w:val="8"/>
          <w:sz w:val="14"/>
        </w:rPr>
        <w:t>384</w:t>
      </w:r>
      <w:r>
        <w:t xml:space="preserve">. The ECBDC is located in the adjacent building to the Rollins Research Center (&lt;1 minute walk via an internal connecting bridge). Further info: </w:t>
      </w:r>
      <w:hyperlink r:id="rId7">
        <w:r>
          <w:rPr>
            <w:color w:val="0000FF"/>
            <w:u w:val="single" w:color="0000FF"/>
          </w:rPr>
          <w:t>http://www.pharm.emory.edu/ECBDC/</w:t>
        </w:r>
      </w:hyperlink>
      <w:r>
        <w:t>.</w:t>
      </w:r>
    </w:p>
    <w:p w:rsidR="00240544" w:rsidRDefault="00240544" w:rsidP="00240544">
      <w:pPr>
        <w:pStyle w:val="BodyText"/>
        <w:spacing w:before="195"/>
        <w:ind w:left="579" w:right="698"/>
        <w:jc w:val="both"/>
      </w:pPr>
      <w:r>
        <w:rPr>
          <w:b/>
          <w:i/>
          <w:u w:val="thick"/>
        </w:rPr>
        <w:t>Emory HDX-MS Core</w:t>
      </w:r>
      <w:r>
        <w:rPr>
          <w:b/>
        </w:rPr>
        <w:t xml:space="preserve">: </w:t>
      </w:r>
      <w:r>
        <w:t xml:space="preserve">This newly established </w:t>
      </w:r>
      <w:r>
        <w:rPr>
          <w:b/>
          <w:u w:val="thick"/>
        </w:rPr>
        <w:t>HDX-MS facility</w:t>
      </w:r>
      <w:r>
        <w:rPr>
          <w:b/>
        </w:rPr>
        <w:t xml:space="preserve"> </w:t>
      </w:r>
      <w:r>
        <w:t xml:space="preserve">is located in the Department of Pediatrics in the Emory </w:t>
      </w:r>
      <w:proofErr w:type="spellStart"/>
      <w:r>
        <w:t>Childrens</w:t>
      </w:r>
      <w:proofErr w:type="spellEnd"/>
      <w:r>
        <w:t xml:space="preserve">’ Center (~5 minute walk from the Rollins Research Center) on the Emory Clifton Road Campus. The instrument consists of an </w:t>
      </w:r>
      <w:r>
        <w:rPr>
          <w:color w:val="101010"/>
        </w:rPr>
        <w:t xml:space="preserve">ACQUITY UPLC System with </w:t>
      </w:r>
      <w:r>
        <w:rPr>
          <w:color w:val="101010"/>
          <w:spacing w:val="-2"/>
        </w:rPr>
        <w:t xml:space="preserve">HDX </w:t>
      </w:r>
      <w:r>
        <w:rPr>
          <w:color w:val="101010"/>
        </w:rPr>
        <w:t xml:space="preserve">Manager and automatic sampler paired with a Waters </w:t>
      </w:r>
      <w:r>
        <w:t xml:space="preserve">Q-TOF Premier mass spectrometer </w:t>
      </w:r>
      <w:r>
        <w:rPr>
          <w:color w:val="101010"/>
        </w:rPr>
        <w:t xml:space="preserve">capable of a maximum resolution of 1/17,500 </w:t>
      </w:r>
      <w:r>
        <w:rPr>
          <w:color w:val="101010"/>
          <w:spacing w:val="-3"/>
        </w:rPr>
        <w:t>Da.</w:t>
      </w:r>
      <w:r>
        <w:rPr>
          <w:color w:val="101010"/>
          <w:spacing w:val="55"/>
        </w:rPr>
        <w:t xml:space="preserve"> </w:t>
      </w:r>
      <w:proofErr w:type="spellStart"/>
      <w:r>
        <w:rPr>
          <w:color w:val="101010"/>
        </w:rPr>
        <w:t>Masslynx</w:t>
      </w:r>
      <w:proofErr w:type="spellEnd"/>
      <w:r>
        <w:rPr>
          <w:color w:val="101010"/>
        </w:rPr>
        <w:t xml:space="preserve"> 4.1, </w:t>
      </w:r>
      <w:proofErr w:type="spellStart"/>
      <w:r>
        <w:rPr>
          <w:color w:val="101010"/>
        </w:rPr>
        <w:t>ProteinLynx</w:t>
      </w:r>
      <w:proofErr w:type="spellEnd"/>
      <w:r>
        <w:rPr>
          <w:color w:val="101010"/>
        </w:rPr>
        <w:t xml:space="preserve"> Global SERVER™ (PLGS 3.0), and </w:t>
      </w:r>
      <w:proofErr w:type="spellStart"/>
      <w:r>
        <w:rPr>
          <w:color w:val="101010"/>
        </w:rPr>
        <w:t>Dynamix</w:t>
      </w:r>
      <w:proofErr w:type="spellEnd"/>
      <w:r>
        <w:rPr>
          <w:color w:val="101010"/>
        </w:rPr>
        <w:t xml:space="preserve"> 3.2 software packages control the instrument and HDX-MS analysis. </w:t>
      </w:r>
      <w:r>
        <w:t xml:space="preserve">The instrument collects an H/D exchange data profile after each sample injection, with as many as 50 sequential injections setup in one experiment using the </w:t>
      </w:r>
      <w:proofErr w:type="spellStart"/>
      <w:r>
        <w:t>autosampler</w:t>
      </w:r>
      <w:proofErr w:type="spellEnd"/>
      <w:r>
        <w:rPr>
          <w:spacing w:val="-38"/>
        </w:rPr>
        <w:t xml:space="preserve"> </w:t>
      </w:r>
      <w:r>
        <w:t>program.</w:t>
      </w:r>
    </w:p>
    <w:p w:rsidR="00240544" w:rsidRDefault="00240544" w:rsidP="00240544">
      <w:pPr>
        <w:spacing w:before="202"/>
        <w:ind w:left="579" w:right="702"/>
        <w:jc w:val="both"/>
        <w:rPr>
          <w:i/>
        </w:rPr>
      </w:pPr>
      <w:r>
        <w:rPr>
          <w:b/>
          <w:i/>
          <w:sz w:val="22"/>
          <w:u w:val="thick"/>
        </w:rPr>
        <w:lastRenderedPageBreak/>
        <w:t>Emory Integrated Genomics Core (EIGC)</w:t>
      </w:r>
      <w:r>
        <w:rPr>
          <w:b/>
          <w:i/>
          <w:sz w:val="22"/>
        </w:rPr>
        <w:t xml:space="preserve">: </w:t>
      </w:r>
      <w:r>
        <w:rPr>
          <w:sz w:val="22"/>
        </w:rPr>
        <w:t xml:space="preserve">For analysis of </w:t>
      </w:r>
      <w:proofErr w:type="spellStart"/>
      <w:r>
        <w:rPr>
          <w:sz w:val="22"/>
        </w:rPr>
        <w:t>RNase</w:t>
      </w:r>
      <w:proofErr w:type="spellEnd"/>
      <w:r>
        <w:rPr>
          <w:sz w:val="22"/>
        </w:rPr>
        <w:t xml:space="preserve"> L activation in cell assays the </w:t>
      </w:r>
      <w:r>
        <w:rPr>
          <w:b/>
          <w:sz w:val="22"/>
          <w:u w:val="thick"/>
        </w:rPr>
        <w:t>Agilent</w:t>
      </w:r>
      <w:r>
        <w:rPr>
          <w:b/>
          <w:sz w:val="22"/>
        </w:rPr>
        <w:t xml:space="preserve">  </w:t>
      </w:r>
      <w:r>
        <w:rPr>
          <w:b/>
          <w:sz w:val="22"/>
          <w:u w:val="thick"/>
        </w:rPr>
        <w:t xml:space="preserve">2100 </w:t>
      </w:r>
      <w:proofErr w:type="spellStart"/>
      <w:r>
        <w:rPr>
          <w:b/>
          <w:sz w:val="22"/>
          <w:u w:val="thick"/>
        </w:rPr>
        <w:t>Bioanalyzer</w:t>
      </w:r>
      <w:proofErr w:type="spellEnd"/>
      <w:r>
        <w:rPr>
          <w:b/>
          <w:sz w:val="22"/>
        </w:rPr>
        <w:t xml:space="preserve"> </w:t>
      </w:r>
      <w:r>
        <w:rPr>
          <w:sz w:val="22"/>
        </w:rPr>
        <w:t xml:space="preserve">on a chip platform is available through the EIGC. This system allows for rapid quantification of nucleic samples (here, ribosomal RNA using the RNA </w:t>
      </w:r>
      <w:proofErr w:type="spellStart"/>
      <w:r>
        <w:rPr>
          <w:sz w:val="22"/>
        </w:rPr>
        <w:t>nano</w:t>
      </w:r>
      <w:proofErr w:type="spellEnd"/>
      <w:r>
        <w:rPr>
          <w:sz w:val="22"/>
        </w:rPr>
        <w:t xml:space="preserve"> chip) and information about the size distribution of the fragments. Further info:</w:t>
      </w:r>
      <w:r>
        <w:rPr>
          <w:spacing w:val="-11"/>
          <w:sz w:val="22"/>
        </w:rPr>
        <w:t xml:space="preserve"> </w:t>
      </w:r>
      <w:hyperlink r:id="rId8">
        <w:r>
          <w:rPr>
            <w:i/>
            <w:color w:val="0000FF"/>
            <w:sz w:val="22"/>
            <w:u w:val="single" w:color="0000FF"/>
          </w:rPr>
          <w:t>http://cores.emory.edu/eigc/</w:t>
        </w:r>
      </w:hyperlink>
      <w:r>
        <w:rPr>
          <w:i/>
          <w:sz w:val="22"/>
        </w:rPr>
        <w:t>.</w:t>
      </w:r>
    </w:p>
    <w:p w:rsidR="00240544" w:rsidRDefault="00240544" w:rsidP="00240544">
      <w:pPr>
        <w:pStyle w:val="BodyText"/>
        <w:spacing w:before="203" w:line="230" w:lineRule="auto"/>
        <w:ind w:left="579" w:right="698"/>
        <w:jc w:val="both"/>
      </w:pPr>
      <w:r>
        <w:rPr>
          <w:b/>
          <w:i/>
          <w:u w:val="thick"/>
        </w:rPr>
        <w:t xml:space="preserve">Emory Comprehensive </w:t>
      </w:r>
      <w:proofErr w:type="spellStart"/>
      <w:r>
        <w:rPr>
          <w:b/>
          <w:i/>
          <w:u w:val="thick"/>
        </w:rPr>
        <w:t>Glycomics</w:t>
      </w:r>
      <w:proofErr w:type="spellEnd"/>
      <w:r>
        <w:rPr>
          <w:b/>
          <w:i/>
          <w:u w:val="thick"/>
        </w:rPr>
        <w:t xml:space="preserve"> Core (ECGC)</w:t>
      </w:r>
      <w:r>
        <w:rPr>
          <w:b/>
        </w:rPr>
        <w:t xml:space="preserve">: </w:t>
      </w:r>
      <w:r>
        <w:t xml:space="preserve">The ECGC houses additional equipment potentially relevant to this proposal in a dedicated laboratory in the same hall as the Conn lab on the fourth floor of the Rollins Research Center building. Specifically, for measurement of molecular interactions, we have available a shared a GE </w:t>
      </w:r>
      <w:proofErr w:type="spellStart"/>
      <w:r>
        <w:t>Biacore</w:t>
      </w:r>
      <w:proofErr w:type="spellEnd"/>
      <w:r>
        <w:t xml:space="preserve"> X-100 surface </w:t>
      </w:r>
      <w:proofErr w:type="spellStart"/>
      <w:r>
        <w:t>plasmon</w:t>
      </w:r>
      <w:proofErr w:type="spellEnd"/>
      <w:r>
        <w:t xml:space="preserve"> resonance (SPR) instrument and also an automated small cell </w:t>
      </w:r>
      <w:r>
        <w:rPr>
          <w:position w:val="2"/>
        </w:rPr>
        <w:t xml:space="preserve">isothermal titration calorimeter (Malvern/ </w:t>
      </w:r>
      <w:proofErr w:type="spellStart"/>
      <w:r>
        <w:rPr>
          <w:position w:val="2"/>
        </w:rPr>
        <w:t>MicroCal</w:t>
      </w:r>
      <w:proofErr w:type="spellEnd"/>
      <w:r>
        <w:rPr>
          <w:position w:val="2"/>
        </w:rPr>
        <w:t xml:space="preserve"> Auto-</w:t>
      </w:r>
      <w:proofErr w:type="spellStart"/>
      <w:r>
        <w:rPr>
          <w:position w:val="2"/>
        </w:rPr>
        <w:t>iTC</w:t>
      </w:r>
      <w:proofErr w:type="spellEnd"/>
      <w:r>
        <w:rPr>
          <w:sz w:val="14"/>
        </w:rPr>
        <w:t>200</w:t>
      </w:r>
      <w:r>
        <w:rPr>
          <w:position w:val="2"/>
        </w:rPr>
        <w:t xml:space="preserve">). These instruments are maintained under </w:t>
      </w:r>
      <w:r>
        <w:t>service agreements by the ECGC to ensure instrument availability.</w:t>
      </w:r>
    </w:p>
    <w:p w:rsidR="00240544" w:rsidRDefault="00240544" w:rsidP="00240544">
      <w:pPr>
        <w:spacing w:line="244" w:lineRule="exact"/>
        <w:ind w:left="580"/>
        <w:jc w:val="both"/>
      </w:pPr>
      <w:r>
        <w:rPr>
          <w:sz w:val="22"/>
        </w:rPr>
        <w:t xml:space="preserve">Further info: </w:t>
      </w:r>
      <w:hyperlink r:id="rId9">
        <w:r>
          <w:rPr>
            <w:i/>
            <w:color w:val="0000FF"/>
            <w:sz w:val="22"/>
            <w:u w:val="single" w:color="0000FF"/>
          </w:rPr>
          <w:t>http://www.cores.emory.edu/ecgc/</w:t>
        </w:r>
      </w:hyperlink>
      <w:r>
        <w:rPr>
          <w:sz w:val="22"/>
        </w:rPr>
        <w:t>.</w:t>
      </w:r>
    </w:p>
    <w:p w:rsidR="0052327B" w:rsidRDefault="0052327B" w:rsidP="0052327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466451" w:rsidRDefault="00466451" w:rsidP="0052327B">
      <w:pPr>
        <w:pStyle w:val="paragraph"/>
        <w:spacing w:before="0" w:beforeAutospacing="0" w:after="0" w:afterAutospacing="0"/>
        <w:textAlignment w:val="baseline"/>
      </w:pPr>
    </w:p>
    <w:sectPr w:rsidR="00466451" w:rsidSect="00466451">
      <w:footerReference w:type="default" r:id="rId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DFB" w:rsidRDefault="00A22E5A">
    <w:pPr>
      <w:pStyle w:val="BodyText"/>
      <w:spacing w:line="14" w:lineRule="auto"/>
      <w:rPr>
        <w:sz w:val="20"/>
      </w:rPr>
    </w:pPr>
    <w:r w:rsidRPr="00AD4DFB">
      <w:pict>
        <v:shapetype id="_x0000_t202" coordsize="21600,21600" o:spt="202" path="m,l,21600r21600,l21600,xe">
          <v:stroke joinstyle="miter"/>
          <v:path gradientshapeok="t" o:connecttype="rect"/>
        </v:shapetype>
        <v:shape id="_x0000_s3073" type="#_x0000_t202" style="position:absolute;margin-left:325.5pt;margin-top:759.8pt;width:40.1pt;height:13.15pt;z-index:-251656192;mso-position-horizontal-relative:page;mso-position-vertical-relative:page" filled="f" stroked="f">
          <v:textbox inset="0,0,0,0">
            <w:txbxContent>
              <w:p w:rsidR="00AD4DFB" w:rsidRDefault="00A22E5A">
                <w:pPr>
                  <w:spacing w:before="12"/>
                  <w:ind w:left="20"/>
                  <w:rPr>
                    <w:sz w:val="20"/>
                  </w:rPr>
                </w:pPr>
                <w:r>
                  <w:rPr>
                    <w:sz w:val="20"/>
                  </w:rPr>
                  <w:t xml:space="preserve">Page </w:t>
                </w:r>
                <w:r>
                  <w:fldChar w:fldCharType="begin"/>
                </w:r>
                <w:r>
                  <w:rPr>
                    <w:sz w:val="20"/>
                  </w:rPr>
                  <w:instrText xml:space="preserve"> PAGE </w:instrText>
                </w:r>
                <w:r>
                  <w:fldChar w:fldCharType="separate"/>
                </w:r>
                <w:r w:rsidR="00240544">
                  <w:rPr>
                    <w:noProof/>
                    <w:sz w:val="20"/>
                  </w:rPr>
                  <w:t>2</w:t>
                </w:r>
                <w:r>
                  <w:fldChar w:fldCharType="end"/>
                </w:r>
              </w:p>
            </w:txbxContent>
          </v:textbox>
          <w10:wrap anchorx="page" anchory="page"/>
        </v:shape>
      </w:pict>
    </w:r>
    <w:r w:rsidRPr="00AD4DFB">
      <w:pict>
        <v:shape id="_x0000_s3074" type="#_x0000_t202" style="position:absolute;margin-left:78.8pt;margin-top:762.1pt;width:40.35pt;height:11pt;z-index:-251655168;mso-position-horizontal-relative:page;mso-position-vertical-relative:page" filled="f" stroked="f">
          <v:textbox inset="0,0,0,0">
            <w:txbxContent>
              <w:p w:rsidR="00AD4DFB" w:rsidRDefault="00A22E5A">
                <w:pPr>
                  <w:spacing w:before="15"/>
                  <w:ind w:left="20"/>
                  <w:rPr>
                    <w:sz w:val="16"/>
                  </w:rPr>
                </w:pPr>
                <w:r>
                  <w:rPr>
                    <w:sz w:val="16"/>
                  </w:rPr>
                  <w:t>Equipment</w:t>
                </w:r>
              </w:p>
            </w:txbxContent>
          </v:textbox>
          <w10:wrap anchorx="page" anchory="pag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4098"/>
    <o:shapelayout v:ext="edit">
      <o:idmap v:ext="edit" data="3"/>
    </o:shapelayout>
  </w:hdrShapeDefaults>
  <w:compat/>
  <w:rsids>
    <w:rsidRoot w:val="0032100B"/>
    <w:rsid w:val="00240544"/>
    <w:rsid w:val="0032100B"/>
    <w:rsid w:val="00466451"/>
    <w:rsid w:val="0052327B"/>
    <w:rsid w:val="00620B73"/>
    <w:rsid w:val="00A22E5A"/>
    <w:rsid w:val="00A56886"/>
    <w:rsid w:val="00BA7195"/>
    <w:rsid w:val="00C1780A"/>
    <w:rsid w:val="00CA1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paragraph" w:styleId="Heading3">
    <w:name w:val="heading 3"/>
    <w:basedOn w:val="Normal"/>
    <w:next w:val="Normal"/>
    <w:link w:val="Heading3Char"/>
    <w:uiPriority w:val="9"/>
    <w:semiHidden/>
    <w:unhideWhenUsed/>
    <w:qFormat/>
    <w:rsid w:val="00240544"/>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1"/>
    <w:qFormat/>
    <w:rsid w:val="0052327B"/>
    <w:pPr>
      <w:widowControl w:val="0"/>
      <w:autoSpaceDE w:val="0"/>
      <w:autoSpaceDN w:val="0"/>
      <w:ind w:left="560"/>
      <w:outlineLvl w:val="5"/>
    </w:pPr>
    <w:rPr>
      <w:rFonts w:ascii="Arial" w:eastAsia="Arial" w:hAnsi="Arial" w:cs="Arial"/>
      <w:b/>
      <w:bCs/>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 w:type="character" w:customStyle="1" w:styleId="Heading6Char">
    <w:name w:val="Heading 6 Char"/>
    <w:basedOn w:val="DefaultParagraphFont"/>
    <w:link w:val="Heading6"/>
    <w:uiPriority w:val="1"/>
    <w:rsid w:val="0052327B"/>
    <w:rPr>
      <w:rFonts w:ascii="Arial" w:eastAsia="Arial" w:hAnsi="Arial" w:cs="Arial"/>
      <w:b/>
      <w:bCs/>
      <w:sz w:val="22"/>
      <w:szCs w:val="22"/>
      <w:lang w:bidi="en-US"/>
    </w:rPr>
  </w:style>
  <w:style w:type="paragraph" w:styleId="BodyText">
    <w:name w:val="Body Text"/>
    <w:basedOn w:val="Normal"/>
    <w:link w:val="BodyTextChar"/>
    <w:uiPriority w:val="1"/>
    <w:qFormat/>
    <w:rsid w:val="0052327B"/>
    <w:pPr>
      <w:widowControl w:val="0"/>
      <w:autoSpaceDE w:val="0"/>
      <w:autoSpaceDN w:val="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52327B"/>
    <w:rPr>
      <w:rFonts w:ascii="Arial" w:eastAsia="Arial" w:hAnsi="Arial" w:cs="Arial"/>
      <w:sz w:val="22"/>
      <w:szCs w:val="22"/>
      <w:lang w:bidi="en-US"/>
    </w:rPr>
  </w:style>
  <w:style w:type="character" w:customStyle="1" w:styleId="Heading3Char">
    <w:name w:val="Heading 3 Char"/>
    <w:basedOn w:val="DefaultParagraphFont"/>
    <w:link w:val="Heading3"/>
    <w:uiPriority w:val="9"/>
    <w:semiHidden/>
    <w:rsid w:val="0024054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res.emory.edu/eigc/"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www.pharm.emory.edu/ECBD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aid.nih.gov/sites/default/files/F31-Sample-Application_Samantha-Schwartz.pdf" TargetMode="External"/><Relationship Id="rId11" Type="http://schemas.openxmlformats.org/officeDocument/2006/relationships/fontTable" Target="fontTable.xml"/><Relationship Id="rId5" Type="http://schemas.openxmlformats.org/officeDocument/2006/relationships/hyperlink" Target="https://www.niaid.nih.gov/sites/default/files/F31-sample-application_nico_contreras.pdf" TargetMode="Externa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hyperlink" Target="https://www.niaid.nih.gov/sites/default/files/nicoleputnamapplicationF31.pdf" TargetMode="External"/><Relationship Id="rId9" Type="http://schemas.openxmlformats.org/officeDocument/2006/relationships/hyperlink" Target="http://www.cores.emory.edu/ecgc/"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D44A0C-49FA-4186-94DB-5C2E77066DAC}"/>
</file>

<file path=customXml/itemProps2.xml><?xml version="1.0" encoding="utf-8"?>
<ds:datastoreItem xmlns:ds="http://schemas.openxmlformats.org/officeDocument/2006/customXml" ds:itemID="{46760B25-C92B-418D-AC4D-DC5A7781665A}"/>
</file>

<file path=customXml/itemProps3.xml><?xml version="1.0" encoding="utf-8"?>
<ds:datastoreItem xmlns:ds="http://schemas.openxmlformats.org/officeDocument/2006/customXml" ds:itemID="{3A6DD57C-92AA-421A-8552-3B750C30F1D2}"/>
</file>

<file path=docProps/app.xml><?xml version="1.0" encoding="utf-8"?>
<Properties xmlns="http://schemas.openxmlformats.org/officeDocument/2006/extended-properties" xmlns:vt="http://schemas.openxmlformats.org/officeDocument/2006/docPropsVTypes">
  <Template>Normal</Template>
  <TotalTime>8</TotalTime>
  <Pages>7</Pages>
  <Words>1921</Words>
  <Characters>10951</Characters>
  <Application>Microsoft Office Word</Application>
  <DocSecurity>0</DocSecurity>
  <Lines>91</Lines>
  <Paragraphs>25</Paragraphs>
  <ScaleCrop>false</ScaleCrop>
  <Company>Hewlett-Packard</Company>
  <LinksUpToDate>false</LinksUpToDate>
  <CharactersWithSpaces>12847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4</cp:revision>
  <dcterms:created xsi:type="dcterms:W3CDTF">2020-04-15T16:41:00Z</dcterms:created>
  <dcterms:modified xsi:type="dcterms:W3CDTF">2020-04-15T18:21:00Z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