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PRIVATE MARKETS</w:t>
      </w:r>
    </w:p>
    <w:p>
      <w:pPr>
        <w:pStyle w:val="Subtitle"/>
      </w:pPr>
      <w:r>
        <w:t>PE Decision Intelligence — on Claude</w:t>
      </w:r>
    </w:p>
    <w:p>
      <w:r>
        <w:rPr>
          <w:b/>
          <w:i w:val="0"/>
        </w:rPr>
        <w:t>A generic model can reason. It can’t reason like you.</w:t>
      </w:r>
    </w:p>
    <w:p>
      <w:r>
        <w:rPr>
          <w:i w:val="0"/>
          <w:color w:val="5B6B85"/>
        </w:rPr>
        <w:t>Your firm already runs on Claude Enterprise, every data source wired in — yet the knowledge that actually wins deals still lives outside the model: in people’s heads, old memos, and partner judgement.</w:t>
      </w:r>
    </w:p>
    <w:p>
      <w:pPr>
        <w:pBdr>
          <w:bottom w:val="single" w:sz="6" w:space="1" w:color="D5E2FF"/>
        </w:pBdr>
        <w:spacing w:before="40" w:after="160"/>
      </w:pPr>
    </w:p>
    <w:p>
      <w:pPr>
        <w:pStyle w:val="Heading1"/>
      </w:pPr>
      <w:r>
        <w:t>The Problem</w:t>
      </w:r>
    </w:p>
    <w:p>
      <w:r>
        <w:rPr>
          <w:b/>
          <w:i w:val="0"/>
        </w:rPr>
        <w:t>Even fully wired-in, your edge isn’t in the model.</w:t>
      </w:r>
    </w:p>
    <w:p>
      <w:r>
        <w:rPr>
          <w:i w:val="0"/>
          <w:color w:val="5B6B85"/>
        </w:rPr>
        <w:t>Connectors and the data lake give Claude your data. They don’t give it your judgement.</w:t>
      </w:r>
    </w:p>
    <w:p>
      <w:pPr>
        <w:pStyle w:val="Heading2"/>
      </w:pPr>
      <w:r>
        <w:t>Your data &amp; systems — already wired in (Claude Enterprise)</w:t>
      </w:r>
    </w:p>
    <w:p>
      <w:pPr>
        <w:pStyle w:val="ListBullet"/>
      </w:pPr>
      <w:r>
        <w:t>FactSet — Research</w:t>
      </w:r>
    </w:p>
    <w:p>
      <w:pPr>
        <w:pStyle w:val="ListBullet"/>
      </w:pPr>
      <w:r>
        <w:t>Data lake</w:t>
      </w:r>
    </w:p>
    <w:p>
      <w:pPr>
        <w:pStyle w:val="ListBullet"/>
      </w:pPr>
      <w:r>
        <w:t>PitchBook — Research</w:t>
      </w:r>
    </w:p>
    <w:p>
      <w:pPr>
        <w:pStyle w:val="ListBullet"/>
      </w:pPr>
      <w:r>
        <w:t>S&amp;P Capital IQ</w:t>
      </w:r>
    </w:p>
    <w:p>
      <w:pPr>
        <w:pStyle w:val="ListBullet"/>
      </w:pPr>
      <w:r>
        <w:t>Preqin — Research</w:t>
      </w:r>
    </w:p>
    <w:p>
      <w:pPr>
        <w:pStyle w:val="ListBullet"/>
      </w:pPr>
      <w:r>
        <w:t>Gmail — Comms</w:t>
      </w:r>
    </w:p>
    <w:p>
      <w:pPr>
        <w:pStyle w:val="Heading2"/>
      </w:pPr>
      <w:r>
        <w:t>However, your secret source is still not integrated</w:t>
      </w:r>
    </w:p>
    <w:p>
      <w:pPr>
        <w:pStyle w:val="ListBullet"/>
      </w:pPr>
      <w:r>
        <w:rPr>
          <w:b/>
        </w:rPr>
        <w:t>Expert interviews</w:t>
      </w:r>
      <w:r>
        <w:rPr>
          <w:color w:val="5B6B85"/>
        </w:rPr>
        <w:t>— primary calls, never captured</w:t>
      </w:r>
    </w:p>
    <w:p>
      <w:pPr>
        <w:pStyle w:val="ListBullet"/>
      </w:pPr>
      <w:r>
        <w:rPr>
          <w:b/>
        </w:rPr>
        <w:t>Investment thesis</w:t>
      </w:r>
      <w:r>
        <w:rPr>
          <w:color w:val="5B6B85"/>
        </w:rPr>
        <w:t>— the lens that decides a good deal</w:t>
      </w:r>
    </w:p>
    <w:p>
      <w:pPr>
        <w:pStyle w:val="ListBullet"/>
      </w:pPr>
      <w:r>
        <w:rPr>
          <w:b/>
        </w:rPr>
        <w:t>Past deal knowledge</w:t>
      </w:r>
      <w:r>
        <w:rPr>
          <w:color w:val="5B6B85"/>
        </w:rPr>
        <w:t>— prior IC memos &amp; post-mortems</w:t>
      </w:r>
    </w:p>
    <w:p>
      <w:pPr>
        <w:pStyle w:val="ListBullet"/>
      </w:pPr>
      <w:r>
        <w:rPr>
          <w:b/>
        </w:rPr>
        <w:t>Diligence frameworks</w:t>
      </w:r>
      <w:r>
        <w:rPr>
          <w:color w:val="5B6B85"/>
        </w:rPr>
        <w:t>— red-flag patterns &amp; checklists</w:t>
      </w:r>
    </w:p>
    <w:p>
      <w:pPr>
        <w:pStyle w:val="ListBullet"/>
      </w:pPr>
      <w:r>
        <w:rPr>
          <w:b/>
        </w:rPr>
        <w:t>Valuation benchmarks</w:t>
      </w:r>
      <w:r>
        <w:rPr>
          <w:color w:val="5B6B85"/>
        </w:rPr>
        <w:t>— your comps logic &amp; discipline</w:t>
      </w:r>
    </w:p>
    <w:p>
      <w:pPr>
        <w:pStyle w:val="ListBullet"/>
      </w:pPr>
      <w:r>
        <w:rPr>
          <w:b/>
        </w:rPr>
        <w:t>Partner judgement</w:t>
      </w:r>
      <w:r>
        <w:rPr>
          <w:color w:val="5B6B85"/>
        </w:rPr>
        <w:t>— the instinct that overrides the obvious</w:t>
      </w:r>
    </w:p>
    <w:p>
      <w:r>
        <w:rPr>
          <w:b/>
          <w:i w:val="0"/>
        </w:rPr>
        <w:t>A generic model can reason. It can’t reason like you — yet.</w:t>
      </w:r>
    </w:p>
    <w:p>
      <w:pPr>
        <w:pBdr>
          <w:bottom w:val="single" w:sz="6" w:space="1" w:color="D5E2FF"/>
        </w:pBdr>
        <w:spacing w:before="40" w:after="160"/>
      </w:pPr>
    </w:p>
    <w:p>
      <w:pPr>
        <w:pStyle w:val="Heading1"/>
      </w:pPr>
      <w:r>
        <w:t>The Decision Engine</w:t>
      </w:r>
    </w:p>
    <w:p>
      <w:r>
        <w:rPr>
          <w:b/>
          <w:i w:val="0"/>
        </w:rPr>
        <w:t>One Claude plug-in, packaged for your firm’s deal engine.</w:t>
      </w:r>
    </w:p>
    <w:p>
      <w:r>
        <w:rPr>
          <w:i w:val="0"/>
          <w:color w:val="5B6B85"/>
        </w:rPr>
        <w:t>Five pieces that fit together — turning a question into an IC-ready deliverable that reasons like your firm. Connectors and Knowledge make it yours; Skills do the work; Components and Templates ship it.</w:t>
      </w:r>
    </w:p>
    <w:p>
      <w:pPr>
        <w:pStyle w:val="Heading2"/>
      </w:pPr>
      <w:r>
        <w:t>Inputs — make it yours</w:t>
      </w:r>
    </w:p>
    <w:p>
      <w:pPr>
        <w:pStyle w:val="ListBullet"/>
      </w:pPr>
      <w:r>
        <w:rPr>
          <w:b/>
        </w:rPr>
        <w:t>Connectors</w:t>
      </w:r>
      <w:r>
        <w:rPr>
          <w:color w:val="5B6B85"/>
        </w:rPr>
        <w:t xml:space="preserve"> — feed live data</w:t>
      </w:r>
    </w:p>
    <w:p>
      <w:pPr>
        <w:pStyle w:val="ListBullet"/>
      </w:pPr>
      <w:r>
        <w:rPr>
          <w:b/>
        </w:rPr>
        <w:t>Knowledge</w:t>
      </w:r>
      <w:r>
        <w:rPr>
          <w:color w:val="5B6B85"/>
        </w:rPr>
        <w:t xml:space="preserve"> — thinks like your firm</w:t>
      </w:r>
    </w:p>
    <w:p>
      <w:pPr>
        <w:pStyle w:val="Heading2"/>
      </w:pPr>
      <w:r>
        <w:t>The engine</w:t>
      </w:r>
    </w:p>
    <w:p>
      <w:pPr>
        <w:pStyle w:val="ListBullet"/>
      </w:pPr>
      <w:r>
        <w:rPr>
          <w:b/>
        </w:rPr>
        <w:t>Skills</w:t>
      </w:r>
      <w:r>
        <w:rPr>
          <w:color w:val="5B6B85"/>
        </w:rPr>
        <w:t xml:space="preserve"> — do the work</w:t>
      </w:r>
    </w:p>
    <w:p>
      <w:pPr>
        <w:pStyle w:val="Heading2"/>
      </w:pPr>
      <w:r>
        <w:t>Delivery — make it usable</w:t>
      </w:r>
    </w:p>
    <w:p>
      <w:pPr>
        <w:pStyle w:val="ListBullet"/>
      </w:pPr>
      <w:r>
        <w:rPr>
          <w:b/>
        </w:rPr>
        <w:t>Components</w:t>
      </w:r>
      <w:r>
        <w:rPr>
          <w:color w:val="5B6B85"/>
        </w:rPr>
        <w:t xml:space="preserve"> — render the answer</w:t>
      </w:r>
    </w:p>
    <w:p>
      <w:pPr>
        <w:pStyle w:val="ListBullet"/>
      </w:pPr>
      <w:r>
        <w:rPr>
          <w:b/>
        </w:rPr>
        <w:t>Templates</w:t>
      </w:r>
      <w:r>
        <w:rPr>
          <w:color w:val="5B6B85"/>
        </w:rPr>
        <w:t xml:space="preserve"> — ship the deliverable</w:t>
      </w:r>
    </w:p>
    <w:p>
      <w:pPr>
        <w:pBdr>
          <w:bottom w:val="single" w:sz="6" w:space="1" w:color="D5E2FF"/>
        </w:pBdr>
        <w:spacing w:before="40" w:after="160"/>
      </w:pPr>
    </w:p>
    <w:p>
      <w:pPr>
        <w:pStyle w:val="Heading1"/>
      </w:pPr>
      <w:r>
        <w:t>01 · Skills</w:t>
      </w:r>
    </w:p>
    <w:p>
      <w:r>
        <w:rPr>
          <w:b/>
          <w:i w:val="0"/>
        </w:rPr>
        <w:t>One task, one skill, one deliverable.</w:t>
      </w:r>
    </w:p>
    <w:p>
      <w:r>
        <w:rPr>
          <w:i w:val="0"/>
          <w:color w:val="5B6B85"/>
        </w:rPr>
        <w:t>Repeatable, firm-tuned workflows grouped by where they sit in the deal lifecycle.</w:t>
      </w:r>
    </w:p>
    <w:p>
      <w:pPr>
        <w:pStyle w:val="Heading2"/>
      </w:pPr>
      <w:r>
        <w:t>Sourcing — find &amp; qualify the deals worth pursuing</w:t>
      </w:r>
    </w:p>
    <w:p>
      <w:pPr>
        <w:pStyle w:val="ListBullet"/>
      </w:pPr>
      <w:r>
        <w:rPr>
          <w:b/>
        </w:rPr>
        <w:t>Market Map Builder</w:t>
      </w:r>
      <w:r>
        <w:rPr>
          <w:color w:val="5B6B85"/>
        </w:rPr>
        <w:t>— build a target universe for a sector or thesis</w:t>
      </w:r>
    </w:p>
    <w:p>
      <w:pPr>
        <w:pStyle w:val="ListBullet"/>
      </w:pPr>
      <w:r>
        <w:rPr>
          <w:b/>
        </w:rPr>
        <w:t>Target Screener</w:t>
      </w:r>
      <w:r>
        <w:rPr>
          <w:color w:val="5B6B85"/>
        </w:rPr>
        <w:t>— score companies against your investment criteria</w:t>
      </w:r>
    </w:p>
    <w:p>
      <w:pPr>
        <w:pStyle w:val="ListBullet"/>
      </w:pPr>
      <w:r>
        <w:rPr>
          <w:b/>
        </w:rPr>
        <w:t>Company One-Pager</w:t>
      </w:r>
      <w:r>
        <w:rPr>
          <w:color w:val="5B6B85"/>
        </w:rPr>
        <w:t>— turn raw data into a teaser-ready profile</w:t>
      </w:r>
    </w:p>
    <w:p>
      <w:pPr>
        <w:pStyle w:val="ListBullet"/>
      </w:pPr>
      <w:r>
        <w:rPr>
          <w:b/>
        </w:rPr>
        <w:t>Warm-Path Finder</w:t>
      </w:r>
      <w:r>
        <w:rPr>
          <w:color w:val="5B6B85"/>
        </w:rPr>
        <w:t>— map relationship routes into a target</w:t>
      </w:r>
    </w:p>
    <w:p>
      <w:pPr>
        <w:pStyle w:val="ListBullet"/>
      </w:pPr>
      <w:r>
        <w:rPr>
          <w:b/>
        </w:rPr>
        <w:t>Pipeline Updater</w:t>
      </w:r>
      <w:r>
        <w:rPr>
          <w:color w:val="5B6B85"/>
        </w:rPr>
        <w:t>— refresh CRM stages, flag stalled deals</w:t>
      </w:r>
    </w:p>
    <w:p>
      <w:pPr>
        <w:pStyle w:val="Heading2"/>
      </w:pPr>
      <w:r>
        <w:t>Diligence — pressure-test the thesis to an IC decision</w:t>
      </w:r>
    </w:p>
    <w:p>
      <w:pPr>
        <w:pStyle w:val="ListBullet"/>
      </w:pPr>
      <w:r>
        <w:rPr>
          <w:b/>
        </w:rPr>
        <w:t>Thesis Drafter</w:t>
      </w:r>
      <w:r>
        <w:rPr>
          <w:color w:val="5B6B85"/>
        </w:rPr>
        <w:t>— structure the investment thesis from initial data</w:t>
      </w:r>
    </w:p>
    <w:p>
      <w:pPr>
        <w:pStyle w:val="ListBullet"/>
      </w:pPr>
      <w:r>
        <w:rPr>
          <w:b/>
        </w:rPr>
        <w:t>CIM &amp; Data-Room Summarizer</w:t>
      </w:r>
      <w:r>
        <w:rPr>
          <w:color w:val="5B6B85"/>
        </w:rPr>
        <w:t>— digest a deck or data room into key findings</w:t>
      </w:r>
    </w:p>
    <w:p>
      <w:pPr>
        <w:pStyle w:val="ListBullet"/>
      </w:pPr>
      <w:r>
        <w:rPr>
          <w:b/>
        </w:rPr>
        <w:t>Comps &amp; Precedents Builder</w:t>
      </w:r>
      <w:r>
        <w:rPr>
          <w:color w:val="5B6B85"/>
        </w:rPr>
        <w:t>— pull comparable companies and prior deals</w:t>
      </w:r>
    </w:p>
    <w:p>
      <w:pPr>
        <w:pStyle w:val="ListBullet"/>
      </w:pPr>
      <w:r>
        <w:rPr>
          <w:b/>
        </w:rPr>
        <w:t>QoE First Pass</w:t>
      </w:r>
      <w:r>
        <w:rPr>
          <w:color w:val="5B6B85"/>
        </w:rPr>
        <w:t>— flag quality-of-earnings issues early</w:t>
      </w:r>
    </w:p>
    <w:p>
      <w:pPr>
        <w:pStyle w:val="ListBullet"/>
      </w:pPr>
      <w:r>
        <w:rPr>
          <w:b/>
        </w:rPr>
        <w:t>Red-Flag Scan</w:t>
      </w:r>
      <w:r>
        <w:rPr>
          <w:color w:val="5B6B85"/>
        </w:rPr>
        <w:t>— run the target against your risk checklist</w:t>
      </w:r>
    </w:p>
    <w:p>
      <w:pPr>
        <w:pStyle w:val="ListBullet"/>
      </w:pPr>
      <w:r>
        <w:rPr>
          <w:b/>
        </w:rPr>
        <w:t>Management Call Prep</w:t>
      </w:r>
      <w:r>
        <w:rPr>
          <w:color w:val="5B6B85"/>
        </w:rPr>
        <w:t>— generate the question list and briefing pack</w:t>
      </w:r>
    </w:p>
    <w:p>
      <w:pPr>
        <w:pStyle w:val="ListBullet"/>
      </w:pPr>
      <w:r>
        <w:rPr>
          <w:b/>
        </w:rPr>
        <w:t>IC Memo Drafter</w:t>
      </w:r>
      <w:r>
        <w:rPr>
          <w:color w:val="5B6B85"/>
        </w:rPr>
        <w:t>— assemble the investment committee memo</w:t>
      </w:r>
    </w:p>
    <w:p>
      <w:pPr>
        <w:pStyle w:val="Heading2"/>
      </w:pPr>
      <w:r>
        <w:t>Portfolio — drive value from close to exit</w:t>
      </w:r>
    </w:p>
    <w:p>
      <w:pPr>
        <w:pStyle w:val="ListBullet"/>
      </w:pPr>
      <w:r>
        <w:rPr>
          <w:b/>
        </w:rPr>
        <w:t>100-Day Plan Builder</w:t>
      </w:r>
      <w:r>
        <w:rPr>
          <w:color w:val="5B6B85"/>
        </w:rPr>
        <w:t>— structure the value-creation plan post-close</w:t>
      </w:r>
    </w:p>
    <w:p>
      <w:pPr>
        <w:pStyle w:val="ListBullet"/>
      </w:pPr>
      <w:r>
        <w:rPr>
          <w:b/>
        </w:rPr>
        <w:t>KPI Monitoring Pack</w:t>
      </w:r>
      <w:r>
        <w:rPr>
          <w:color w:val="5B6B85"/>
        </w:rPr>
        <w:t>— actuals vs. plan across the portfolio</w:t>
      </w:r>
    </w:p>
    <w:p>
      <w:pPr>
        <w:pStyle w:val="ListBullet"/>
      </w:pPr>
      <w:r>
        <w:rPr>
          <w:b/>
        </w:rPr>
        <w:t>Bolt-On Finder</w:t>
      </w:r>
      <w:r>
        <w:rPr>
          <w:color w:val="5B6B85"/>
        </w:rPr>
        <w:t>— source add-on acquisition targets for a portco</w:t>
      </w:r>
    </w:p>
    <w:p>
      <w:pPr>
        <w:pStyle w:val="ListBullet"/>
      </w:pPr>
      <w:r>
        <w:rPr>
          <w:b/>
        </w:rPr>
        <w:t>Board Deck Generator</w:t>
      </w:r>
      <w:r>
        <w:rPr>
          <w:color w:val="5B6B85"/>
        </w:rPr>
        <w:t>— assemble the quarterly board pack</w:t>
      </w:r>
    </w:p>
    <w:p>
      <w:pPr>
        <w:pStyle w:val="ListBullet"/>
      </w:pPr>
      <w:r>
        <w:rPr>
          <w:b/>
        </w:rPr>
        <w:t>Portfolio Benchmarking</w:t>
      </w:r>
      <w:r>
        <w:rPr>
          <w:color w:val="5B6B85"/>
        </w:rPr>
        <w:t>— compare portcos against each other &amp; peers</w:t>
      </w:r>
    </w:p>
    <w:p>
      <w:pPr>
        <w:pStyle w:val="ListBullet"/>
      </w:pPr>
      <w:r>
        <w:rPr>
          <w:b/>
        </w:rPr>
        <w:t>Exit Readiness Assessment</w:t>
      </w:r>
      <w:r>
        <w:rPr>
          <w:color w:val="5B6B85"/>
        </w:rPr>
        <w:t>— score a portco’s readiness to sell</w:t>
      </w:r>
    </w:p>
    <w:p>
      <w:pPr>
        <w:pBdr>
          <w:bottom w:val="single" w:sz="6" w:space="1" w:color="D5E2FF"/>
        </w:pBdr>
        <w:spacing w:before="40" w:after="160"/>
      </w:pPr>
    </w:p>
    <w:p>
      <w:pPr>
        <w:pStyle w:val="Heading1"/>
      </w:pPr>
      <w:r>
        <w:t>02 · Connectors</w:t>
      </w:r>
    </w:p>
    <w:p>
      <w:r>
        <w:rPr>
          <w:b/>
          <w:i w:val="0"/>
        </w:rPr>
        <w:t>Live data into the deal engine.</w:t>
      </w:r>
    </w:p>
    <w:p>
      <w:r>
        <w:rPr>
          <w:i w:val="0"/>
          <w:color w:val="5B6B85"/>
        </w:rPr>
        <w:t>Two sources feed every skill — AgenticPM’s own PE-built research engines, and the paid systems your firm already trusts — so the work runs on real, current data.</w:t>
      </w:r>
    </w:p>
    <w:p>
      <w:pPr>
        <w:pStyle w:val="Heading2"/>
      </w:pPr>
      <w:r>
        <w:t>AgenticPM’s own tools — proprietary sourcing &amp; research engines, built for 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Tool</w:t>
            </w:r>
          </w:p>
        </w:tc>
        <w:tc>
          <w:tcPr>
            <w:tcW w:type="dxa" w:w="4176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What it does</w:t>
            </w:r>
          </w:p>
        </w:tc>
        <w:tc>
          <w:tcPr>
            <w:tcW w:type="dxa" w:w="2736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Feeds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Company Discovery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surface private companies by thesis, sector, or website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Market Map, Screener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Target List Builder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generate a ranked target universe from a plain-language brief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Market Map, Bolt-On Finder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Company Intelligence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structured financial &amp; firmographic profile for any company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Screener, One-Pager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M&amp;A / Deal Search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precedent transactions, acquirers &amp; active investors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Comps &amp; Precedents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People &amp; Leadership Finder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decision-makers, CEOs &amp; verified contacts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Warm-Path, Management Call Prep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News &amp; Signal Search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vetted news &amp; market signals on a target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Red-Flag Scan, KPI Monitoring</w:t>
            </w:r>
          </w:p>
        </w:tc>
      </w:tr>
    </w:tbl>
    <w:p>
      <w:pPr>
        <w:spacing w:after="40"/>
      </w:pPr>
    </w:p>
    <w:p>
      <w:pPr>
        <w:pStyle w:val="Heading2"/>
      </w:pPr>
      <w:r>
        <w:t>Your firm’s connected data — the paid systems you already trust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System</w:t>
            </w:r>
          </w:p>
        </w:tc>
        <w:tc>
          <w:tcPr>
            <w:tcW w:type="dxa" w:w="4176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What it is</w:t>
            </w:r>
          </w:p>
        </w:tc>
        <w:tc>
          <w:tcPr>
            <w:tcW w:type="dxa" w:w="2736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Feeds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PitchBook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private company financials, deal comps &amp; fund data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Market Map, Comps, Screener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ZoomInfo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firmographics, org charts &amp; contacts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Sourcing, Warm-Path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Apollo.io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company &amp; contact intelligence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Prospecting, Outreach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LSEG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public comps, market &amp; credit data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Comps, Valuation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Salesforce / HubSpot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accounts, pipeline &amp; relationship history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Pipeline, Warm-Path, CRM sync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Microsoft 365 / Google Drive</w:t>
            </w:r>
          </w:p>
        </w:tc>
        <w:tc>
          <w:tcPr>
            <w:tcW w:type="dxa" w:w="4176"/>
          </w:tcPr>
          <w:p>
            <w:r/>
            <w:r>
              <w:rPr>
                <w:sz w:val="21"/>
              </w:rPr>
              <w:t>data rooms, memos &amp; models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Summarizer, every drafting skill</w:t>
            </w:r>
          </w:p>
        </w:tc>
      </w:tr>
    </w:tbl>
    <w:p>
      <w:pPr>
        <w:spacing w:after="40"/>
      </w:pPr>
    </w:p>
    <w:p>
      <w:pPr>
        <w:pBdr>
          <w:bottom w:val="single" w:sz="6" w:space="1" w:color="D5E2FF"/>
        </w:pBdr>
        <w:spacing w:before="40" w:after="160"/>
      </w:pPr>
    </w:p>
    <w:p>
      <w:pPr>
        <w:pStyle w:val="Heading1"/>
      </w:pPr>
      <w:r>
        <w:t>03 · Knowledge bases</w:t>
      </w:r>
    </w:p>
    <w:p>
      <w:r>
        <w:rPr>
          <w:b/>
          <w:i w:val="0"/>
        </w:rPr>
        <w:t>Your firm’s judgement, made queryable.</w:t>
      </w:r>
    </w:p>
    <w:p>
      <w:r>
        <w:rPr>
          <w:i w:val="0"/>
          <w:color w:val="5B6B85"/>
        </w:rPr>
        <w:t>The proprietary knowledge that makes the engine reason like your firm — not a generic model. Built from what’s already in heads and files. (e.g. “Which fintech deals did we pass on last cycle — and why?”)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Knowledge base</w:t>
            </w:r>
          </w:p>
        </w:tc>
        <w:tc>
          <w:tcPr>
            <w:tcW w:type="dxa" w:w="3888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What it holds</w:t>
            </w:r>
          </w:p>
        </w:tc>
        <w:tc>
          <w:tcPr>
            <w:tcW w:type="dxa" w:w="3168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Examples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1"/>
              </w:rPr>
              <w:t>Investment thesis library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by sector and strategy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SaaS rule-of-40, Healthcare roll-ups, Buy-and-build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1"/>
              </w:rPr>
              <w:t>Diligence playbooks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your red-flag patterns &amp; DD checklists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Customer concentration, Churn, Working capital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1"/>
              </w:rPr>
              <w:t>Past IC memos &amp; post-mortems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what you approved, passed on, and why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Won deals, Passed deals, Lessons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1"/>
              </w:rPr>
              <w:t>Sector playbooks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how the firm wins in each vertical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Industrials, Software, Consumer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1"/>
              </w:rPr>
              <w:t>Valuation benchmarks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your comps logic &amp; pricing discipline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EV/EBITDA, Entry multiples, Sector medians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1"/>
              </w:rPr>
              <w:t>Value-creation playbooks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the operating moves that actually worked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Pricing, GTM, Bolt-ons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1"/>
              </w:rPr>
              <w:t>Expert &amp; reference-call notes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primary insight, never lost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Expert calls, Customer refs, Channel checks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1"/>
              </w:rPr>
              <w:t>Deal precedents database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terms &amp; structures from prior transactions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Earnouts, Rollover equity, Deal terms</w:t>
            </w:r>
          </w:p>
        </w:tc>
      </w:tr>
    </w:tbl>
    <w:p>
      <w:pPr>
        <w:spacing w:after="40"/>
      </w:pPr>
    </w:p>
    <w:p>
      <w:pPr>
        <w:pBdr>
          <w:bottom w:val="single" w:sz="6" w:space="1" w:color="D5E2FF"/>
        </w:pBdr>
        <w:spacing w:before="40" w:after="160"/>
      </w:pPr>
    </w:p>
    <w:p>
      <w:pPr>
        <w:pStyle w:val="Heading1"/>
      </w:pPr>
      <w:r>
        <w:t>04 · Components</w:t>
      </w:r>
    </w:p>
    <w:p>
      <w:r>
        <w:rPr>
          <w:b/>
          <w:i w:val="0"/>
        </w:rPr>
        <w:t>How every answer renders — decision-ready.</w:t>
      </w:r>
    </w:p>
    <w:p>
      <w:r>
        <w:rPr>
          <w:i w:val="0"/>
          <w:color w:val="5B6B85"/>
        </w:rPr>
        <w:t>The visual building blocks skills use to present an answer, so output is decision-ready — not a wall of text.</w:t>
      </w:r>
    </w:p>
    <w:p>
      <w:pPr>
        <w:pStyle w:val="ListBullet"/>
      </w:pPr>
      <w:r>
        <w:rPr>
          <w:b/>
        </w:rPr>
        <w:t>Value Bridge</w:t>
      </w:r>
      <w:r>
        <w:rPr>
          <w:color w:val="5B6B85"/>
        </w:rPr>
        <w:t>— what drives the move from entry to exit equity value</w:t>
      </w:r>
    </w:p>
    <w:p>
      <w:pPr>
        <w:pStyle w:val="ListBullet"/>
      </w:pPr>
      <w:r>
        <w:rPr>
          <w:b/>
        </w:rPr>
        <w:t>Risk Heatmap</w:t>
      </w:r>
      <w:r>
        <w:rPr>
          <w:color w:val="5B6B85"/>
        </w:rPr>
        <w:t>— diligence red-flags across categories, color-coded</w:t>
      </w:r>
    </w:p>
    <w:p>
      <w:pPr>
        <w:pStyle w:val="ListBullet"/>
      </w:pPr>
      <w:r>
        <w:rPr>
          <w:b/>
        </w:rPr>
        <w:t>Peer Benchmarking Table</w:t>
      </w:r>
      <w:r>
        <w:rPr>
          <w:color w:val="5B6B85"/>
        </w:rPr>
        <w:t>— rank a target or portco against comparables</w:t>
      </w:r>
    </w:p>
    <w:p>
      <w:pPr>
        <w:pStyle w:val="ListBullet"/>
      </w:pPr>
      <w:r>
        <w:rPr>
          <w:b/>
        </w:rPr>
        <w:t>Positioning Scatter</w:t>
      </w:r>
      <w:r>
        <w:rPr>
          <w:color w:val="5B6B85"/>
        </w:rPr>
        <w:t>— plot a market on two axes to spot the standouts</w:t>
      </w:r>
    </w:p>
    <w:p>
      <w:pPr>
        <w:pStyle w:val="ListBullet"/>
      </w:pPr>
      <w:r>
        <w:rPr>
          <w:b/>
        </w:rPr>
        <w:t>Deal Timeline (Gantt)</w:t>
      </w:r>
      <w:r>
        <w:rPr>
          <w:color w:val="5B6B85"/>
        </w:rPr>
        <w:t>— a process or 100-day plan, phased with owners</w:t>
      </w:r>
    </w:p>
    <w:p>
      <w:r>
        <w:rPr>
          <w:i w:val="0"/>
          <w:color w:val="5B6B85"/>
        </w:rPr>
        <w:t>Components render the answer on screen; templates (next) ship the same answer as a finished file.</w:t>
      </w:r>
    </w:p>
    <w:p>
      <w:pPr>
        <w:pBdr>
          <w:bottom w:val="single" w:sz="6" w:space="1" w:color="D5E2FF"/>
        </w:pBdr>
        <w:spacing w:before="40" w:after="160"/>
      </w:pPr>
    </w:p>
    <w:p>
      <w:pPr>
        <w:pStyle w:val="Heading1"/>
      </w:pPr>
      <w:r>
        <w:t>05 · Office templates</w:t>
      </w:r>
    </w:p>
    <w:p>
      <w:r>
        <w:rPr>
          <w:b/>
          <w:i w:val="0"/>
        </w:rPr>
        <w:t>Branded, IC-ready deliverables — in one click.</w:t>
      </w:r>
    </w:p>
    <w:p>
      <w:r>
        <w:rPr>
          <w:i w:val="0"/>
          <w:color w:val="5B6B85"/>
        </w:rPr>
        <w:t>Your house-style Word, Excel &amp; PowerPoint documents. Components render the answer on screen; templates ship it as a finished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Deliverable</w:t>
            </w:r>
          </w:p>
        </w:tc>
        <w:tc>
          <w:tcPr>
            <w:tcW w:type="dxa" w:w="4032"/>
            <w:shd w:val="clear" w:fill="1D4ED8"/>
          </w:tcPr>
          <w:p>
            <w:r/>
            <w:r>
              <w:rPr>
                <w:b/>
                <w:color w:val="FFFFFF"/>
                <w:sz w:val="21"/>
              </w:rPr>
              <w:t>Format(s)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1"/>
              </w:rPr>
              <w:t>Investment teaser / one-pager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PPT / Word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1"/>
              </w:rPr>
              <w:t>IC memo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Word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1"/>
              </w:rPr>
              <w:t>IC / deal deck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PPT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1"/>
              </w:rPr>
              <w:t>LBO &amp; returns model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Excel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1"/>
              </w:rPr>
              <w:t>Comps output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Excel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1"/>
              </w:rPr>
              <w:t>QoE summary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Excel / Word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1"/>
              </w:rPr>
              <w:t>100-day value-creation plan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PPT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1"/>
              </w:rPr>
              <w:t>Quarterly board deck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PPT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1"/>
              </w:rPr>
              <w:t>Portfolio monitoring pack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Excel + PPT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1"/>
              </w:rPr>
              <w:t>Market map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Excel / PPT</w:t>
            </w:r>
          </w:p>
        </w:tc>
      </w:tr>
    </w:tbl>
    <w:p>
      <w:pPr>
        <w:spacing w:after="40"/>
      </w:pPr>
    </w:p>
    <w:p>
      <w:pPr>
        <w:pBdr>
          <w:bottom w:val="single" w:sz="6" w:space="1" w:color="D5E2FF"/>
        </w:pBdr>
        <w:spacing w:before="40" w:after="160"/>
      </w:pPr>
    </w:p>
    <w:p>
      <w:pPr>
        <w:pStyle w:val="Heading1"/>
      </w:pPr>
      <w:r>
        <w:t>The Payoff</w:t>
      </w:r>
    </w:p>
    <w:p>
      <w:r>
        <w:rPr>
          <w:b/>
          <w:i w:val="0"/>
        </w:rPr>
        <w:t>Every query gets a superpower.</w:t>
      </w:r>
    </w:p>
    <w:p>
      <w:r>
        <w:rPr>
          <w:b/>
          <w:color w:val="1D4ED8"/>
          <w:sz w:val="44"/>
        </w:rPr>
        <w:t>Days → Minutes</w:t>
      </w:r>
    </w:p>
    <w:p>
      <w:r>
        <w:rPr>
          <w:i w:val="0"/>
          <w:color w:val="5B6B85"/>
        </w:rPr>
        <w:t>Time to an IC-ready answer — on questions that used to mean digging through memos, calls &amp; decks.</w:t>
      </w:r>
    </w:p>
    <w:p>
      <w:r>
        <w:rPr>
          <w:i w:val="0"/>
        </w:rPr>
        <w:t>Every answer is: thesis-aware · sourced · firm-grade · IC-ready.</w:t>
      </w:r>
    </w:p>
    <w:p>
      <w:pPr>
        <w:pBdr>
          <w:bottom w:val="single" w:sz="6" w:space="1" w:color="D5E2FF"/>
        </w:pBdr>
        <w:spacing w:before="40" w:after="160"/>
      </w:pPr>
    </w:p>
    <w:p>
      <w:pPr>
        <w:pStyle w:val="Heading1"/>
      </w:pPr>
      <w:r>
        <w:t>The Partnership</w:t>
      </w:r>
    </w:p>
    <w:p>
      <w:r>
        <w:rPr>
          <w:b/>
          <w:i w:val="0"/>
        </w:rPr>
        <w:t>A decision engine only your firm has.</w:t>
      </w:r>
    </w:p>
    <w:p>
      <w:pPr>
        <w:pStyle w:val="Heading2"/>
      </w:pPr>
      <w:r>
        <w:t>You bring — your secret sauce</w:t>
      </w:r>
    </w:p>
    <w:p>
      <w:pPr>
        <w:pStyle w:val="ListBullet"/>
      </w:pPr>
      <w:r>
        <w:t>Investment thesis</w:t>
      </w:r>
    </w:p>
    <w:p>
      <w:pPr>
        <w:pStyle w:val="ListBullet"/>
      </w:pPr>
      <w:r>
        <w:t>Past deal knowledge</w:t>
      </w:r>
    </w:p>
    <w:p>
      <w:pPr>
        <w:pStyle w:val="ListBullet"/>
      </w:pPr>
      <w:r>
        <w:t>Diligence frameworks</w:t>
      </w:r>
    </w:p>
    <w:p>
      <w:pPr>
        <w:pStyle w:val="ListBullet"/>
      </w:pPr>
      <w:r>
        <w:t>Expert interviews</w:t>
      </w:r>
    </w:p>
    <w:p>
      <w:pPr>
        <w:pStyle w:val="ListBullet"/>
      </w:pPr>
      <w:r>
        <w:t>Partner judgement</w:t>
      </w:r>
    </w:p>
    <w:p>
      <w:pPr>
        <w:pStyle w:val="Heading2"/>
      </w:pPr>
      <w:r>
        <w:t>We build with you — the whole system</w:t>
      </w:r>
    </w:p>
    <w:p>
      <w:pPr>
        <w:pStyle w:val="ListBullet"/>
      </w:pPr>
      <w:r>
        <w:rPr>
          <w:b/>
        </w:rPr>
        <w:t>Capture</w:t>
      </w:r>
      <w:r>
        <w:rPr>
          <w:color w:val="5B6B85"/>
        </w:rPr>
        <w:t>— we sit with your team to pull what’s in heads &amp; memos</w:t>
      </w:r>
    </w:p>
    <w:p>
      <w:pPr>
        <w:pStyle w:val="ListBullet"/>
      </w:pPr>
      <w:r>
        <w:rPr>
          <w:b/>
        </w:rPr>
        <w:t>Build</w:t>
      </w:r>
      <w:r>
        <w:rPr>
          <w:color w:val="5B6B85"/>
        </w:rPr>
        <w:t>— skills, connectors, and reusable components</w:t>
      </w:r>
    </w:p>
    <w:p>
      <w:pPr>
        <w:pStyle w:val="ListBullet"/>
      </w:pPr>
      <w:r>
        <w:rPr>
          <w:b/>
        </w:rPr>
        <w:t>Deploy</w:t>
      </w:r>
      <w:r>
        <w:rPr>
          <w:color w:val="5B6B85"/>
        </w:rPr>
        <w:t>— as plugins in Claude Enterprise</w:t>
      </w:r>
    </w:p>
    <w:p>
      <w:pPr>
        <w:pStyle w:val="ListBullet"/>
      </w:pPr>
      <w:r>
        <w:rPr>
          <w:b/>
        </w:rPr>
        <w:t>Evolve</w:t>
      </w:r>
      <w:r>
        <w:rPr>
          <w:color w:val="5B6B85"/>
        </w:rPr>
        <w:t>— tuned with every deal you run</w:t>
      </w:r>
    </w:p>
    <w:p>
      <w:pPr>
        <w:pStyle w:val="Heading2"/>
      </w:pPr>
      <w:r>
        <w:t>You get — your own engine</w:t>
      </w:r>
    </w:p>
    <w:p>
      <w:pPr>
        <w:pStyle w:val="ListBullet"/>
      </w:pPr>
      <w:r>
        <w:t>Stays in your walls — data never leaves</w:t>
      </w:r>
    </w:p>
    <w:p>
      <w:pPr>
        <w:pStyle w:val="ListBullet"/>
      </w:pPr>
      <w:r>
        <w:t>Compounds with every deal</w:t>
      </w:r>
    </w:p>
    <w:p>
      <w:pPr>
        <w:pStyle w:val="ListBullet"/>
      </w:pPr>
      <w:r>
        <w:t>Runs on Claude Enterprise</w:t>
      </w:r>
    </w:p>
    <w:p>
      <w:r>
        <w:rPr>
          <w:b/>
          <w:i w:val="0"/>
        </w:rPr>
        <w:t>You bring the judgement. We build the engine that reasons like you.</w:t>
      </w:r>
    </w:p>
    <w:p>
      <w:pPr>
        <w:pBdr>
          <w:bottom w:val="single" w:sz="6" w:space="1" w:color="D5E2FF"/>
        </w:pBdr>
        <w:spacing w:before="40" w:after="160"/>
      </w:pPr>
    </w:p>
    <w:p>
      <w:pPr>
        <w:pStyle w:val="Heading1"/>
      </w:pPr>
      <w:r>
        <w:t>Get started</w:t>
      </w:r>
    </w:p>
    <w:p>
      <w:r>
        <w:rPr>
          <w:b/>
          <w:i w:val="0"/>
        </w:rPr>
        <w:t>Build the engine that reasons like your firm.</w:t>
      </w:r>
    </w:p>
    <w:p>
      <w:r>
        <w:rPr>
          <w:b/>
          <w:color w:val="1D4ED8"/>
          <w:sz w:val="26"/>
        </w:rPr>
        <w:t>Reach out to book a demo.</w:t>
      </w:r>
    </w:p>
    <w:p>
      <w:r>
        <w:rPr>
          <w:i w:val="0"/>
          <w:color w:val="5B6B85"/>
        </w:rPr>
        <w:t>AGENTIC PRIVATE MARKETS · Runs on Claude Enterprise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F1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1B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F1B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/>
      <w:i/>
      <w:iCs/>
      <w:color w:val="1D4ED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