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AGENTIC PRIVATE MARKETS</w:t>
      </w:r>
    </w:p>
    <w:p>
      <w:pPr>
        <w:pStyle w:val="Subtitle"/>
      </w:pPr>
      <w:r>
        <w:t>Interactive one-pager — highlighted tasks &amp; demo scripts</w:t>
      </w:r>
    </w:p>
    <w:p>
      <w:r>
        <w:rPr>
          <w:b w:val="0"/>
          <w:i w:val="0"/>
          <w:color w:val="5B6B85"/>
        </w:rPr>
        <w:t>Each section of the one-pager highlights one task and plays a live Claude demo: the user question types in, Claude responds, and a completed output renders. A single running deal — "Project Atlas," a founder-owned vertical-SaaS / logistics company — threads through the demos for continuity.</w:t>
      </w:r>
    </w:p>
    <w:p>
      <w:pPr>
        <w:pBdr>
          <w:bottom w:val="single" w:sz="6" w:space="1" w:color="D5E2FF"/>
        </w:pBdr>
        <w:spacing w:before="80" w:after="160"/>
      </w:pPr>
    </w:p>
    <w:p>
      <w:pPr>
        <w:pStyle w:val="Heading1"/>
      </w:pPr>
      <w:r>
        <w:t>01 · Skills</w:t>
      </w:r>
    </w:p>
    <w:p>
      <w:pPr>
        <w:spacing w:before="200" w:after="20"/>
      </w:pPr>
      <w:r>
        <w:rPr>
          <w:b/>
          <w:color w:val="1D4ED8"/>
          <w:sz w:val="18"/>
        </w:rPr>
        <w:t>HIGHLIGHTED TASK</w:t>
      </w:r>
    </w:p>
    <w:p>
      <w:r>
        <w:rPr>
          <w:b/>
          <w:i w:val="0"/>
        </w:rPr>
        <w:t>Company One-Pager — turn raw data into a teaser-ready profile</w:t>
      </w:r>
    </w:p>
    <w:p>
      <w:pPr>
        <w:spacing w:before="200" w:after="20"/>
      </w:pPr>
      <w:r>
        <w:rPr>
          <w:b/>
          <w:color w:val="1D4ED8"/>
          <w:sz w:val="18"/>
        </w:rPr>
        <w:t>USER ASKS</w:t>
      </w:r>
    </w:p>
    <w:p>
      <w:pPr>
        <w:pBdr>
          <w:left w:val="single" w:sz="18" w:space="8" w:color="1D4ED8"/>
        </w:pBdr>
        <w:spacing w:before="80" w:after="120"/>
        <w:ind w:left="200"/>
      </w:pPr>
      <w:r>
        <w:rPr>
          <w:i/>
          <w:sz w:val="24"/>
        </w:rPr>
        <w:t>“Build a one-pager on Project Atlas — the founder-owned logistics-software target we're screening.”</w:t>
      </w:r>
    </w:p>
    <w:p>
      <w:pPr>
        <w:spacing w:before="200" w:after="20"/>
      </w:pPr>
      <w:r>
        <w:rPr>
          <w:b/>
          <w:color w:val="1D4ED8"/>
          <w:sz w:val="18"/>
        </w:rPr>
        <w:t>CLAUDE RESPONDS</w:t>
      </w:r>
    </w:p>
    <w:p>
      <w:r>
        <w:rPr>
          <w:b w:val="0"/>
          <w:i w:val="0"/>
        </w:rPr>
        <w:t>Pulling Project Atlas from Company Intelligence and cross-checking revenue and headcount against PitchBook and your CRM…</w:t>
      </w:r>
    </w:p>
    <w:p>
      <w:r>
        <w:rPr>
          <w:b w:val="0"/>
          <w:i w:val="0"/>
        </w:rPr>
        <w:t>Done. Structured a teaser-ready profile around the metrics your IC looks at first — with the customer-concentration flag surfaced up front.</w:t>
      </w:r>
    </w:p>
    <w:p>
      <w:pPr>
        <w:spacing w:before="200" w:after="20"/>
      </w:pPr>
      <w:r>
        <w:rPr>
          <w:b/>
          <w:color w:val="1D4ED8"/>
          <w:sz w:val="18"/>
        </w:rPr>
        <w:t>OUTPUT SHOWN</w:t>
      </w:r>
    </w:p>
    <w:p>
      <w:r>
        <w:rPr>
          <w:b w:val="0"/>
          <w:i w:val="0"/>
          <w:color w:val="5B6B85"/>
        </w:rPr>
        <w:t>Rendered deliverable — Company One-Pager: Project Atlas</w:t>
      </w:r>
    </w:p>
    <w:p>
      <w:pPr>
        <w:pStyle w:val="ListBullet"/>
      </w:pPr>
      <w:r>
        <w:rPr>
          <w:b/>
        </w:rPr>
        <w:t xml:space="preserve">Profile: </w:t>
      </w:r>
      <w:r>
        <w:rPr>
          <w:color w:val="5B6B85"/>
        </w:rPr>
        <w:t>Freight &amp; logistics OS · Amsterdam · founder-owned · Thesis fit: Strong</w:t>
      </w:r>
    </w:p>
    <w:p>
      <w:pPr>
        <w:pStyle w:val="ListBullet"/>
      </w:pPr>
      <w:r>
        <w:rPr>
          <w:b/>
        </w:rPr>
        <w:t xml:space="preserve">Key metrics: </w:t>
      </w:r>
      <w:r>
        <w:rPr>
          <w:color w:val="5B6B85"/>
        </w:rPr>
        <w:t>ARR €14M · YoY growth +38% · Net retention 118% · Customers 90+</w:t>
      </w:r>
    </w:p>
    <w:p>
      <w:pPr>
        <w:pStyle w:val="ListBullet"/>
      </w:pPr>
      <w:r>
        <w:rPr>
          <w:b/>
        </w:rPr>
        <w:t xml:space="preserve">Description: </w:t>
      </w:r>
      <w:r>
        <w:rPr>
          <w:color w:val="5B6B85"/>
        </w:rPr>
        <w:t>Cloud platform for mid-market freight forwarders — quoting, booking &amp; track-and-trace in one system. Strong DACH &amp; Benelux footprint; top-3 customers = 41% of revenue.</w:t>
      </w:r>
    </w:p>
    <w:p>
      <w:pPr>
        <w:pStyle w:val="ListBullet"/>
      </w:pPr>
      <w:r>
        <w:rPr>
          <w:b/>
        </w:rPr>
        <w:t xml:space="preserve">Sources: </w:t>
      </w:r>
      <w:r>
        <w:rPr>
          <w:color w:val="5B6B85"/>
        </w:rPr>
        <w:t>Company Intelligence · PitchBook · CRM</w:t>
      </w:r>
    </w:p>
    <w:p>
      <w:pPr>
        <w:pBdr>
          <w:bottom w:val="single" w:sz="6" w:space="1" w:color="D5E2FF"/>
        </w:pBdr>
        <w:spacing w:before="80" w:after="160"/>
      </w:pPr>
    </w:p>
    <w:p>
      <w:pPr>
        <w:pStyle w:val="Heading1"/>
      </w:pPr>
      <w:r>
        <w:t>02 · Connectors</w:t>
      </w:r>
    </w:p>
    <w:p>
      <w:pPr>
        <w:spacing w:before="200" w:after="20"/>
      </w:pPr>
      <w:r>
        <w:rPr>
          <w:b/>
          <w:color w:val="1D4ED8"/>
          <w:sz w:val="18"/>
        </w:rPr>
        <w:t>HIGHLIGHTED TASK</w:t>
      </w:r>
    </w:p>
    <w:p>
      <w:r>
        <w:rPr>
          <w:b/>
          <w:i w:val="0"/>
        </w:rPr>
        <w:t>Company Discovery — surface private companies by thesis, sector, or website</w:t>
      </w:r>
    </w:p>
    <w:p>
      <w:pPr>
        <w:spacing w:before="200" w:after="20"/>
      </w:pPr>
      <w:r>
        <w:rPr>
          <w:b/>
          <w:color w:val="1D4ED8"/>
          <w:sz w:val="18"/>
        </w:rPr>
        <w:t>USER ASKS</w:t>
      </w:r>
    </w:p>
    <w:p>
      <w:pPr>
        <w:pBdr>
          <w:left w:val="single" w:sz="18" w:space="8" w:color="1D4ED8"/>
        </w:pBdr>
        <w:spacing w:before="80" w:after="120"/>
        <w:ind w:left="200"/>
      </w:pPr>
      <w:r>
        <w:rPr>
          <w:i/>
          <w:sz w:val="24"/>
        </w:rPr>
        <w:t>“Find founder-owned vertical-SaaS companies in Europe, €5–20M revenue.”</w:t>
      </w:r>
    </w:p>
    <w:p>
      <w:pPr>
        <w:spacing w:before="200" w:after="20"/>
      </w:pPr>
      <w:r>
        <w:rPr>
          <w:b/>
          <w:color w:val="1D4ED8"/>
          <w:sz w:val="18"/>
        </w:rPr>
        <w:t>CLAUDE RESPONDS</w:t>
      </w:r>
    </w:p>
    <w:p>
      <w:r>
        <w:rPr>
          <w:b w:val="0"/>
          <w:i w:val="0"/>
        </w:rPr>
        <w:t>Scanning live sources across the web, PitchBook and Tracxn…</w:t>
      </w:r>
    </w:p>
    <w:p>
      <w:r>
        <w:rPr>
          <w:b w:val="0"/>
          <w:i w:val="0"/>
        </w:rPr>
        <w:t>47 private companies match. Filtered to founder-owned, €5–20M revenue, EU-HQ and enriched each with sector, revenue estimate and website.</w:t>
      </w:r>
    </w:p>
    <w:p>
      <w:pPr>
        <w:spacing w:before="200" w:after="20"/>
      </w:pPr>
      <w:r>
        <w:rPr>
          <w:b/>
          <w:color w:val="1D4ED8"/>
          <w:sz w:val="18"/>
        </w:rPr>
        <w:t>OUTPUT SHOWN</w:t>
      </w:r>
    </w:p>
    <w:p>
      <w:r>
        <w:rPr>
          <w:b w:val="0"/>
          <w:i w:val="0"/>
          <w:color w:val="5B6B85"/>
        </w:rPr>
        <w:t>Rendered deliverable — Company Discovery · 47 matches</w:t>
      </w:r>
    </w:p>
    <w:p>
      <w:pPr>
        <w:pStyle w:val="ListBullet"/>
      </w:pPr>
      <w:r>
        <w:rPr>
          <w:b/>
        </w:rPr>
        <w:t xml:space="preserve">Northwind Freight OS </w:t>
      </w:r>
      <w:r>
        <w:rPr>
          <w:color w:val="5B6B85"/>
        </w:rPr>
        <w:t>— €18M · NL</w:t>
      </w:r>
    </w:p>
    <w:p>
      <w:pPr>
        <w:pStyle w:val="ListBullet"/>
      </w:pPr>
      <w:r>
        <w:rPr>
          <w:b/>
        </w:rPr>
        <w:t xml:space="preserve">Cargoflow </w:t>
      </w:r>
      <w:r>
        <w:rPr>
          <w:color w:val="5B6B85"/>
        </w:rPr>
        <w:t>— €12M · DE</w:t>
      </w:r>
    </w:p>
    <w:p>
      <w:pPr>
        <w:pStyle w:val="ListBullet"/>
      </w:pPr>
      <w:r>
        <w:rPr>
          <w:b/>
        </w:rPr>
        <w:t xml:space="preserve">Portbase Labs </w:t>
      </w:r>
      <w:r>
        <w:rPr>
          <w:color w:val="5B6B85"/>
        </w:rPr>
        <w:t>— €9M · BE</w:t>
      </w:r>
    </w:p>
    <w:p>
      <w:pPr>
        <w:pStyle w:val="ListBullet"/>
      </w:pPr>
      <w:r>
        <w:rPr>
          <w:b/>
        </w:rPr>
        <w:t xml:space="preserve">Transply </w:t>
      </w:r>
      <w:r>
        <w:rPr>
          <w:color w:val="5B6B85"/>
        </w:rPr>
        <w:t>— €6M · SE</w:t>
      </w:r>
    </w:p>
    <w:p>
      <w:pPr>
        <w:pStyle w:val="ListBullet"/>
      </w:pPr>
      <w:r>
        <w:rPr>
          <w:b/>
        </w:rPr>
        <w:t xml:space="preserve">+ 43 more </w:t>
      </w:r>
      <w:r>
        <w:rPr>
          <w:color w:val="5B6B85"/>
        </w:rPr>
        <w:t>— ranked by fit</w:t>
      </w:r>
    </w:p>
    <w:p>
      <w:r>
        <w:rPr>
          <w:b w:val="0"/>
          <w:i w:val="0"/>
          <w:color w:val="5B6B85"/>
        </w:rPr>
        <w:t>→ 47 sent to Market Map &amp; Screener</w:t>
      </w:r>
    </w:p>
    <w:p>
      <w:pPr>
        <w:pBdr>
          <w:bottom w:val="single" w:sz="6" w:space="1" w:color="D5E2FF"/>
        </w:pBdr>
        <w:spacing w:before="80" w:after="160"/>
      </w:pPr>
    </w:p>
    <w:p>
      <w:pPr>
        <w:pStyle w:val="Heading1"/>
      </w:pPr>
      <w:r>
        <w:t>03 · Knowledge bases</w:t>
      </w:r>
    </w:p>
    <w:p>
      <w:pPr>
        <w:spacing w:before="200" w:after="20"/>
      </w:pPr>
      <w:r>
        <w:rPr>
          <w:b/>
          <w:color w:val="1D4ED8"/>
          <w:sz w:val="18"/>
        </w:rPr>
        <w:t>HIGHLIGHTED TASK</w:t>
      </w:r>
    </w:p>
    <w:p>
      <w:r>
        <w:rPr>
          <w:b/>
          <w:i w:val="0"/>
        </w:rPr>
        <w:t>Investment thesis library — your firm’s judgement, made queryable</w:t>
      </w:r>
    </w:p>
    <w:p>
      <w:pPr>
        <w:spacing w:before="200" w:after="20"/>
      </w:pPr>
      <w:r>
        <w:rPr>
          <w:b/>
          <w:color w:val="1D4ED8"/>
          <w:sz w:val="18"/>
        </w:rPr>
        <w:t>USER ASKS</w:t>
      </w:r>
    </w:p>
    <w:p>
      <w:pPr>
        <w:pBdr>
          <w:left w:val="single" w:sz="18" w:space="8" w:color="1D4ED8"/>
        </w:pBdr>
        <w:spacing w:before="80" w:after="120"/>
        <w:ind w:left="200"/>
      </w:pPr>
      <w:r>
        <w:rPr>
          <w:i/>
          <w:sz w:val="24"/>
        </w:rPr>
        <w:t>“Does Project Atlas meet our investment thesis?”</w:t>
      </w:r>
    </w:p>
    <w:p>
      <w:pPr>
        <w:spacing w:before="200" w:after="20"/>
      </w:pPr>
      <w:r>
        <w:rPr>
          <w:b/>
          <w:color w:val="1D4ED8"/>
          <w:sz w:val="18"/>
        </w:rPr>
        <w:t>CLAUDE RESPONDS</w:t>
      </w:r>
    </w:p>
    <w:p>
      <w:r>
        <w:rPr>
          <w:b w:val="0"/>
          <w:i w:val="0"/>
        </w:rPr>
        <w:t>Retrieving your vertical-SaaS thesis and scoring Atlas against each criterion…</w:t>
      </w:r>
    </w:p>
    <w:p>
      <w:r>
        <w:rPr>
          <w:b w:val="0"/>
          <w:i w:val="0"/>
        </w:rPr>
        <w:t>Atlas meets 4 of your 5 thesis tests — strong on growth, ownership and retention, with one flag on customer concentration to diligence.</w:t>
      </w:r>
    </w:p>
    <w:p>
      <w:pPr>
        <w:spacing w:before="200" w:after="20"/>
      </w:pPr>
      <w:r>
        <w:rPr>
          <w:b/>
          <w:color w:val="1D4ED8"/>
          <w:sz w:val="18"/>
        </w:rPr>
        <w:t>OUTPUT SHOWN</w:t>
      </w:r>
    </w:p>
    <w:p>
      <w:r>
        <w:rPr>
          <w:b w:val="0"/>
          <w:i w:val="0"/>
          <w:color w:val="5B6B85"/>
        </w:rPr>
        <w:t>Rendered deliverable — Thesis fit scorecard · Project Atlas</w:t>
      </w:r>
    </w:p>
    <w:p>
      <w:pPr>
        <w:pStyle w:val="ListBullet"/>
      </w:pPr>
      <w:r>
        <w:rPr>
          <w:b/>
        </w:rPr>
        <w:t xml:space="preserve">✓ Recurring revenue &gt; 70% </w:t>
      </w:r>
      <w:r>
        <w:rPr>
          <w:color w:val="5B6B85"/>
        </w:rPr>
        <w:t>— 92% ARR</w:t>
      </w:r>
    </w:p>
    <w:p>
      <w:pPr>
        <w:pStyle w:val="ListBullet"/>
      </w:pPr>
      <w:r>
        <w:rPr>
          <w:b/>
        </w:rPr>
        <w:t xml:space="preserve">✓ Growth &gt; 30% </w:t>
      </w:r>
      <w:r>
        <w:rPr>
          <w:color w:val="5B6B85"/>
        </w:rPr>
        <w:t>— 38% YoY</w:t>
      </w:r>
    </w:p>
    <w:p>
      <w:pPr>
        <w:pStyle w:val="ListBullet"/>
      </w:pPr>
      <w:r>
        <w:rPr>
          <w:b/>
        </w:rPr>
        <w:t xml:space="preserve">✓ Founder-owned </w:t>
      </w:r>
      <w:r>
        <w:rPr>
          <w:color w:val="5B6B85"/>
        </w:rPr>
        <w:t>— Yes</w:t>
      </w:r>
    </w:p>
    <w:p>
      <w:pPr>
        <w:pStyle w:val="ListBullet"/>
      </w:pPr>
      <w:r>
        <w:rPr>
          <w:b/>
        </w:rPr>
        <w:t xml:space="preserve">✓ Net retention &gt; 110% </w:t>
      </w:r>
      <w:r>
        <w:rPr>
          <w:color w:val="5B6B85"/>
        </w:rPr>
        <w:t>— 118%</w:t>
      </w:r>
    </w:p>
    <w:p>
      <w:pPr>
        <w:pStyle w:val="ListBullet"/>
      </w:pPr>
      <w:r>
        <w:rPr>
          <w:b/>
        </w:rPr>
        <w:t xml:space="preserve">⚠ Customer concentration &lt; 30% </w:t>
      </w:r>
      <w:r>
        <w:rPr>
          <w:color w:val="5B6B85"/>
        </w:rPr>
        <w:t>— Top-3 = 41% (flag)</w:t>
      </w:r>
    </w:p>
    <w:p>
      <w:pPr>
        <w:pStyle w:val="ListBullet"/>
      </w:pPr>
      <w:r>
        <w:rPr>
          <w:b/>
        </w:rPr>
        <w:t xml:space="preserve">Verdict: </w:t>
      </w:r>
      <w:r>
        <w:rPr>
          <w:color w:val="5B6B85"/>
        </w:rPr>
        <w:t>Meets 4 of 5 · Strong fit — diligence the concentration risk before IC.</w:t>
      </w:r>
    </w:p>
    <w:p>
      <w:r>
        <w:rPr>
          <w:b w:val="0"/>
          <w:i w:val="0"/>
          <w:color w:val="5B6B85"/>
        </w:rPr>
        <w:t>Scored against your Vertical-SaaS thesis</w:t>
      </w:r>
    </w:p>
    <w:p>
      <w:pPr>
        <w:pBdr>
          <w:bottom w:val="single" w:sz="6" w:space="1" w:color="D5E2FF"/>
        </w:pBdr>
        <w:spacing w:before="80" w:after="160"/>
      </w:pPr>
    </w:p>
    <w:p>
      <w:pPr>
        <w:pStyle w:val="Heading1"/>
      </w:pPr>
      <w:r>
        <w:t>04 · Components</w:t>
      </w:r>
    </w:p>
    <w:p>
      <w:pPr>
        <w:spacing w:before="200" w:after="20"/>
      </w:pPr>
      <w:r>
        <w:rPr>
          <w:b/>
          <w:color w:val="1D4ED8"/>
          <w:sz w:val="18"/>
        </w:rPr>
        <w:t>HIGHLIGHTED TASK</w:t>
      </w:r>
    </w:p>
    <w:p>
      <w:r>
        <w:rPr>
          <w:b/>
          <w:i w:val="0"/>
        </w:rPr>
        <w:t>Positioning Scatter — plot a market on two axes to spot the standouts</w:t>
      </w:r>
    </w:p>
    <w:p>
      <w:pPr>
        <w:spacing w:before="200" w:after="20"/>
      </w:pPr>
      <w:r>
        <w:rPr>
          <w:b/>
          <w:color w:val="1D4ED8"/>
          <w:sz w:val="18"/>
        </w:rPr>
        <w:t>USER ASKS</w:t>
      </w:r>
    </w:p>
    <w:p>
      <w:pPr>
        <w:pBdr>
          <w:left w:val="single" w:sz="18" w:space="8" w:color="1D4ED8"/>
        </w:pBdr>
        <w:spacing w:before="80" w:after="120"/>
        <w:ind w:left="200"/>
      </w:pPr>
      <w:r>
        <w:rPr>
          <w:i/>
          <w:sz w:val="24"/>
        </w:rPr>
        <w:t>“How does Atlas compare to its peers on growth, margins, and valuation?”</w:t>
      </w:r>
    </w:p>
    <w:p>
      <w:pPr>
        <w:spacing w:before="200" w:after="20"/>
      </w:pPr>
      <w:r>
        <w:rPr>
          <w:b/>
          <w:color w:val="1D4ED8"/>
          <w:sz w:val="18"/>
        </w:rPr>
        <w:t>CLAUDE RESPONDS</w:t>
      </w:r>
    </w:p>
    <w:p>
      <w:r>
        <w:rPr>
          <w:b w:val="0"/>
          <w:i w:val="0"/>
        </w:rPr>
        <w:t>Benchmarking Atlas against 8 comparable vertical-SaaS logistics players…</w:t>
      </w:r>
    </w:p>
    <w:p>
      <w:r>
        <w:rPr>
          <w:b w:val="0"/>
          <w:i w:val="0"/>
        </w:rPr>
        <w:t>Atlas sits top-right: above-median growth at healthy margins — and still priced below the peer multiple.</w:t>
      </w:r>
    </w:p>
    <w:p>
      <w:pPr>
        <w:spacing w:before="200" w:after="20"/>
      </w:pPr>
      <w:r>
        <w:rPr>
          <w:b/>
          <w:color w:val="1D4ED8"/>
          <w:sz w:val="18"/>
        </w:rPr>
        <w:t>OUTPUT SHOWN</w:t>
      </w:r>
    </w:p>
    <w:p>
      <w:r>
        <w:rPr>
          <w:b w:val="0"/>
          <w:i w:val="0"/>
          <w:color w:val="5B6B85"/>
        </w:rPr>
        <w:t>Rendered deliverable — Positioning Scatter (growth vs. EBITDA margin; bubble = revenue)</w:t>
      </w:r>
    </w:p>
    <w:p>
      <w:pPr>
        <w:pStyle w:val="ListBullet"/>
      </w:pPr>
      <w:r>
        <w:rPr>
          <w:b/>
        </w:rPr>
        <w:t xml:space="preserve">Chart: </w:t>
      </w:r>
      <w:r>
        <w:rPr>
          <w:color w:val="5B6B85"/>
        </w:rPr>
        <w:t>8 peers plotted; Project Atlas highlighted top-right</w:t>
      </w:r>
    </w:p>
    <w:p>
      <w:pPr>
        <w:pStyle w:val="ListBullet"/>
      </w:pPr>
      <w:r>
        <w:rPr>
          <w:b/>
        </w:rPr>
        <w:t xml:space="preserve">Summary: </w:t>
      </w:r>
      <w:r>
        <w:rPr>
          <w:color w:val="5B6B85"/>
        </w:rPr>
        <w:t>Atlas leads on growth-adjusted value — 38% growth at 22% EBITDA margin, ~1.5 turns below the peer-median multiple.</w:t>
      </w:r>
    </w:p>
    <w:p>
      <w:pPr>
        <w:pBdr>
          <w:bottom w:val="single" w:sz="6" w:space="1" w:color="D5E2FF"/>
        </w:pBdr>
        <w:spacing w:before="80" w:after="160"/>
      </w:pPr>
    </w:p>
    <w:p>
      <w:pPr>
        <w:pStyle w:val="Heading1"/>
      </w:pPr>
      <w:r>
        <w:t>05 · Office templates</w:t>
      </w:r>
    </w:p>
    <w:p>
      <w:pPr>
        <w:spacing w:before="200" w:after="20"/>
      </w:pPr>
      <w:r>
        <w:rPr>
          <w:b/>
          <w:color w:val="1D4ED8"/>
          <w:sz w:val="18"/>
        </w:rPr>
        <w:t>HIGHLIGHTED TASK</w:t>
      </w:r>
    </w:p>
    <w:p>
      <w:r>
        <w:rPr>
          <w:b/>
          <w:i w:val="0"/>
        </w:rPr>
        <w:t>IC Memo — the full investment committee memo (Word)</w:t>
      </w:r>
    </w:p>
    <w:p>
      <w:pPr>
        <w:spacing w:before="200" w:after="20"/>
      </w:pPr>
      <w:r>
        <w:rPr>
          <w:b/>
          <w:color w:val="1D4ED8"/>
          <w:sz w:val="18"/>
        </w:rPr>
        <w:t>USER ASKS</w:t>
      </w:r>
    </w:p>
    <w:p>
      <w:pPr>
        <w:pBdr>
          <w:left w:val="single" w:sz="18" w:space="8" w:color="1D4ED8"/>
        </w:pBdr>
        <w:spacing w:before="80" w:after="120"/>
        <w:ind w:left="200"/>
      </w:pPr>
      <w:r>
        <w:rPr>
          <w:i/>
          <w:sz w:val="24"/>
        </w:rPr>
        <w:t>“Turn everything we have on Atlas into our house-style IC memo.”</w:t>
      </w:r>
    </w:p>
    <w:p>
      <w:pPr>
        <w:spacing w:before="200" w:after="20"/>
      </w:pPr>
      <w:r>
        <w:rPr>
          <w:b/>
          <w:color w:val="1D4ED8"/>
          <w:sz w:val="18"/>
        </w:rPr>
        <w:t>CLAUDE RESPONDS</w:t>
      </w:r>
    </w:p>
    <w:p>
      <w:r>
        <w:rPr>
          <w:b w:val="0"/>
          <w:i w:val="0"/>
        </w:rPr>
        <w:t>Assembling the memo from the thesis fit, comps, diligence findings and returns model…</w:t>
      </w:r>
    </w:p>
    <w:p>
      <w:r>
        <w:rPr>
          <w:b w:val="0"/>
          <w:i w:val="0"/>
        </w:rPr>
        <w:t>Drafted a full IC memo in your template — comps table and risk heatmap embedded, 2 open items flagged for the deal team.</w:t>
      </w:r>
    </w:p>
    <w:p>
      <w:pPr>
        <w:spacing w:before="200" w:after="20"/>
      </w:pPr>
      <w:r>
        <w:rPr>
          <w:b/>
          <w:color w:val="1D4ED8"/>
          <w:sz w:val="18"/>
        </w:rPr>
        <w:t>OUTPUT SHOWN</w:t>
      </w:r>
    </w:p>
    <w:p>
      <w:r>
        <w:rPr>
          <w:b w:val="0"/>
          <w:i w:val="0"/>
          <w:color w:val="5B6B85"/>
        </w:rPr>
        <w:t>Rendered deliverable — Project Atlas — IC Memo.docx (Word · house template)</w:t>
      </w:r>
    </w:p>
    <w:p>
      <w:pPr>
        <w:pStyle w:val="ListBullet"/>
      </w:pPr>
      <w:r>
        <w:rPr>
          <w:b/>
        </w:rPr>
        <w:t xml:space="preserve">Sections: </w:t>
      </w:r>
      <w:r>
        <w:rPr>
          <w:color w:val="5B6B85"/>
        </w:rPr>
        <w:t>1) Executive summary &amp; recommendation  2) Investment thesis &amp; fit  3) Market &amp; competitive position  4) Financials &amp; comparable companies  5) Diligence findings &amp; key risks  6) Valuation &amp; returns  7) Proposed deal structure</w:t>
      </w:r>
    </w:p>
    <w:p>
      <w:pPr>
        <w:pStyle w:val="ListBullet"/>
      </w:pPr>
      <w:r>
        <w:rPr>
          <w:b/>
        </w:rPr>
        <w:t xml:space="preserve">Recommendation: </w:t>
      </w:r>
      <w:r>
        <w:rPr>
          <w:color w:val="5B6B85"/>
        </w:rPr>
        <w:t>proceed to confirmatory DD · entry €120M (11.5× EBITDA) · base case 2.8× / 24% IRR</w:t>
      </w:r>
    </w:p>
    <w:p>
      <w:pPr>
        <w:pBdr>
          <w:bottom w:val="single" w:sz="6" w:space="1" w:color="D5E2FF"/>
        </w:pBdr>
        <w:spacing w:before="80" w:after="16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F1B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D4ED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0F1B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F1B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/>
      <w:i/>
      <w:iCs/>
      <w:color w:val="1D4ED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