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4759494" w:displacedByCustomXml="next"/>
    <w:sdt>
      <w:sdtPr>
        <w:rPr>
          <w:rFonts w:eastAsiaTheme="minorHAnsi"/>
          <w:color w:val="4472C4" w:themeColor="accent1"/>
          <w:lang w:val="en-IN"/>
        </w:rPr>
        <w:id w:val="1077010669"/>
        <w:docPartObj>
          <w:docPartGallery w:val="Cover Pages"/>
          <w:docPartUnique/>
        </w:docPartObj>
      </w:sdtPr>
      <w:sdtEndPr>
        <w:rPr>
          <w:b/>
          <w:bCs/>
          <w:color w:val="auto"/>
          <w:sz w:val="40"/>
          <w:szCs w:val="40"/>
        </w:rPr>
      </w:sdtEndPr>
      <w:sdtContent>
        <w:p w:rsidR="00605E19" w:rsidRDefault="00605E19">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Open Sans" w:hAnsi="Open Sans" w:cs="Open Sans"/>
              <w:b/>
              <w:bCs/>
              <w:i/>
              <w:iCs/>
              <w:color w:val="333333"/>
              <w:sz w:val="44"/>
              <w:szCs w:val="44"/>
              <w:shd w:val="clear" w:color="auto" w:fill="FFFFFF"/>
            </w:rPr>
            <w:alias w:val="Title"/>
            <w:tag w:val=""/>
            <w:id w:val="1735040861"/>
            <w:placeholder>
              <w:docPart w:val="4BE92570776E4FCCA875636CF847BFEA"/>
            </w:placeholder>
            <w:dataBinding w:prefixMappings="xmlns:ns0='http://purl.org/dc/elements/1.1/' xmlns:ns1='http://schemas.openxmlformats.org/package/2006/metadata/core-properties' " w:xpath="/ns1:coreProperties[1]/ns0:title[1]" w:storeItemID="{6C3C8BC8-F283-45AE-878A-BAB7291924A1}"/>
            <w:text/>
          </w:sdtPr>
          <w:sdtContent>
            <w:p w:rsidR="00605E19" w:rsidRPr="00605E19" w:rsidRDefault="00605E1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4"/>
                  <w:szCs w:val="44"/>
                </w:rPr>
              </w:pPr>
              <w:r w:rsidRPr="00605E19">
                <w:rPr>
                  <w:rFonts w:ascii="Open Sans" w:hAnsi="Open Sans" w:cs="Open Sans"/>
                  <w:b/>
                  <w:bCs/>
                  <w:i/>
                  <w:iCs/>
                  <w:color w:val="333333"/>
                  <w:sz w:val="44"/>
                  <w:szCs w:val="44"/>
                  <w:shd w:val="clear" w:color="auto" w:fill="FFFFFF"/>
                </w:rPr>
                <w:t xml:space="preserve">Barriers </w:t>
              </w:r>
              <w:r>
                <w:rPr>
                  <w:rFonts w:ascii="Open Sans" w:hAnsi="Open Sans" w:cs="Open Sans"/>
                  <w:b/>
                  <w:bCs/>
                  <w:i/>
                  <w:iCs/>
                  <w:color w:val="333333"/>
                  <w:sz w:val="44"/>
                  <w:szCs w:val="44"/>
                  <w:shd w:val="clear" w:color="auto" w:fill="FFFFFF"/>
                </w:rPr>
                <w:t>t</w:t>
              </w:r>
              <w:r w:rsidRPr="00605E19">
                <w:rPr>
                  <w:rFonts w:ascii="Open Sans" w:hAnsi="Open Sans" w:cs="Open Sans"/>
                  <w:b/>
                  <w:bCs/>
                  <w:i/>
                  <w:iCs/>
                  <w:color w:val="333333"/>
                  <w:sz w:val="44"/>
                  <w:szCs w:val="44"/>
                  <w:shd w:val="clear" w:color="auto" w:fill="FFFFFF"/>
                </w:rPr>
                <w:t>o BAME Employees' Employment and Progression in U</w:t>
              </w:r>
              <w:r>
                <w:rPr>
                  <w:rFonts w:ascii="Open Sans" w:hAnsi="Open Sans" w:cs="Open Sans"/>
                  <w:b/>
                  <w:bCs/>
                  <w:i/>
                  <w:iCs/>
                  <w:color w:val="333333"/>
                  <w:sz w:val="44"/>
                  <w:szCs w:val="44"/>
                  <w:shd w:val="clear" w:color="auto" w:fill="FFFFFF"/>
                </w:rPr>
                <w:t>K</w:t>
              </w:r>
              <w:r w:rsidRPr="00605E19">
                <w:rPr>
                  <w:rFonts w:ascii="Open Sans" w:hAnsi="Open Sans" w:cs="Open Sans"/>
                  <w:b/>
                  <w:bCs/>
                  <w:i/>
                  <w:iCs/>
                  <w:color w:val="333333"/>
                  <w:sz w:val="44"/>
                  <w:szCs w:val="44"/>
                  <w:shd w:val="clear" w:color="auto" w:fill="FFFFFF"/>
                </w:rPr>
                <w:t xml:space="preserve"> Workplace</w:t>
              </w:r>
            </w:p>
          </w:sdtContent>
        </w:sdt>
        <w:sdt>
          <w:sdtPr>
            <w:rPr>
              <w:b/>
              <w:bCs/>
              <w:color w:val="4472C4" w:themeColor="accent1"/>
              <w:sz w:val="28"/>
              <w:szCs w:val="28"/>
            </w:rPr>
            <w:alias w:val="Subtitle"/>
            <w:tag w:val=""/>
            <w:id w:val="328029620"/>
            <w:placeholder>
              <w:docPart w:val="32A3401180CF4DB7BC0C292E33807D3A"/>
            </w:placeholder>
            <w:dataBinding w:prefixMappings="xmlns:ns0='http://purl.org/dc/elements/1.1/' xmlns:ns1='http://schemas.openxmlformats.org/package/2006/metadata/core-properties' " w:xpath="/ns1:coreProperties[1]/ns0:subject[1]" w:storeItemID="{6C3C8BC8-F283-45AE-878A-BAB7291924A1}"/>
            <w:text/>
          </w:sdtPr>
          <w:sdtContent>
            <w:p w:rsidR="00605E19" w:rsidRDefault="00592D41">
              <w:pPr>
                <w:pStyle w:val="NoSpacing"/>
                <w:jc w:val="center"/>
                <w:rPr>
                  <w:color w:val="4472C4" w:themeColor="accent1"/>
                  <w:sz w:val="28"/>
                  <w:szCs w:val="28"/>
                </w:rPr>
              </w:pPr>
              <w:r w:rsidRPr="00592D41">
                <w:rPr>
                  <w:b/>
                  <w:bCs/>
                  <w:color w:val="4472C4" w:themeColor="accent1"/>
                  <w:sz w:val="28"/>
                  <w:szCs w:val="28"/>
                </w:rPr>
                <w:t>Time series Forecasting using SPSS and Tableau</w:t>
              </w:r>
            </w:p>
          </w:sdtContent>
        </w:sdt>
        <w:p w:rsidR="00605E19" w:rsidRDefault="00605E19">
          <w:pPr>
            <w:pStyle w:val="NoSpacing"/>
            <w:spacing w:before="480"/>
            <w:jc w:val="center"/>
            <w:rPr>
              <w:color w:val="4472C4" w:themeColor="accent1"/>
            </w:rPr>
          </w:pP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05E19" w:rsidRDefault="000B1654">
          <w:pPr>
            <w:rPr>
              <w:b/>
              <w:bCs/>
              <w:sz w:val="40"/>
              <w:szCs w:val="40"/>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posOffset>-739140</wp:posOffset>
                    </wp:positionH>
                    <wp:positionV relativeFrom="page">
                      <wp:posOffset>9067800</wp:posOffset>
                    </wp:positionV>
                    <wp:extent cx="4815840" cy="982980"/>
                    <wp:effectExtent l="0" t="0" r="3810" b="7620"/>
                    <wp:wrapNone/>
                    <wp:docPr id="142" name="Text Box 142"/>
                    <wp:cNvGraphicFramePr/>
                    <a:graphic xmlns:a="http://schemas.openxmlformats.org/drawingml/2006/main">
                      <a:graphicData uri="http://schemas.microsoft.com/office/word/2010/wordprocessingShape">
                        <wps:wsp>
                          <wps:cNvSpPr txBox="1"/>
                          <wps:spPr>
                            <a:xfrm>
                              <a:off x="0" y="0"/>
                              <a:ext cx="4815840" cy="982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4472C4" w:themeColor="accent1"/>
                                    <w:sz w:val="32"/>
                                    <w:szCs w:val="32"/>
                                    <w:highlight w:val="lightGray"/>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05E19" w:rsidRPr="00D31779" w:rsidRDefault="00EC1C23" w:rsidP="000B1654">
                                    <w:pPr>
                                      <w:pStyle w:val="NoSpacing"/>
                                      <w:spacing w:after="40"/>
                                      <w:rPr>
                                        <w:b/>
                                        <w:bCs/>
                                        <w:caps/>
                                        <w:color w:val="4472C4" w:themeColor="accent1"/>
                                        <w:sz w:val="32"/>
                                        <w:szCs w:val="32"/>
                                        <w:highlight w:val="lightGray"/>
                                      </w:rPr>
                                    </w:pPr>
                                    <w:r w:rsidRPr="00D31779">
                                      <w:rPr>
                                        <w:b/>
                                        <w:bCs/>
                                        <w:caps/>
                                        <w:color w:val="4472C4" w:themeColor="accent1"/>
                                        <w:sz w:val="32"/>
                                        <w:szCs w:val="32"/>
                                        <w:highlight w:val="lightGray"/>
                                      </w:rPr>
                                      <w:t>Vijay Kasotia</w:t>
                                    </w:r>
                                  </w:p>
                                </w:sdtContent>
                              </w:sdt>
                              <w:p w:rsidR="00605E19" w:rsidRPr="00D31779" w:rsidRDefault="00000000" w:rsidP="000B1654">
                                <w:pPr>
                                  <w:pStyle w:val="NoSpacing"/>
                                  <w:rPr>
                                    <w:b/>
                                    <w:bCs/>
                                    <w:color w:val="4472C4" w:themeColor="accent1"/>
                                    <w:sz w:val="26"/>
                                    <w:szCs w:val="26"/>
                                    <w:highlight w:val="lightGray"/>
                                  </w:rPr>
                                </w:pPr>
                                <w:sdt>
                                  <w:sdtPr>
                                    <w:rPr>
                                      <w:b/>
                                      <w:bCs/>
                                      <w:caps/>
                                      <w:color w:val="4472C4" w:themeColor="accent1"/>
                                      <w:sz w:val="26"/>
                                      <w:szCs w:val="26"/>
                                      <w:highlight w:val="lightGray"/>
                                    </w:rPr>
                                    <w:alias w:val="Company"/>
                                    <w:tag w:val=""/>
                                    <w:id w:val="1390145197"/>
                                    <w:dataBinding w:prefixMappings="xmlns:ns0='http://schemas.openxmlformats.org/officeDocument/2006/extended-properties' " w:xpath="/ns0:Properties[1]/ns0:Company[1]" w:storeItemID="{6668398D-A668-4E3E-A5EB-62B293D839F1}"/>
                                    <w:text/>
                                  </w:sdtPr>
                                  <w:sdtContent>
                                    <w:r w:rsidR="00EC1C23" w:rsidRPr="00D31779">
                                      <w:rPr>
                                        <w:b/>
                                        <w:bCs/>
                                        <w:caps/>
                                        <w:color w:val="4472C4" w:themeColor="accent1"/>
                                        <w:sz w:val="26"/>
                                        <w:szCs w:val="26"/>
                                        <w:highlight w:val="lightGray"/>
                                      </w:rPr>
                                      <w:t xml:space="preserve">Email: </w:t>
                                    </w:r>
                                    <w:r w:rsidR="000B1654" w:rsidRPr="00D31779">
                                      <w:rPr>
                                        <w:b/>
                                        <w:bCs/>
                                        <w:color w:val="4472C4" w:themeColor="accent1"/>
                                        <w:sz w:val="26"/>
                                        <w:szCs w:val="26"/>
                                        <w:highlight w:val="lightGray"/>
                                      </w:rPr>
                                      <w:t>vk73742@gmail.com</w:t>
                                    </w:r>
                                  </w:sdtContent>
                                </w:sdt>
                              </w:p>
                              <w:p w:rsidR="00605E19" w:rsidRPr="00D31779" w:rsidRDefault="00000000" w:rsidP="000B1654">
                                <w:pPr>
                                  <w:pStyle w:val="NoSpacing"/>
                                  <w:rPr>
                                    <w:b/>
                                    <w:bCs/>
                                    <w:color w:val="4472C4" w:themeColor="accent1"/>
                                    <w:sz w:val="26"/>
                                    <w:szCs w:val="26"/>
                                    <w:highlight w:val="lightGray"/>
                                  </w:rPr>
                                </w:pPr>
                                <w:sdt>
                                  <w:sdtPr>
                                    <w:rPr>
                                      <w:b/>
                                      <w:bCs/>
                                      <w:color w:val="4472C4" w:themeColor="accent1"/>
                                      <w:sz w:val="26"/>
                                      <w:szCs w:val="26"/>
                                      <w:highlight w:val="lightGray"/>
                                    </w:rPr>
                                    <w:alias w:val="Address"/>
                                    <w:tag w:val=""/>
                                    <w:id w:val="-726379553"/>
                                    <w:dataBinding w:prefixMappings="xmlns:ns0='http://schemas.microsoft.com/office/2006/coverPageProps' " w:xpath="/ns0:CoverPageProperties[1]/ns0:CompanyAddress[1]" w:storeItemID="{55AF091B-3C7A-41E3-B477-F2FDAA23CFDA}"/>
                                    <w:text/>
                                  </w:sdtPr>
                                  <w:sdtContent>
                                    <w:r w:rsidR="000B1654" w:rsidRPr="00D31779">
                                      <w:rPr>
                                        <w:b/>
                                        <w:bCs/>
                                        <w:color w:val="4472C4" w:themeColor="accent1"/>
                                        <w:sz w:val="26"/>
                                        <w:szCs w:val="26"/>
                                        <w:highlight w:val="lightGray"/>
                                      </w:rPr>
                                      <w:t>LinkedIn: https://www.linkedin.com/in/vijay-kasotia-5602a6134/</w:t>
                                    </w:r>
                                  </w:sdtContent>
                                </w:sdt>
                              </w:p>
                              <w:p w:rsidR="000B1654" w:rsidRPr="00D31779" w:rsidRDefault="000B1654" w:rsidP="000B1654">
                                <w:pPr>
                                  <w:pStyle w:val="NoSpacing"/>
                                  <w:rPr>
                                    <w:b/>
                                    <w:bCs/>
                                    <w:color w:val="4472C4" w:themeColor="accent1"/>
                                    <w:sz w:val="26"/>
                                    <w:szCs w:val="26"/>
                                  </w:rPr>
                                </w:pPr>
                                <w:r w:rsidRPr="00D31779">
                                  <w:rPr>
                                    <w:b/>
                                    <w:bCs/>
                                    <w:color w:val="4472C4" w:themeColor="accent1"/>
                                    <w:sz w:val="26"/>
                                    <w:szCs w:val="26"/>
                                    <w:highlight w:val="lightGray"/>
                                  </w:rPr>
                                  <w:t>Github: https://github.com/Vijay290197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58.2pt;margin-top:714pt;width:379.2pt;height:7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" filled="f" stroked="f" strokeweight=".5pt">
                    <v:textbox inset="0,0,0,0">
                      <w:txbxContent>
                        <w:sdt>
                          <w:sdtPr>
                            <w:rPr>
                              <w:b/>
                              <w:bCs/>
                              <w:caps/>
                              <w:color w:val="4472C4" w:themeColor="accent1"/>
                              <w:sz w:val="32"/>
                              <w:szCs w:val="32"/>
                              <w:highlight w:val="lightGray"/>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05E19" w:rsidRPr="00D31779" w:rsidRDefault="00EC1C23" w:rsidP="000B1654">
                              <w:pPr>
                                <w:pStyle w:val="NoSpacing"/>
                                <w:spacing w:after="40"/>
                                <w:rPr>
                                  <w:b/>
                                  <w:bCs/>
                                  <w:caps/>
                                  <w:color w:val="4472C4" w:themeColor="accent1"/>
                                  <w:sz w:val="32"/>
                                  <w:szCs w:val="32"/>
                                  <w:highlight w:val="lightGray"/>
                                </w:rPr>
                              </w:pPr>
                              <w:r w:rsidRPr="00D31779">
                                <w:rPr>
                                  <w:b/>
                                  <w:bCs/>
                                  <w:caps/>
                                  <w:color w:val="4472C4" w:themeColor="accent1"/>
                                  <w:sz w:val="32"/>
                                  <w:szCs w:val="32"/>
                                  <w:highlight w:val="lightGray"/>
                                </w:rPr>
                                <w:t>Vijay Kasotia</w:t>
                              </w:r>
                            </w:p>
                          </w:sdtContent>
                        </w:sdt>
                        <w:p w:rsidR="00605E19" w:rsidRPr="00D31779" w:rsidRDefault="00605E19" w:rsidP="000B1654">
                          <w:pPr>
                            <w:pStyle w:val="NoSpacing"/>
                            <w:rPr>
                              <w:b/>
                              <w:bCs/>
                              <w:color w:val="4472C4" w:themeColor="accent1"/>
                              <w:sz w:val="26"/>
                              <w:szCs w:val="26"/>
                              <w:highlight w:val="lightGray"/>
                            </w:rPr>
                          </w:pPr>
                          <w:sdt>
                            <w:sdtPr>
                              <w:rPr>
                                <w:b/>
                                <w:bCs/>
                                <w:caps/>
                                <w:color w:val="4472C4" w:themeColor="accent1"/>
                                <w:sz w:val="26"/>
                                <w:szCs w:val="26"/>
                                <w:highlight w:val="lightGray"/>
                              </w:rPr>
                              <w:alias w:val="Company"/>
                              <w:tag w:val=""/>
                              <w:id w:val="1390145197"/>
                              <w:dataBinding w:prefixMappings="xmlns:ns0='http://schemas.openxmlformats.org/officeDocument/2006/extended-properties' " w:xpath="/ns0:Properties[1]/ns0:Company[1]" w:storeItemID="{6668398D-A668-4E3E-A5EB-62B293D839F1}"/>
                              <w:text/>
                            </w:sdtPr>
                            <w:sdtContent>
                              <w:r w:rsidR="00EC1C23" w:rsidRPr="00D31779">
                                <w:rPr>
                                  <w:b/>
                                  <w:bCs/>
                                  <w:caps/>
                                  <w:color w:val="4472C4" w:themeColor="accent1"/>
                                  <w:sz w:val="26"/>
                                  <w:szCs w:val="26"/>
                                  <w:highlight w:val="lightGray"/>
                                </w:rPr>
                                <w:t xml:space="preserve">Email: </w:t>
                              </w:r>
                              <w:r w:rsidR="000B1654" w:rsidRPr="00D31779">
                                <w:rPr>
                                  <w:b/>
                                  <w:bCs/>
                                  <w:color w:val="4472C4" w:themeColor="accent1"/>
                                  <w:sz w:val="26"/>
                                  <w:szCs w:val="26"/>
                                  <w:highlight w:val="lightGray"/>
                                </w:rPr>
                                <w:t>vk73742@gmail.com</w:t>
                              </w:r>
                            </w:sdtContent>
                          </w:sdt>
                        </w:p>
                        <w:p w:rsidR="00605E19" w:rsidRPr="00D31779" w:rsidRDefault="000B1654" w:rsidP="000B1654">
                          <w:pPr>
                            <w:pStyle w:val="NoSpacing"/>
                            <w:rPr>
                              <w:b/>
                              <w:bCs/>
                              <w:color w:val="4472C4" w:themeColor="accent1"/>
                              <w:sz w:val="26"/>
                              <w:szCs w:val="26"/>
                              <w:highlight w:val="lightGray"/>
                            </w:rPr>
                          </w:pPr>
                          <w:sdt>
                            <w:sdtPr>
                              <w:rPr>
                                <w:b/>
                                <w:bCs/>
                                <w:color w:val="4472C4" w:themeColor="accent1"/>
                                <w:sz w:val="26"/>
                                <w:szCs w:val="26"/>
                                <w:highlight w:val="lightGray"/>
                              </w:rPr>
                              <w:alias w:val="Address"/>
                              <w:tag w:val=""/>
                              <w:id w:val="-726379553"/>
                              <w:dataBinding w:prefixMappings="xmlns:ns0='http://schemas.microsoft.com/office/2006/coverPageProps' " w:xpath="/ns0:CoverPageProperties[1]/ns0:CompanyAddress[1]" w:storeItemID="{55AF091B-3C7A-41E3-B477-F2FDAA23CFDA}"/>
                              <w:text/>
                            </w:sdtPr>
                            <w:sdtContent>
                              <w:r w:rsidRPr="00D31779">
                                <w:rPr>
                                  <w:b/>
                                  <w:bCs/>
                                  <w:color w:val="4472C4" w:themeColor="accent1"/>
                                  <w:sz w:val="26"/>
                                  <w:szCs w:val="26"/>
                                  <w:highlight w:val="lightGray"/>
                                </w:rPr>
                                <w:t>LinkedIn: https://www.linkedin.com/in/vijay-kasotia-5602a6134/</w:t>
                              </w:r>
                            </w:sdtContent>
                          </w:sdt>
                        </w:p>
                        <w:p w:rsidR="000B1654" w:rsidRPr="00D31779" w:rsidRDefault="000B1654" w:rsidP="000B1654">
                          <w:pPr>
                            <w:pStyle w:val="NoSpacing"/>
                            <w:rPr>
                              <w:b/>
                              <w:bCs/>
                              <w:color w:val="4472C4" w:themeColor="accent1"/>
                              <w:sz w:val="26"/>
                              <w:szCs w:val="26"/>
                            </w:rPr>
                          </w:pPr>
                          <w:proofErr w:type="spellStart"/>
                          <w:r w:rsidRPr="00D31779">
                            <w:rPr>
                              <w:b/>
                              <w:bCs/>
                              <w:color w:val="4472C4" w:themeColor="accent1"/>
                              <w:sz w:val="26"/>
                              <w:szCs w:val="26"/>
                              <w:highlight w:val="lightGray"/>
                            </w:rPr>
                            <w:t>Github</w:t>
                          </w:r>
                          <w:proofErr w:type="spellEnd"/>
                          <w:r w:rsidRPr="00D31779">
                            <w:rPr>
                              <w:b/>
                              <w:bCs/>
                              <w:color w:val="4472C4" w:themeColor="accent1"/>
                              <w:sz w:val="26"/>
                              <w:szCs w:val="26"/>
                              <w:highlight w:val="lightGray"/>
                            </w:rPr>
                            <w:t xml:space="preserve">: </w:t>
                          </w:r>
                          <w:r w:rsidRPr="00D31779">
                            <w:rPr>
                              <w:b/>
                              <w:bCs/>
                              <w:color w:val="4472C4" w:themeColor="accent1"/>
                              <w:sz w:val="26"/>
                              <w:szCs w:val="26"/>
                              <w:highlight w:val="lightGray"/>
                            </w:rPr>
                            <w:t>https://github.com/Vijay290197</w:t>
                          </w:r>
                        </w:p>
                      </w:txbxContent>
                    </v:textbox>
                    <w10:wrap anchorx="margin" anchory="page"/>
                  </v:shape>
                </w:pict>
              </mc:Fallback>
            </mc:AlternateContent>
          </w:r>
          <w:r w:rsidR="00605E19">
            <w:rPr>
              <w:b/>
              <w:bCs/>
              <w:sz w:val="40"/>
              <w:szCs w:val="40"/>
            </w:rPr>
            <w:br w:type="page"/>
          </w:r>
        </w:p>
      </w:sdtContent>
    </w:sdt>
    <w:p w:rsidR="00194C3C" w:rsidRDefault="00194C3C" w:rsidP="00F50890">
      <w:pPr>
        <w:pStyle w:val="Heading1"/>
        <w:jc w:val="center"/>
        <w:rPr>
          <w:b/>
          <w:bCs/>
          <w:sz w:val="40"/>
          <w:szCs w:val="40"/>
        </w:rPr>
      </w:pPr>
      <w:r w:rsidRPr="00F50890">
        <w:rPr>
          <w:b/>
          <w:bCs/>
          <w:sz w:val="40"/>
          <w:szCs w:val="40"/>
        </w:rPr>
        <w:lastRenderedPageBreak/>
        <w:t>Abstract</w:t>
      </w:r>
      <w:bookmarkEnd w:id="0"/>
    </w:p>
    <w:p w:rsidR="00617177" w:rsidRPr="00617177" w:rsidRDefault="00617177" w:rsidP="00617177"/>
    <w:p w:rsidR="00517D28" w:rsidRDefault="00517D28">
      <w:pPr>
        <w:rPr>
          <w:b/>
          <w:bCs/>
          <w:sz w:val="30"/>
          <w:szCs w:val="30"/>
        </w:rPr>
      </w:pPr>
    </w:p>
    <w:tbl>
      <w:tblPr>
        <w:tblStyle w:val="TableGrid"/>
        <w:tblW w:w="0" w:type="auto"/>
        <w:tblLook w:val="04A0" w:firstRow="1" w:lastRow="0" w:firstColumn="1" w:lastColumn="0" w:noHBand="0" w:noVBand="1"/>
      </w:tblPr>
      <w:tblGrid>
        <w:gridCol w:w="9016"/>
      </w:tblGrid>
      <w:tr w:rsidR="003D2338" w:rsidTr="003D2338">
        <w:tc>
          <w:tcPr>
            <w:tcW w:w="9016" w:type="dxa"/>
          </w:tcPr>
          <w:p w:rsidR="003D2338" w:rsidRPr="003D2338" w:rsidRDefault="003D2338" w:rsidP="003D2338">
            <w:pPr>
              <w:jc w:val="both"/>
              <w:rPr>
                <w:rFonts w:ascii="Lora" w:hAnsi="Lora"/>
                <w:i/>
                <w:iCs/>
                <w:sz w:val="24"/>
                <w:szCs w:val="24"/>
              </w:rPr>
            </w:pPr>
            <w:r w:rsidRPr="003D2338">
              <w:rPr>
                <w:rFonts w:ascii="Lora" w:hAnsi="Lora"/>
                <w:i/>
                <w:iCs/>
                <w:sz w:val="24"/>
                <w:szCs w:val="24"/>
              </w:rPr>
              <w:t>The study analyzed the working age employment rate in the UK across various ethnic groups including BAME, Black, Indian, Mixed Ethnic group, Other Ethnic group, Pakistani/Bangladeshi, and White. The data shows that there are significant disparities in employment rates among different ethnic groups, with the Indian and mixed ethnic groups having the highest employment rates and the BAME group having the lowest. This suggests that there are barriers to employment for individuals from BAME backgrounds.</w:t>
            </w:r>
          </w:p>
          <w:p w:rsidR="003D2338" w:rsidRPr="003D2338" w:rsidRDefault="003D2338" w:rsidP="003D2338">
            <w:pPr>
              <w:jc w:val="both"/>
              <w:rPr>
                <w:rFonts w:ascii="Lora" w:hAnsi="Lora"/>
                <w:i/>
                <w:iCs/>
                <w:sz w:val="24"/>
                <w:szCs w:val="24"/>
              </w:rPr>
            </w:pPr>
          </w:p>
          <w:p w:rsidR="003D2338" w:rsidRPr="003D2338" w:rsidRDefault="003D2338" w:rsidP="003D2338">
            <w:pPr>
              <w:jc w:val="both"/>
              <w:rPr>
                <w:rFonts w:ascii="Lora" w:hAnsi="Lora"/>
                <w:i/>
                <w:iCs/>
                <w:sz w:val="24"/>
                <w:szCs w:val="24"/>
              </w:rPr>
            </w:pPr>
            <w:r w:rsidRPr="003D2338">
              <w:rPr>
                <w:rFonts w:ascii="Lora" w:hAnsi="Lora"/>
                <w:i/>
                <w:iCs/>
                <w:sz w:val="24"/>
                <w:szCs w:val="24"/>
              </w:rPr>
              <w:t>Additionally, the study found that the employment rate for different ethnic groups is increasing, but at different rates. For example, the employment rate for the Indian ethnic group has consistently been higher than the other ethnic groups and has been increasing at a faster rate. On the other hand, the employment rate for the BAME group has been consistently lower than the other ethnic groups and has been increasing at a slower rate. This highlights the need for targeted policies and programs to address these disparities.</w:t>
            </w:r>
          </w:p>
          <w:p w:rsidR="003D2338" w:rsidRPr="003D2338" w:rsidRDefault="003D2338" w:rsidP="003D2338">
            <w:pPr>
              <w:jc w:val="both"/>
              <w:rPr>
                <w:rFonts w:ascii="Lora" w:hAnsi="Lora"/>
                <w:i/>
                <w:iCs/>
                <w:sz w:val="24"/>
                <w:szCs w:val="24"/>
              </w:rPr>
            </w:pPr>
          </w:p>
          <w:p w:rsidR="003D2338" w:rsidRPr="003D2338" w:rsidRDefault="003D2338" w:rsidP="003D2338">
            <w:pPr>
              <w:jc w:val="both"/>
              <w:rPr>
                <w:rFonts w:ascii="Lora" w:hAnsi="Lora"/>
                <w:b/>
                <w:bCs/>
                <w:sz w:val="24"/>
                <w:szCs w:val="24"/>
              </w:rPr>
            </w:pPr>
            <w:r w:rsidRPr="003D2338">
              <w:rPr>
                <w:rFonts w:ascii="Lora" w:hAnsi="Lora"/>
                <w:i/>
                <w:iCs/>
                <w:sz w:val="24"/>
                <w:szCs w:val="24"/>
              </w:rPr>
              <w:t>The study suggests that there are various barriers to employment faced by BAME individuals, such as discrimination, lack of access to education and training, and lack of targeted support for job seekers. Addressing these barriers will be crucial in reducing the employment rate disparities among different ethnic groups. In order to achieve this, the study recommends increasing access to education and training, addressing discrimination, providing targeted support for job seekers, encouraging employers to increase diversity, and encouraging more diversity in the workplace.</w:t>
            </w:r>
          </w:p>
        </w:tc>
      </w:tr>
    </w:tbl>
    <w:p w:rsidR="00BE4C73" w:rsidRDefault="00194C3C" w:rsidP="00E52B55">
      <w:pPr>
        <w:pStyle w:val="Heading1"/>
        <w:jc w:val="center"/>
        <w:rPr>
          <w:b/>
          <w:bCs/>
          <w:sz w:val="34"/>
          <w:szCs w:val="34"/>
        </w:rPr>
      </w:pPr>
      <w:r w:rsidRPr="00E52B55">
        <w:rPr>
          <w:b/>
          <w:bCs/>
          <w:sz w:val="34"/>
          <w:szCs w:val="34"/>
        </w:rPr>
        <w:br w:type="page"/>
      </w:r>
      <w:bookmarkStart w:id="1" w:name="_Toc124759495"/>
      <w:r w:rsidR="00E52B55" w:rsidRPr="006849FD">
        <w:rPr>
          <w:b/>
          <w:bCs/>
          <w:sz w:val="40"/>
          <w:szCs w:val="40"/>
        </w:rPr>
        <w:lastRenderedPageBreak/>
        <w:t>Table of Contents</w:t>
      </w:r>
      <w:bookmarkEnd w:id="1"/>
    </w:p>
    <w:p w:rsidR="00252A8A" w:rsidRDefault="00252A8A" w:rsidP="00252A8A"/>
    <w:p w:rsidR="00252A8A" w:rsidRPr="00252A8A" w:rsidRDefault="00252A8A" w:rsidP="00252A8A"/>
    <w:sdt>
      <w:sdtPr>
        <w:rPr>
          <w:rFonts w:asciiTheme="minorHAnsi" w:eastAsiaTheme="minorHAnsi" w:hAnsiTheme="minorHAnsi" w:cstheme="minorBidi"/>
          <w:color w:val="auto"/>
          <w:sz w:val="22"/>
          <w:szCs w:val="22"/>
          <w:lang w:val="en-IN"/>
        </w:rPr>
        <w:id w:val="1881587947"/>
        <w:docPartObj>
          <w:docPartGallery w:val="Table of Contents"/>
          <w:docPartUnique/>
        </w:docPartObj>
      </w:sdtPr>
      <w:sdtEndPr>
        <w:rPr>
          <w:b/>
          <w:bCs/>
          <w:noProof/>
        </w:rPr>
      </w:sdtEndPr>
      <w:sdtContent>
        <w:p w:rsidR="00A337A3" w:rsidRPr="00417C8F" w:rsidRDefault="00A337A3">
          <w:pPr>
            <w:pStyle w:val="TOCHeading"/>
            <w:rPr>
              <w:b/>
              <w:bCs/>
              <w:sz w:val="34"/>
              <w:szCs w:val="34"/>
            </w:rPr>
          </w:pPr>
          <w:r w:rsidRPr="00417C8F">
            <w:rPr>
              <w:b/>
              <w:bCs/>
              <w:sz w:val="34"/>
              <w:szCs w:val="34"/>
            </w:rPr>
            <w:t>Contents</w:t>
          </w:r>
        </w:p>
        <w:p w:rsidR="0072004E" w:rsidRPr="00417C8F" w:rsidRDefault="0072004E" w:rsidP="0072004E">
          <w:pPr>
            <w:rPr>
              <w:lang w:val="en-US"/>
            </w:rPr>
          </w:pPr>
        </w:p>
        <w:p w:rsidR="00A337A3" w:rsidRPr="00417C8F" w:rsidRDefault="00A337A3" w:rsidP="0072004E">
          <w:pPr>
            <w:pStyle w:val="TOC1"/>
            <w:tabs>
              <w:tab w:val="right" w:leader="dot" w:pos="9016"/>
            </w:tabs>
            <w:spacing w:line="360" w:lineRule="auto"/>
            <w:rPr>
              <w:rFonts w:ascii="Tahoma" w:hAnsi="Tahoma" w:cs="Tahoma"/>
              <w:noProof/>
              <w:sz w:val="24"/>
              <w:szCs w:val="24"/>
              <w:lang w:val="en-IN" w:eastAsia="en-IN"/>
            </w:rPr>
          </w:pPr>
          <w:r w:rsidRPr="00417C8F">
            <w:rPr>
              <w:sz w:val="24"/>
              <w:szCs w:val="24"/>
            </w:rPr>
            <w:fldChar w:fldCharType="begin"/>
          </w:r>
          <w:r w:rsidRPr="00417C8F">
            <w:rPr>
              <w:sz w:val="24"/>
              <w:szCs w:val="24"/>
            </w:rPr>
            <w:instrText xml:space="preserve"> TOC \o "1-3" \h \z \u </w:instrText>
          </w:r>
          <w:r w:rsidRPr="00417C8F">
            <w:rPr>
              <w:sz w:val="24"/>
              <w:szCs w:val="24"/>
            </w:rPr>
            <w:fldChar w:fldCharType="separate"/>
          </w:r>
          <w:hyperlink w:anchor="_Toc124759494" w:history="1">
            <w:r w:rsidRPr="00417C8F">
              <w:rPr>
                <w:rStyle w:val="Hyperlink"/>
                <w:rFonts w:ascii="Tahoma" w:hAnsi="Tahoma" w:cs="Tahoma"/>
                <w:b/>
                <w:bCs/>
                <w:noProof/>
                <w:sz w:val="24"/>
                <w:szCs w:val="24"/>
              </w:rPr>
              <w:t>Abstract</w:t>
            </w:r>
            <w:r w:rsidRPr="00417C8F">
              <w:rPr>
                <w:rFonts w:ascii="Tahoma" w:hAnsi="Tahoma" w:cs="Tahoma"/>
                <w:noProof/>
                <w:webHidden/>
                <w:sz w:val="24"/>
                <w:szCs w:val="24"/>
              </w:rPr>
              <w:tab/>
            </w:r>
            <w:r w:rsidR="004C2631" w:rsidRPr="00417C8F">
              <w:rPr>
                <w:rFonts w:ascii="Tahoma" w:hAnsi="Tahoma" w:cs="Tahoma"/>
                <w:noProof/>
                <w:webHidden/>
                <w:sz w:val="24"/>
                <w:szCs w:val="24"/>
              </w:rPr>
              <w:t>1</w:t>
            </w:r>
          </w:hyperlink>
        </w:p>
        <w:p w:rsidR="00A337A3" w:rsidRPr="00417C8F" w:rsidRDefault="00000000" w:rsidP="0072004E">
          <w:pPr>
            <w:pStyle w:val="TOC1"/>
            <w:tabs>
              <w:tab w:val="right" w:leader="dot" w:pos="9016"/>
            </w:tabs>
            <w:spacing w:line="360" w:lineRule="auto"/>
            <w:rPr>
              <w:rFonts w:ascii="Tahoma" w:hAnsi="Tahoma" w:cs="Tahoma"/>
              <w:noProof/>
              <w:sz w:val="24"/>
              <w:szCs w:val="24"/>
              <w:lang w:val="en-IN" w:eastAsia="en-IN"/>
            </w:rPr>
          </w:pPr>
          <w:hyperlink w:anchor="_Toc124759495" w:history="1">
            <w:r w:rsidR="00A337A3" w:rsidRPr="00417C8F">
              <w:rPr>
                <w:rStyle w:val="Hyperlink"/>
                <w:rFonts w:ascii="Tahoma" w:hAnsi="Tahoma" w:cs="Tahoma"/>
                <w:b/>
                <w:bCs/>
                <w:noProof/>
                <w:sz w:val="24"/>
                <w:szCs w:val="24"/>
              </w:rPr>
              <w:t>Table of Contents</w:t>
            </w:r>
            <w:r w:rsidR="00A337A3" w:rsidRPr="00417C8F">
              <w:rPr>
                <w:rFonts w:ascii="Tahoma" w:hAnsi="Tahoma" w:cs="Tahoma"/>
                <w:noProof/>
                <w:webHidden/>
                <w:sz w:val="24"/>
                <w:szCs w:val="24"/>
              </w:rPr>
              <w:tab/>
            </w:r>
            <w:r w:rsidR="00A337A3" w:rsidRPr="00417C8F">
              <w:rPr>
                <w:rFonts w:ascii="Tahoma" w:hAnsi="Tahoma" w:cs="Tahoma"/>
                <w:noProof/>
                <w:webHidden/>
                <w:sz w:val="24"/>
                <w:szCs w:val="24"/>
              </w:rPr>
              <w:fldChar w:fldCharType="begin"/>
            </w:r>
            <w:r w:rsidR="00A337A3" w:rsidRPr="00417C8F">
              <w:rPr>
                <w:rFonts w:ascii="Tahoma" w:hAnsi="Tahoma" w:cs="Tahoma"/>
                <w:noProof/>
                <w:webHidden/>
                <w:sz w:val="24"/>
                <w:szCs w:val="24"/>
              </w:rPr>
              <w:instrText xml:space="preserve"> PAGEREF _Toc124759495 \h </w:instrText>
            </w:r>
            <w:r w:rsidR="00A337A3" w:rsidRPr="00417C8F">
              <w:rPr>
                <w:rFonts w:ascii="Tahoma" w:hAnsi="Tahoma" w:cs="Tahoma"/>
                <w:noProof/>
                <w:webHidden/>
                <w:sz w:val="24"/>
                <w:szCs w:val="24"/>
              </w:rPr>
            </w:r>
            <w:r w:rsidR="00A337A3" w:rsidRPr="00417C8F">
              <w:rPr>
                <w:rFonts w:ascii="Tahoma" w:hAnsi="Tahoma" w:cs="Tahoma"/>
                <w:noProof/>
                <w:webHidden/>
                <w:sz w:val="24"/>
                <w:szCs w:val="24"/>
              </w:rPr>
              <w:fldChar w:fldCharType="separate"/>
            </w:r>
            <w:r w:rsidR="004C2631" w:rsidRPr="00417C8F">
              <w:rPr>
                <w:rFonts w:ascii="Tahoma" w:hAnsi="Tahoma" w:cs="Tahoma"/>
                <w:noProof/>
                <w:webHidden/>
                <w:sz w:val="24"/>
                <w:szCs w:val="24"/>
              </w:rPr>
              <w:t>2</w:t>
            </w:r>
            <w:r w:rsidR="00A337A3" w:rsidRPr="00417C8F">
              <w:rPr>
                <w:rFonts w:ascii="Tahoma" w:hAnsi="Tahoma" w:cs="Tahoma"/>
                <w:noProof/>
                <w:webHidden/>
                <w:sz w:val="24"/>
                <w:szCs w:val="24"/>
              </w:rPr>
              <w:fldChar w:fldCharType="end"/>
            </w:r>
          </w:hyperlink>
        </w:p>
        <w:p w:rsidR="00A337A3" w:rsidRPr="00417C8F" w:rsidRDefault="00000000" w:rsidP="0072004E">
          <w:pPr>
            <w:pStyle w:val="TOC1"/>
            <w:tabs>
              <w:tab w:val="right" w:leader="dot" w:pos="9016"/>
            </w:tabs>
            <w:spacing w:line="360" w:lineRule="auto"/>
            <w:rPr>
              <w:rFonts w:ascii="Tahoma" w:hAnsi="Tahoma" w:cs="Tahoma"/>
              <w:noProof/>
              <w:sz w:val="24"/>
              <w:szCs w:val="24"/>
              <w:lang w:val="en-IN" w:eastAsia="en-IN"/>
            </w:rPr>
          </w:pPr>
          <w:hyperlink w:anchor="_Toc124759496" w:history="1">
            <w:r w:rsidR="00A337A3" w:rsidRPr="00417C8F">
              <w:rPr>
                <w:rStyle w:val="Hyperlink"/>
                <w:rFonts w:ascii="Tahoma" w:hAnsi="Tahoma" w:cs="Tahoma"/>
                <w:b/>
                <w:bCs/>
                <w:noProof/>
                <w:sz w:val="24"/>
                <w:szCs w:val="24"/>
              </w:rPr>
              <w:t>Introduction</w:t>
            </w:r>
            <w:r w:rsidR="00A337A3" w:rsidRPr="00417C8F">
              <w:rPr>
                <w:rFonts w:ascii="Tahoma" w:hAnsi="Tahoma" w:cs="Tahoma"/>
                <w:noProof/>
                <w:webHidden/>
                <w:sz w:val="24"/>
                <w:szCs w:val="24"/>
              </w:rPr>
              <w:tab/>
            </w:r>
            <w:r w:rsidR="00A337A3" w:rsidRPr="00417C8F">
              <w:rPr>
                <w:rFonts w:ascii="Tahoma" w:hAnsi="Tahoma" w:cs="Tahoma"/>
                <w:noProof/>
                <w:webHidden/>
                <w:sz w:val="24"/>
                <w:szCs w:val="24"/>
              </w:rPr>
              <w:fldChar w:fldCharType="begin"/>
            </w:r>
            <w:r w:rsidR="00A337A3" w:rsidRPr="00417C8F">
              <w:rPr>
                <w:rFonts w:ascii="Tahoma" w:hAnsi="Tahoma" w:cs="Tahoma"/>
                <w:noProof/>
                <w:webHidden/>
                <w:sz w:val="24"/>
                <w:szCs w:val="24"/>
              </w:rPr>
              <w:instrText xml:space="preserve"> PAGEREF _Toc124759496 \h </w:instrText>
            </w:r>
            <w:r w:rsidR="00A337A3" w:rsidRPr="00417C8F">
              <w:rPr>
                <w:rFonts w:ascii="Tahoma" w:hAnsi="Tahoma" w:cs="Tahoma"/>
                <w:noProof/>
                <w:webHidden/>
                <w:sz w:val="24"/>
                <w:szCs w:val="24"/>
              </w:rPr>
            </w:r>
            <w:r w:rsidR="00A337A3" w:rsidRPr="00417C8F">
              <w:rPr>
                <w:rFonts w:ascii="Tahoma" w:hAnsi="Tahoma" w:cs="Tahoma"/>
                <w:noProof/>
                <w:webHidden/>
                <w:sz w:val="24"/>
                <w:szCs w:val="24"/>
              </w:rPr>
              <w:fldChar w:fldCharType="separate"/>
            </w:r>
            <w:r w:rsidR="004C2631" w:rsidRPr="00417C8F">
              <w:rPr>
                <w:rFonts w:ascii="Tahoma" w:hAnsi="Tahoma" w:cs="Tahoma"/>
                <w:noProof/>
                <w:webHidden/>
                <w:sz w:val="24"/>
                <w:szCs w:val="24"/>
              </w:rPr>
              <w:t>3</w:t>
            </w:r>
            <w:r w:rsidR="00A337A3" w:rsidRPr="00417C8F">
              <w:rPr>
                <w:rFonts w:ascii="Tahoma" w:hAnsi="Tahoma" w:cs="Tahoma"/>
                <w:noProof/>
                <w:webHidden/>
                <w:sz w:val="24"/>
                <w:szCs w:val="24"/>
              </w:rPr>
              <w:fldChar w:fldCharType="end"/>
            </w:r>
          </w:hyperlink>
        </w:p>
        <w:p w:rsidR="00A337A3" w:rsidRPr="00417C8F" w:rsidRDefault="00000000" w:rsidP="0072004E">
          <w:pPr>
            <w:pStyle w:val="TOC1"/>
            <w:tabs>
              <w:tab w:val="right" w:leader="dot" w:pos="9016"/>
            </w:tabs>
            <w:spacing w:line="360" w:lineRule="auto"/>
            <w:rPr>
              <w:rFonts w:ascii="Tahoma" w:hAnsi="Tahoma" w:cs="Tahoma"/>
              <w:noProof/>
              <w:sz w:val="24"/>
              <w:szCs w:val="24"/>
              <w:lang w:val="en-IN" w:eastAsia="en-IN"/>
            </w:rPr>
          </w:pPr>
          <w:hyperlink w:anchor="_Toc124759497" w:history="1">
            <w:r w:rsidR="00A337A3" w:rsidRPr="00417C8F">
              <w:rPr>
                <w:rStyle w:val="Hyperlink"/>
                <w:rFonts w:ascii="Tahoma" w:hAnsi="Tahoma" w:cs="Tahoma"/>
                <w:b/>
                <w:bCs/>
                <w:noProof/>
                <w:sz w:val="24"/>
                <w:szCs w:val="24"/>
              </w:rPr>
              <w:t>Data Analysis (SPSS)</w:t>
            </w:r>
            <w:r w:rsidR="00A337A3" w:rsidRPr="00417C8F">
              <w:rPr>
                <w:rFonts w:ascii="Tahoma" w:hAnsi="Tahoma" w:cs="Tahoma"/>
                <w:noProof/>
                <w:webHidden/>
                <w:sz w:val="24"/>
                <w:szCs w:val="24"/>
              </w:rPr>
              <w:tab/>
            </w:r>
            <w:r w:rsidR="00A337A3" w:rsidRPr="00417C8F">
              <w:rPr>
                <w:rFonts w:ascii="Tahoma" w:hAnsi="Tahoma" w:cs="Tahoma"/>
                <w:noProof/>
                <w:webHidden/>
                <w:sz w:val="24"/>
                <w:szCs w:val="24"/>
              </w:rPr>
              <w:fldChar w:fldCharType="begin"/>
            </w:r>
            <w:r w:rsidR="00A337A3" w:rsidRPr="00417C8F">
              <w:rPr>
                <w:rFonts w:ascii="Tahoma" w:hAnsi="Tahoma" w:cs="Tahoma"/>
                <w:noProof/>
                <w:webHidden/>
                <w:sz w:val="24"/>
                <w:szCs w:val="24"/>
              </w:rPr>
              <w:instrText xml:space="preserve"> PAGEREF _Toc124759497 \h </w:instrText>
            </w:r>
            <w:r w:rsidR="00A337A3" w:rsidRPr="00417C8F">
              <w:rPr>
                <w:rFonts w:ascii="Tahoma" w:hAnsi="Tahoma" w:cs="Tahoma"/>
                <w:noProof/>
                <w:webHidden/>
                <w:sz w:val="24"/>
                <w:szCs w:val="24"/>
              </w:rPr>
            </w:r>
            <w:r w:rsidR="00A337A3" w:rsidRPr="00417C8F">
              <w:rPr>
                <w:rFonts w:ascii="Tahoma" w:hAnsi="Tahoma" w:cs="Tahoma"/>
                <w:noProof/>
                <w:webHidden/>
                <w:sz w:val="24"/>
                <w:szCs w:val="24"/>
              </w:rPr>
              <w:fldChar w:fldCharType="separate"/>
            </w:r>
            <w:r w:rsidR="004C2631" w:rsidRPr="00417C8F">
              <w:rPr>
                <w:rFonts w:ascii="Tahoma" w:hAnsi="Tahoma" w:cs="Tahoma"/>
                <w:noProof/>
                <w:webHidden/>
                <w:sz w:val="24"/>
                <w:szCs w:val="24"/>
              </w:rPr>
              <w:t>5</w:t>
            </w:r>
            <w:r w:rsidR="00A337A3" w:rsidRPr="00417C8F">
              <w:rPr>
                <w:rFonts w:ascii="Tahoma" w:hAnsi="Tahoma" w:cs="Tahoma"/>
                <w:noProof/>
                <w:webHidden/>
                <w:sz w:val="24"/>
                <w:szCs w:val="24"/>
              </w:rPr>
              <w:fldChar w:fldCharType="end"/>
            </w:r>
          </w:hyperlink>
        </w:p>
        <w:p w:rsidR="00A337A3" w:rsidRPr="00417C8F" w:rsidRDefault="00000000" w:rsidP="0072004E">
          <w:pPr>
            <w:pStyle w:val="TOC1"/>
            <w:tabs>
              <w:tab w:val="right" w:leader="dot" w:pos="9016"/>
            </w:tabs>
            <w:spacing w:line="360" w:lineRule="auto"/>
            <w:rPr>
              <w:rFonts w:ascii="Tahoma" w:hAnsi="Tahoma" w:cs="Tahoma"/>
              <w:noProof/>
              <w:sz w:val="24"/>
              <w:szCs w:val="24"/>
              <w:lang w:val="en-IN" w:eastAsia="en-IN"/>
            </w:rPr>
          </w:pPr>
          <w:hyperlink w:anchor="_Toc124759498" w:history="1">
            <w:r w:rsidR="00A337A3" w:rsidRPr="00417C8F">
              <w:rPr>
                <w:rStyle w:val="Hyperlink"/>
                <w:rFonts w:ascii="Tahoma" w:hAnsi="Tahoma" w:cs="Tahoma"/>
                <w:b/>
                <w:bCs/>
                <w:noProof/>
                <w:sz w:val="24"/>
                <w:szCs w:val="24"/>
              </w:rPr>
              <w:t>Data Visualization (Tableau)</w:t>
            </w:r>
            <w:r w:rsidR="00A337A3" w:rsidRPr="00417C8F">
              <w:rPr>
                <w:rFonts w:ascii="Tahoma" w:hAnsi="Tahoma" w:cs="Tahoma"/>
                <w:noProof/>
                <w:webHidden/>
                <w:sz w:val="24"/>
                <w:szCs w:val="24"/>
              </w:rPr>
              <w:tab/>
            </w:r>
            <w:r w:rsidR="00A337A3" w:rsidRPr="00417C8F">
              <w:rPr>
                <w:rFonts w:ascii="Tahoma" w:hAnsi="Tahoma" w:cs="Tahoma"/>
                <w:noProof/>
                <w:webHidden/>
                <w:sz w:val="24"/>
                <w:szCs w:val="24"/>
              </w:rPr>
              <w:fldChar w:fldCharType="begin"/>
            </w:r>
            <w:r w:rsidR="00A337A3" w:rsidRPr="00417C8F">
              <w:rPr>
                <w:rFonts w:ascii="Tahoma" w:hAnsi="Tahoma" w:cs="Tahoma"/>
                <w:noProof/>
                <w:webHidden/>
                <w:sz w:val="24"/>
                <w:szCs w:val="24"/>
              </w:rPr>
              <w:instrText xml:space="preserve"> PAGEREF _Toc124759498 \h </w:instrText>
            </w:r>
            <w:r w:rsidR="00A337A3" w:rsidRPr="00417C8F">
              <w:rPr>
                <w:rFonts w:ascii="Tahoma" w:hAnsi="Tahoma" w:cs="Tahoma"/>
                <w:noProof/>
                <w:webHidden/>
                <w:sz w:val="24"/>
                <w:szCs w:val="24"/>
              </w:rPr>
            </w:r>
            <w:r w:rsidR="00A337A3" w:rsidRPr="00417C8F">
              <w:rPr>
                <w:rFonts w:ascii="Tahoma" w:hAnsi="Tahoma" w:cs="Tahoma"/>
                <w:noProof/>
                <w:webHidden/>
                <w:sz w:val="24"/>
                <w:szCs w:val="24"/>
              </w:rPr>
              <w:fldChar w:fldCharType="separate"/>
            </w:r>
            <w:r w:rsidR="004C2631" w:rsidRPr="00417C8F">
              <w:rPr>
                <w:rFonts w:ascii="Tahoma" w:hAnsi="Tahoma" w:cs="Tahoma"/>
                <w:noProof/>
                <w:webHidden/>
                <w:sz w:val="24"/>
                <w:szCs w:val="24"/>
              </w:rPr>
              <w:t>8</w:t>
            </w:r>
            <w:r w:rsidR="00A337A3" w:rsidRPr="00417C8F">
              <w:rPr>
                <w:rFonts w:ascii="Tahoma" w:hAnsi="Tahoma" w:cs="Tahoma"/>
                <w:noProof/>
                <w:webHidden/>
                <w:sz w:val="24"/>
                <w:szCs w:val="24"/>
              </w:rPr>
              <w:fldChar w:fldCharType="end"/>
            </w:r>
          </w:hyperlink>
        </w:p>
        <w:p w:rsidR="00A337A3" w:rsidRPr="00417C8F" w:rsidRDefault="00000000" w:rsidP="0072004E">
          <w:pPr>
            <w:pStyle w:val="TOC1"/>
            <w:tabs>
              <w:tab w:val="right" w:leader="dot" w:pos="9016"/>
            </w:tabs>
            <w:spacing w:line="360" w:lineRule="auto"/>
            <w:rPr>
              <w:rFonts w:ascii="Tahoma" w:hAnsi="Tahoma" w:cs="Tahoma"/>
              <w:noProof/>
              <w:sz w:val="24"/>
              <w:szCs w:val="24"/>
              <w:lang w:val="en-IN" w:eastAsia="en-IN"/>
            </w:rPr>
          </w:pPr>
          <w:hyperlink w:anchor="_Toc124759499" w:history="1">
            <w:r w:rsidR="00A337A3" w:rsidRPr="00417C8F">
              <w:rPr>
                <w:rStyle w:val="Hyperlink"/>
                <w:rFonts w:ascii="Tahoma" w:hAnsi="Tahoma" w:cs="Tahoma"/>
                <w:b/>
                <w:bCs/>
                <w:noProof/>
                <w:sz w:val="24"/>
                <w:szCs w:val="24"/>
              </w:rPr>
              <w:t>Conclusion</w:t>
            </w:r>
            <w:r w:rsidR="00A337A3" w:rsidRPr="00417C8F">
              <w:rPr>
                <w:rFonts w:ascii="Tahoma" w:hAnsi="Tahoma" w:cs="Tahoma"/>
                <w:noProof/>
                <w:webHidden/>
                <w:sz w:val="24"/>
                <w:szCs w:val="24"/>
              </w:rPr>
              <w:tab/>
            </w:r>
            <w:r w:rsidR="00A337A3" w:rsidRPr="00417C8F">
              <w:rPr>
                <w:rFonts w:ascii="Tahoma" w:hAnsi="Tahoma" w:cs="Tahoma"/>
                <w:noProof/>
                <w:webHidden/>
                <w:sz w:val="24"/>
                <w:szCs w:val="24"/>
              </w:rPr>
              <w:fldChar w:fldCharType="begin"/>
            </w:r>
            <w:r w:rsidR="00A337A3" w:rsidRPr="00417C8F">
              <w:rPr>
                <w:rFonts w:ascii="Tahoma" w:hAnsi="Tahoma" w:cs="Tahoma"/>
                <w:noProof/>
                <w:webHidden/>
                <w:sz w:val="24"/>
                <w:szCs w:val="24"/>
              </w:rPr>
              <w:instrText xml:space="preserve"> PAGEREF _Toc124759499 \h </w:instrText>
            </w:r>
            <w:r w:rsidR="00A337A3" w:rsidRPr="00417C8F">
              <w:rPr>
                <w:rFonts w:ascii="Tahoma" w:hAnsi="Tahoma" w:cs="Tahoma"/>
                <w:noProof/>
                <w:webHidden/>
                <w:sz w:val="24"/>
                <w:szCs w:val="24"/>
              </w:rPr>
            </w:r>
            <w:r w:rsidR="00A337A3" w:rsidRPr="00417C8F">
              <w:rPr>
                <w:rFonts w:ascii="Tahoma" w:hAnsi="Tahoma" w:cs="Tahoma"/>
                <w:noProof/>
                <w:webHidden/>
                <w:sz w:val="24"/>
                <w:szCs w:val="24"/>
              </w:rPr>
              <w:fldChar w:fldCharType="separate"/>
            </w:r>
            <w:r w:rsidR="004C2631" w:rsidRPr="00417C8F">
              <w:rPr>
                <w:rFonts w:ascii="Tahoma" w:hAnsi="Tahoma" w:cs="Tahoma"/>
                <w:noProof/>
                <w:webHidden/>
                <w:sz w:val="24"/>
                <w:szCs w:val="24"/>
              </w:rPr>
              <w:t>11</w:t>
            </w:r>
            <w:r w:rsidR="00A337A3" w:rsidRPr="00417C8F">
              <w:rPr>
                <w:rFonts w:ascii="Tahoma" w:hAnsi="Tahoma" w:cs="Tahoma"/>
                <w:noProof/>
                <w:webHidden/>
                <w:sz w:val="24"/>
                <w:szCs w:val="24"/>
              </w:rPr>
              <w:fldChar w:fldCharType="end"/>
            </w:r>
          </w:hyperlink>
        </w:p>
        <w:p w:rsidR="00A337A3" w:rsidRPr="00417C8F" w:rsidRDefault="00000000" w:rsidP="0072004E">
          <w:pPr>
            <w:pStyle w:val="TOC1"/>
            <w:tabs>
              <w:tab w:val="right" w:leader="dot" w:pos="9016"/>
            </w:tabs>
            <w:spacing w:line="360" w:lineRule="auto"/>
            <w:rPr>
              <w:rFonts w:ascii="Tahoma" w:hAnsi="Tahoma" w:cs="Tahoma"/>
              <w:noProof/>
              <w:sz w:val="24"/>
              <w:szCs w:val="24"/>
              <w:lang w:val="en-IN" w:eastAsia="en-IN"/>
            </w:rPr>
          </w:pPr>
          <w:hyperlink w:anchor="_Toc124759500" w:history="1">
            <w:r w:rsidR="00A337A3" w:rsidRPr="00417C8F">
              <w:rPr>
                <w:rStyle w:val="Hyperlink"/>
                <w:rFonts w:ascii="Tahoma" w:hAnsi="Tahoma" w:cs="Tahoma"/>
                <w:b/>
                <w:bCs/>
                <w:noProof/>
                <w:sz w:val="24"/>
                <w:szCs w:val="24"/>
              </w:rPr>
              <w:t>Recommendations</w:t>
            </w:r>
            <w:r w:rsidR="00A337A3" w:rsidRPr="00417C8F">
              <w:rPr>
                <w:rFonts w:ascii="Tahoma" w:hAnsi="Tahoma" w:cs="Tahoma"/>
                <w:noProof/>
                <w:webHidden/>
                <w:sz w:val="24"/>
                <w:szCs w:val="24"/>
              </w:rPr>
              <w:tab/>
            </w:r>
            <w:r w:rsidR="00A337A3" w:rsidRPr="00417C8F">
              <w:rPr>
                <w:rFonts w:ascii="Tahoma" w:hAnsi="Tahoma" w:cs="Tahoma"/>
                <w:noProof/>
                <w:webHidden/>
                <w:sz w:val="24"/>
                <w:szCs w:val="24"/>
              </w:rPr>
              <w:fldChar w:fldCharType="begin"/>
            </w:r>
            <w:r w:rsidR="00A337A3" w:rsidRPr="00417C8F">
              <w:rPr>
                <w:rFonts w:ascii="Tahoma" w:hAnsi="Tahoma" w:cs="Tahoma"/>
                <w:noProof/>
                <w:webHidden/>
                <w:sz w:val="24"/>
                <w:szCs w:val="24"/>
              </w:rPr>
              <w:instrText xml:space="preserve"> PAGEREF _Toc124759500 \h </w:instrText>
            </w:r>
            <w:r w:rsidR="00A337A3" w:rsidRPr="00417C8F">
              <w:rPr>
                <w:rFonts w:ascii="Tahoma" w:hAnsi="Tahoma" w:cs="Tahoma"/>
                <w:noProof/>
                <w:webHidden/>
                <w:sz w:val="24"/>
                <w:szCs w:val="24"/>
              </w:rPr>
            </w:r>
            <w:r w:rsidR="00A337A3" w:rsidRPr="00417C8F">
              <w:rPr>
                <w:rFonts w:ascii="Tahoma" w:hAnsi="Tahoma" w:cs="Tahoma"/>
                <w:noProof/>
                <w:webHidden/>
                <w:sz w:val="24"/>
                <w:szCs w:val="24"/>
              </w:rPr>
              <w:fldChar w:fldCharType="separate"/>
            </w:r>
            <w:r w:rsidR="004C2631" w:rsidRPr="00417C8F">
              <w:rPr>
                <w:rFonts w:ascii="Tahoma" w:hAnsi="Tahoma" w:cs="Tahoma"/>
                <w:noProof/>
                <w:webHidden/>
                <w:sz w:val="24"/>
                <w:szCs w:val="24"/>
              </w:rPr>
              <w:t>12</w:t>
            </w:r>
            <w:r w:rsidR="00A337A3" w:rsidRPr="00417C8F">
              <w:rPr>
                <w:rFonts w:ascii="Tahoma" w:hAnsi="Tahoma" w:cs="Tahoma"/>
                <w:noProof/>
                <w:webHidden/>
                <w:sz w:val="24"/>
                <w:szCs w:val="24"/>
              </w:rPr>
              <w:fldChar w:fldCharType="end"/>
            </w:r>
          </w:hyperlink>
        </w:p>
        <w:p w:rsidR="00A337A3" w:rsidRPr="00417C8F" w:rsidRDefault="00000000" w:rsidP="0072004E">
          <w:pPr>
            <w:pStyle w:val="TOC1"/>
            <w:tabs>
              <w:tab w:val="right" w:leader="dot" w:pos="9016"/>
            </w:tabs>
            <w:spacing w:line="360" w:lineRule="auto"/>
            <w:rPr>
              <w:rFonts w:ascii="Tahoma" w:hAnsi="Tahoma" w:cs="Tahoma"/>
              <w:noProof/>
              <w:sz w:val="24"/>
              <w:szCs w:val="24"/>
              <w:lang w:val="en-IN" w:eastAsia="en-IN"/>
            </w:rPr>
          </w:pPr>
          <w:hyperlink w:anchor="_Toc124759501" w:history="1">
            <w:r w:rsidR="00A337A3" w:rsidRPr="00417C8F">
              <w:rPr>
                <w:rStyle w:val="Hyperlink"/>
                <w:rFonts w:ascii="Tahoma" w:hAnsi="Tahoma" w:cs="Tahoma"/>
                <w:b/>
                <w:bCs/>
                <w:noProof/>
                <w:sz w:val="24"/>
                <w:szCs w:val="24"/>
              </w:rPr>
              <w:t>References</w:t>
            </w:r>
            <w:r w:rsidR="00A337A3" w:rsidRPr="00417C8F">
              <w:rPr>
                <w:rFonts w:ascii="Tahoma" w:hAnsi="Tahoma" w:cs="Tahoma"/>
                <w:noProof/>
                <w:webHidden/>
                <w:sz w:val="24"/>
                <w:szCs w:val="24"/>
              </w:rPr>
              <w:tab/>
            </w:r>
            <w:r w:rsidR="00A337A3" w:rsidRPr="00417C8F">
              <w:rPr>
                <w:rFonts w:ascii="Tahoma" w:hAnsi="Tahoma" w:cs="Tahoma"/>
                <w:noProof/>
                <w:webHidden/>
                <w:sz w:val="24"/>
                <w:szCs w:val="24"/>
              </w:rPr>
              <w:fldChar w:fldCharType="begin"/>
            </w:r>
            <w:r w:rsidR="00A337A3" w:rsidRPr="00417C8F">
              <w:rPr>
                <w:rFonts w:ascii="Tahoma" w:hAnsi="Tahoma" w:cs="Tahoma"/>
                <w:noProof/>
                <w:webHidden/>
                <w:sz w:val="24"/>
                <w:szCs w:val="24"/>
              </w:rPr>
              <w:instrText xml:space="preserve"> PAGEREF _Toc124759501 \h </w:instrText>
            </w:r>
            <w:r w:rsidR="00A337A3" w:rsidRPr="00417C8F">
              <w:rPr>
                <w:rFonts w:ascii="Tahoma" w:hAnsi="Tahoma" w:cs="Tahoma"/>
                <w:noProof/>
                <w:webHidden/>
                <w:sz w:val="24"/>
                <w:szCs w:val="24"/>
              </w:rPr>
            </w:r>
            <w:r w:rsidR="00A337A3" w:rsidRPr="00417C8F">
              <w:rPr>
                <w:rFonts w:ascii="Tahoma" w:hAnsi="Tahoma" w:cs="Tahoma"/>
                <w:noProof/>
                <w:webHidden/>
                <w:sz w:val="24"/>
                <w:szCs w:val="24"/>
              </w:rPr>
              <w:fldChar w:fldCharType="separate"/>
            </w:r>
            <w:r w:rsidR="004C2631" w:rsidRPr="00417C8F">
              <w:rPr>
                <w:rFonts w:ascii="Tahoma" w:hAnsi="Tahoma" w:cs="Tahoma"/>
                <w:noProof/>
                <w:webHidden/>
                <w:sz w:val="24"/>
                <w:szCs w:val="24"/>
              </w:rPr>
              <w:t>13</w:t>
            </w:r>
            <w:r w:rsidR="00A337A3" w:rsidRPr="00417C8F">
              <w:rPr>
                <w:rFonts w:ascii="Tahoma" w:hAnsi="Tahoma" w:cs="Tahoma"/>
                <w:noProof/>
                <w:webHidden/>
                <w:sz w:val="24"/>
                <w:szCs w:val="24"/>
              </w:rPr>
              <w:fldChar w:fldCharType="end"/>
            </w:r>
          </w:hyperlink>
        </w:p>
        <w:p w:rsidR="00A337A3" w:rsidRDefault="00A337A3">
          <w:r w:rsidRPr="00417C8F">
            <w:rPr>
              <w:b/>
              <w:bCs/>
              <w:noProof/>
              <w:sz w:val="24"/>
              <w:szCs w:val="24"/>
            </w:rPr>
            <w:fldChar w:fldCharType="end"/>
          </w:r>
        </w:p>
      </w:sdtContent>
    </w:sdt>
    <w:p w:rsidR="00E52B55" w:rsidRDefault="00E52B55">
      <w:pPr>
        <w:rPr>
          <w:rFonts w:asciiTheme="majorHAnsi" w:eastAsiaTheme="majorEastAsia" w:hAnsiTheme="majorHAnsi" w:cstheme="majorBidi"/>
          <w:b/>
          <w:bCs/>
          <w:color w:val="2F5496" w:themeColor="accent1" w:themeShade="BF"/>
          <w:sz w:val="32"/>
          <w:szCs w:val="32"/>
        </w:rPr>
      </w:pPr>
      <w:r>
        <w:rPr>
          <w:b/>
          <w:bCs/>
        </w:rPr>
        <w:br w:type="page"/>
      </w:r>
    </w:p>
    <w:p w:rsidR="00EC4012" w:rsidRDefault="002646DA" w:rsidP="003872AF">
      <w:pPr>
        <w:pStyle w:val="Heading1"/>
        <w:jc w:val="center"/>
      </w:pPr>
      <w:bookmarkStart w:id="2" w:name="_Toc124759496"/>
      <w:r w:rsidRPr="00E52B55">
        <w:rPr>
          <w:b/>
          <w:bCs/>
          <w:sz w:val="40"/>
          <w:szCs w:val="40"/>
        </w:rPr>
        <w:lastRenderedPageBreak/>
        <w:t>Introduction</w:t>
      </w:r>
      <w:bookmarkEnd w:id="2"/>
    </w:p>
    <w:p w:rsidR="002646DA" w:rsidRDefault="002646DA" w:rsidP="002646DA">
      <w:pPr>
        <w:rPr>
          <w:b/>
          <w:bCs/>
          <w:sz w:val="30"/>
          <w:szCs w:val="30"/>
        </w:rPr>
      </w:pPr>
    </w:p>
    <w:p w:rsidR="00856C6B" w:rsidRPr="00DD4527" w:rsidRDefault="00856C6B" w:rsidP="00DD4527">
      <w:pPr>
        <w:spacing w:line="276" w:lineRule="auto"/>
        <w:jc w:val="both"/>
        <w:rPr>
          <w:rFonts w:ascii="Lora" w:hAnsi="Lora"/>
          <w:sz w:val="24"/>
          <w:szCs w:val="24"/>
        </w:rPr>
      </w:pPr>
      <w:r w:rsidRPr="00DD4527">
        <w:rPr>
          <w:rFonts w:ascii="Lora" w:hAnsi="Lora"/>
          <w:sz w:val="24"/>
          <w:szCs w:val="24"/>
        </w:rPr>
        <w:t>Employees of Black, Asian, and minority ethnic (BAME) backgrounds in the United Kingdom frequently encounter a number of obstacles to employment and career advancement. These obstacles may consist of prejudice and discrimination, a lack of role models and representation, as well as a lack of networking and mentoring possibilities. These problems, which have their roots in structural inequality, have the potential to limit the potential of BAME employees by reducing diversity and inclusivity in the workplace.</w:t>
      </w:r>
    </w:p>
    <w:p w:rsidR="00465219" w:rsidRPr="00465219" w:rsidRDefault="00856C6B" w:rsidP="00465219">
      <w:pPr>
        <w:spacing w:line="276" w:lineRule="auto"/>
        <w:jc w:val="both"/>
        <w:rPr>
          <w:rFonts w:ascii="Lora" w:hAnsi="Lora"/>
          <w:sz w:val="24"/>
          <w:szCs w:val="24"/>
        </w:rPr>
      </w:pPr>
      <w:r w:rsidRPr="00DD4527">
        <w:rPr>
          <w:rFonts w:ascii="Lora" w:hAnsi="Lora"/>
          <w:sz w:val="24"/>
          <w:szCs w:val="24"/>
        </w:rPr>
        <w:t>Discrimination and racial prejudice are two significant obstacles that BAME employees may experience. This can take both extreme and hidden forms, and it can show itself in a variety of ways, including being passed over for promotions, receiving less money than their non-BAME peers, or dealing with harassment or bullying at work.</w:t>
      </w:r>
      <w:r w:rsidR="00465219">
        <w:rPr>
          <w:rFonts w:ascii="Lora" w:hAnsi="Lora"/>
          <w:sz w:val="24"/>
          <w:szCs w:val="24"/>
        </w:rPr>
        <w:t xml:space="preserve"> </w:t>
      </w:r>
      <w:r w:rsidR="00465219" w:rsidRPr="00465219">
        <w:rPr>
          <w:rFonts w:ascii="Lora" w:hAnsi="Lora"/>
          <w:sz w:val="24"/>
          <w:szCs w:val="24"/>
        </w:rPr>
        <w:t>Additionally, according to research, BAME workers are more likely to be employed in low-paying positions and to be underemployed, which may further restrict their career options.</w:t>
      </w:r>
    </w:p>
    <w:p w:rsidR="00EA6415" w:rsidRDefault="00465219" w:rsidP="00465219">
      <w:pPr>
        <w:spacing w:line="276" w:lineRule="auto"/>
        <w:jc w:val="both"/>
        <w:rPr>
          <w:rFonts w:ascii="Lora" w:hAnsi="Lora"/>
          <w:sz w:val="24"/>
          <w:szCs w:val="24"/>
        </w:rPr>
      </w:pPr>
      <w:r w:rsidRPr="00465219">
        <w:rPr>
          <w:rFonts w:ascii="Lora" w:hAnsi="Lora"/>
          <w:sz w:val="24"/>
          <w:szCs w:val="24"/>
        </w:rPr>
        <w:t>Lack of representation and role models may be another obstacle that BAME employees must overcome. BAME workers may be the only person of colour on their team in many companies, which can make them feel alone and unsupported. Additionally, it may be challenging for BAME workers to envision themselves in executive roles or to locate mentors or role models who resemble them in disciplines and businesses where BAME persons are underrepresented.</w:t>
      </w:r>
    </w:p>
    <w:p w:rsidR="00FC154A" w:rsidRDefault="00F135DB" w:rsidP="00FC154A">
      <w:pPr>
        <w:spacing w:line="276" w:lineRule="auto"/>
        <w:jc w:val="both"/>
        <w:rPr>
          <w:rFonts w:ascii="Lora" w:hAnsi="Lora"/>
          <w:sz w:val="24"/>
          <w:szCs w:val="24"/>
        </w:rPr>
      </w:pPr>
      <w:r w:rsidRPr="00F135DB">
        <w:rPr>
          <w:rFonts w:ascii="Lora" w:hAnsi="Lora"/>
          <w:sz w:val="24"/>
          <w:szCs w:val="24"/>
        </w:rPr>
        <w:t>For BAME workers, not having access to networking and mentoring opportunities can be a major obstacle. Networking is frequently regarded as one of the most important ways to progress one's career, yet BAME employees may be shut out of unofficial networks that can result in job openings or promotions. The same is true for mentorship relationships, which can be crucial for professional development, but BAME employees do not always have the same access to these opportunities as non-BAME employees do.</w:t>
      </w:r>
      <w:r w:rsidR="00FC154A">
        <w:rPr>
          <w:rFonts w:ascii="Lora" w:hAnsi="Lora"/>
          <w:sz w:val="24"/>
          <w:szCs w:val="24"/>
        </w:rPr>
        <w:t xml:space="preserve"> Further, c</w:t>
      </w:r>
      <w:r w:rsidR="00FC154A" w:rsidRPr="00FC154A">
        <w:rPr>
          <w:rFonts w:ascii="Lora" w:hAnsi="Lora"/>
          <w:sz w:val="24"/>
          <w:szCs w:val="24"/>
        </w:rPr>
        <w:t>ultural obstacles may also have an impact on how far BAME employees can advance in their careers. These can include a lack of awareness or respect for BAME employees' cultural origins and experiences, which can hinder their ability to fully integrate into the workplace. Additionally, when it comes to scheduling time off for cultural holidays or celebrations, BAME employees may encounter a lack of flexibility.</w:t>
      </w:r>
      <w:r w:rsidR="00AB0B52">
        <w:rPr>
          <w:rFonts w:ascii="Lora" w:hAnsi="Lora"/>
          <w:sz w:val="24"/>
          <w:szCs w:val="24"/>
        </w:rPr>
        <w:t xml:space="preserve"> F</w:t>
      </w:r>
      <w:r w:rsidR="00FC154A" w:rsidRPr="00FC154A">
        <w:rPr>
          <w:rFonts w:ascii="Lora" w:hAnsi="Lora"/>
          <w:sz w:val="24"/>
          <w:szCs w:val="24"/>
        </w:rPr>
        <w:t xml:space="preserve">urther obstacle that BAME employees could encounter is unconscious bias. Unconscious views or stereotypes that people may possess can influence their behaviour and decision-making are referred to as unconscious bias. This can lead to BAME </w:t>
      </w:r>
      <w:r w:rsidR="00FC154A" w:rsidRPr="00FC154A">
        <w:rPr>
          <w:rFonts w:ascii="Lora" w:hAnsi="Lora"/>
          <w:sz w:val="24"/>
          <w:szCs w:val="24"/>
        </w:rPr>
        <w:lastRenderedPageBreak/>
        <w:t>workers in the workplace being passed over for promotions or job openings, even though they are qualified for the position.</w:t>
      </w:r>
    </w:p>
    <w:p w:rsidR="00A2561F" w:rsidRDefault="00EF747C" w:rsidP="00FC154A">
      <w:pPr>
        <w:spacing w:line="276" w:lineRule="auto"/>
        <w:jc w:val="both"/>
        <w:rPr>
          <w:rFonts w:ascii="Lora" w:hAnsi="Lora"/>
          <w:sz w:val="24"/>
          <w:szCs w:val="24"/>
        </w:rPr>
      </w:pPr>
      <w:r>
        <w:rPr>
          <w:rFonts w:ascii="Lora" w:hAnsi="Lora"/>
          <w:sz w:val="24"/>
          <w:szCs w:val="24"/>
        </w:rPr>
        <w:t>In thi</w:t>
      </w:r>
      <w:r w:rsidR="00C973A5">
        <w:rPr>
          <w:rFonts w:ascii="Lora" w:hAnsi="Lora"/>
          <w:sz w:val="24"/>
          <w:szCs w:val="24"/>
        </w:rPr>
        <w:t xml:space="preserve">s study, we use </w:t>
      </w:r>
      <w:r w:rsidR="00C973A5" w:rsidRPr="00C973A5">
        <w:rPr>
          <w:rFonts w:ascii="Lora" w:hAnsi="Lora"/>
          <w:sz w:val="24"/>
          <w:szCs w:val="24"/>
        </w:rPr>
        <w:t>a government-based data set, provides insight on “Barriers to BAME employees' employment and progression in UK workplace”.</w:t>
      </w:r>
      <w:r w:rsidR="00F2795C">
        <w:rPr>
          <w:rFonts w:ascii="Lora" w:hAnsi="Lora"/>
          <w:sz w:val="24"/>
          <w:szCs w:val="24"/>
        </w:rPr>
        <w:t xml:space="preserve"> This study highlights the </w:t>
      </w:r>
      <w:r w:rsidR="00810791">
        <w:rPr>
          <w:rFonts w:ascii="Lora" w:hAnsi="Lora"/>
          <w:sz w:val="24"/>
          <w:szCs w:val="24"/>
        </w:rPr>
        <w:t xml:space="preserve">fact </w:t>
      </w:r>
      <w:r w:rsidR="009926B2">
        <w:rPr>
          <w:rFonts w:ascii="Lora" w:hAnsi="Lora"/>
          <w:sz w:val="24"/>
          <w:szCs w:val="24"/>
        </w:rPr>
        <w:t xml:space="preserve">of </w:t>
      </w:r>
      <w:r w:rsidR="009926B2" w:rsidRPr="009926B2">
        <w:rPr>
          <w:rFonts w:ascii="Lora" w:hAnsi="Lora"/>
          <w:sz w:val="24"/>
          <w:szCs w:val="24"/>
        </w:rPr>
        <w:t>BAME employees in the UK workplace face a number of barriers to employment and progression, including discrimination and bias, lack of representation and role models, lack of access to networking and mentoring opportunities, cultural barriers, unconscious bias and lack of career development opportunities. These barriers are rooted in systemic inequalities and it is important for employers to take active steps to address these issues in order to create more inclusive and diverse workplaces.</w:t>
      </w:r>
    </w:p>
    <w:p w:rsidR="00F43463" w:rsidRDefault="00F43463" w:rsidP="00EA6415">
      <w:pPr>
        <w:rPr>
          <w:rFonts w:ascii="Lora" w:hAnsi="Lora"/>
          <w:b/>
          <w:bCs/>
          <w:sz w:val="24"/>
          <w:szCs w:val="24"/>
        </w:rPr>
      </w:pPr>
    </w:p>
    <w:p w:rsidR="00B90018" w:rsidRDefault="00B90018">
      <w:pPr>
        <w:rPr>
          <w:rFonts w:ascii="Lora" w:hAnsi="Lora"/>
          <w:b/>
          <w:bCs/>
          <w:sz w:val="24"/>
          <w:szCs w:val="24"/>
        </w:rPr>
      </w:pPr>
      <w:r>
        <w:rPr>
          <w:rFonts w:ascii="Lora" w:hAnsi="Lora"/>
          <w:b/>
          <w:bCs/>
          <w:sz w:val="24"/>
          <w:szCs w:val="24"/>
        </w:rPr>
        <w:br w:type="page"/>
      </w:r>
    </w:p>
    <w:p w:rsidR="004B1884" w:rsidRPr="00E52B55" w:rsidRDefault="00EA6415" w:rsidP="003872AF">
      <w:pPr>
        <w:pStyle w:val="Heading1"/>
        <w:rPr>
          <w:b/>
          <w:bCs/>
          <w:sz w:val="40"/>
          <w:szCs w:val="40"/>
        </w:rPr>
      </w:pPr>
      <w:bookmarkStart w:id="3" w:name="_Toc124759497"/>
      <w:r w:rsidRPr="00E52B55">
        <w:rPr>
          <w:b/>
          <w:bCs/>
          <w:sz w:val="40"/>
          <w:szCs w:val="40"/>
        </w:rPr>
        <w:t xml:space="preserve">Data Analysis </w:t>
      </w:r>
      <w:r w:rsidR="007E48F9" w:rsidRPr="00E52B55">
        <w:rPr>
          <w:b/>
          <w:bCs/>
          <w:sz w:val="40"/>
          <w:szCs w:val="40"/>
        </w:rPr>
        <w:t>(SPSS)</w:t>
      </w:r>
      <w:bookmarkEnd w:id="3"/>
    </w:p>
    <w:p w:rsidR="003872AF" w:rsidRPr="003872AF" w:rsidRDefault="003872AF" w:rsidP="003872AF"/>
    <w:p w:rsidR="00076DDF" w:rsidRDefault="00310AFF" w:rsidP="00EA6415">
      <w:pPr>
        <w:rPr>
          <w:rFonts w:ascii="Lora" w:hAnsi="Lora"/>
          <w:sz w:val="24"/>
          <w:szCs w:val="24"/>
        </w:rPr>
      </w:pPr>
      <w:r>
        <w:rPr>
          <w:rFonts w:ascii="Lora" w:hAnsi="Lora"/>
          <w:sz w:val="24"/>
          <w:szCs w:val="24"/>
        </w:rPr>
        <w:t xml:space="preserve">This section highlights the </w:t>
      </w:r>
      <w:r w:rsidR="005257C9">
        <w:rPr>
          <w:rFonts w:ascii="Lora" w:hAnsi="Lora"/>
          <w:sz w:val="24"/>
          <w:szCs w:val="24"/>
        </w:rPr>
        <w:t>forecas</w:t>
      </w:r>
      <w:r>
        <w:rPr>
          <w:rFonts w:ascii="Lora" w:hAnsi="Lora"/>
          <w:sz w:val="24"/>
          <w:szCs w:val="24"/>
        </w:rPr>
        <w:t xml:space="preserve">ting </w:t>
      </w:r>
      <w:r w:rsidR="008B5212">
        <w:rPr>
          <w:rFonts w:ascii="Lora" w:hAnsi="Lora"/>
          <w:sz w:val="24"/>
          <w:szCs w:val="24"/>
        </w:rPr>
        <w:t>working age employment rate for BAME in United Kingdom for next two years using SPSS.</w:t>
      </w:r>
    </w:p>
    <w:p w:rsidR="00B22120" w:rsidRPr="00B22120" w:rsidRDefault="00B22120" w:rsidP="00EA6415">
      <w:pPr>
        <w:rPr>
          <w:rFonts w:ascii="Lora" w:hAnsi="Lora"/>
          <w:sz w:val="24"/>
          <w:szCs w:val="24"/>
        </w:rPr>
      </w:pPr>
    </w:p>
    <w:p w:rsidR="008E217E" w:rsidRDefault="007D4AF5" w:rsidP="00B22120">
      <w:pPr>
        <w:ind w:left="-709"/>
        <w:rPr>
          <w:rFonts w:ascii="Lora" w:hAnsi="Lora"/>
          <w:b/>
          <w:bCs/>
          <w:sz w:val="24"/>
          <w:szCs w:val="24"/>
        </w:rPr>
      </w:pPr>
      <w:r w:rsidRPr="007D4AF5">
        <w:rPr>
          <w:rFonts w:ascii="Lora" w:hAnsi="Lora"/>
          <w:b/>
          <w:bCs/>
          <w:noProof/>
          <w:sz w:val="24"/>
          <w:szCs w:val="24"/>
        </w:rPr>
        <w:drawing>
          <wp:inline distT="0" distB="0" distL="0" distR="0" wp14:anchorId="3D4E7010" wp14:editId="5972AC68">
            <wp:extent cx="6852920" cy="3028950"/>
            <wp:effectExtent l="19050" t="19050" r="2413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9570" cy="3031889"/>
                    </a:xfrm>
                    <a:prstGeom prst="rect">
                      <a:avLst/>
                    </a:prstGeom>
                    <a:ln>
                      <a:solidFill>
                        <a:schemeClr val="tx1"/>
                      </a:solidFill>
                    </a:ln>
                  </pic:spPr>
                </pic:pic>
              </a:graphicData>
            </a:graphic>
          </wp:inline>
        </w:drawing>
      </w:r>
    </w:p>
    <w:p w:rsidR="00A304D1" w:rsidRDefault="00B22120" w:rsidP="00A32B65">
      <w:pPr>
        <w:jc w:val="center"/>
        <w:rPr>
          <w:rFonts w:ascii="Lora" w:hAnsi="Lora"/>
          <w:b/>
          <w:bCs/>
          <w:sz w:val="24"/>
          <w:szCs w:val="24"/>
        </w:rPr>
      </w:pPr>
      <w:r w:rsidRPr="00B22120">
        <w:rPr>
          <w:rFonts w:ascii="Lora" w:hAnsi="Lora"/>
          <w:b/>
          <w:bCs/>
          <w:noProof/>
          <w:sz w:val="24"/>
          <w:szCs w:val="24"/>
        </w:rPr>
        <w:drawing>
          <wp:inline distT="0" distB="0" distL="0" distR="0" wp14:anchorId="4FE67CB9" wp14:editId="479D903A">
            <wp:extent cx="3831272" cy="4057650"/>
            <wp:effectExtent l="19050" t="19050" r="1714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010" cy="4064786"/>
                    </a:xfrm>
                    <a:prstGeom prst="rect">
                      <a:avLst/>
                    </a:prstGeom>
                    <a:ln>
                      <a:solidFill>
                        <a:schemeClr val="tx1"/>
                      </a:solidFill>
                    </a:ln>
                  </pic:spPr>
                </pic:pic>
              </a:graphicData>
            </a:graphic>
          </wp:inline>
        </w:drawing>
      </w:r>
    </w:p>
    <w:p w:rsidR="002E08A9" w:rsidRDefault="00B90018" w:rsidP="00EA6415">
      <w:pPr>
        <w:rPr>
          <w:rFonts w:ascii="Lora" w:hAnsi="Lora"/>
          <w:b/>
          <w:bCs/>
          <w:sz w:val="24"/>
          <w:szCs w:val="24"/>
        </w:rPr>
      </w:pPr>
      <w:r w:rsidRPr="00B90018">
        <w:rPr>
          <w:rFonts w:ascii="Lora" w:hAnsi="Lora"/>
          <w:b/>
          <w:bCs/>
          <w:noProof/>
          <w:sz w:val="24"/>
          <w:szCs w:val="24"/>
        </w:rPr>
        <w:drawing>
          <wp:inline distT="0" distB="0" distL="0" distR="0" wp14:anchorId="3B364828" wp14:editId="3CB7A063">
            <wp:extent cx="6309360" cy="8863330"/>
            <wp:effectExtent l="19050" t="19050" r="1524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9360" cy="8863330"/>
                    </a:xfrm>
                    <a:prstGeom prst="rect">
                      <a:avLst/>
                    </a:prstGeom>
                    <a:ln>
                      <a:solidFill>
                        <a:schemeClr val="tx1"/>
                      </a:solidFill>
                    </a:ln>
                  </pic:spPr>
                </pic:pic>
              </a:graphicData>
            </a:graphic>
          </wp:inline>
        </w:drawing>
      </w:r>
    </w:p>
    <w:p w:rsidR="00B90018" w:rsidRDefault="001907A3" w:rsidP="001907A3">
      <w:pPr>
        <w:jc w:val="both"/>
        <w:rPr>
          <w:rFonts w:ascii="Lora" w:hAnsi="Lora"/>
          <w:sz w:val="24"/>
          <w:szCs w:val="24"/>
        </w:rPr>
      </w:pPr>
      <w:r w:rsidRPr="001907A3">
        <w:rPr>
          <w:rFonts w:ascii="Lora" w:hAnsi="Lora"/>
          <w:sz w:val="24"/>
          <w:szCs w:val="24"/>
        </w:rPr>
        <w:t xml:space="preserve">This </w:t>
      </w:r>
      <w:r>
        <w:rPr>
          <w:rFonts w:ascii="Lora" w:hAnsi="Lora"/>
          <w:sz w:val="24"/>
          <w:szCs w:val="24"/>
        </w:rPr>
        <w:t>above analysis</w:t>
      </w:r>
      <w:r w:rsidRPr="001907A3">
        <w:rPr>
          <w:rFonts w:ascii="Lora" w:hAnsi="Lora"/>
          <w:sz w:val="24"/>
          <w:szCs w:val="24"/>
        </w:rPr>
        <w:t xml:space="preserve"> presents forecasts for different ethnic groups in the UK for the years 2021 and 2022. Each ethnic group has a separate model, with the models being referred to as UK_White-Model_1, UK_BAME-Model_2, and so on. The table includes forecasts for seven different ethnic groups: White, BAME (Black, Asian, and Minority Ethnic), Mixed Ethnic Group, Indian, Pakistani/Bangladeshi, Black, and Other Ethnic Group.</w:t>
      </w:r>
    </w:p>
    <w:p w:rsidR="00C708EA" w:rsidRDefault="00BA2D49" w:rsidP="001907A3">
      <w:pPr>
        <w:jc w:val="both"/>
        <w:rPr>
          <w:rFonts w:ascii="Lora" w:hAnsi="Lora"/>
          <w:sz w:val="24"/>
          <w:szCs w:val="24"/>
        </w:rPr>
      </w:pPr>
      <w:r w:rsidRPr="00BA2D49">
        <w:rPr>
          <w:rFonts w:ascii="Lora" w:hAnsi="Lora"/>
          <w:sz w:val="24"/>
          <w:szCs w:val="24"/>
        </w:rPr>
        <w:t>For each model, there is a forecast for both the years 2021 and 2022. Along with the forecast, there are also upper and lower confidence limits (UCL and LCL) for each year. The UCL and LCL values indicate the range within which the actual outcome is likely to fall, with a certain level of confidence. For example, for the UK_White-Model_1, the forecast for 2021 is 76.1, with an upper confidence limit of 77.5 and a lower confidence limit of 74.7. This means that there is a high level of confidence that the actual outcome will fall between 74.7 and 77.5.</w:t>
      </w:r>
    </w:p>
    <w:p w:rsidR="00BA2D49" w:rsidRPr="001907A3" w:rsidRDefault="00BA2D49" w:rsidP="001907A3">
      <w:pPr>
        <w:jc w:val="both"/>
        <w:rPr>
          <w:rFonts w:ascii="Lora" w:hAnsi="Lora"/>
          <w:sz w:val="24"/>
          <w:szCs w:val="24"/>
        </w:rPr>
      </w:pPr>
      <w:r w:rsidRPr="00BA2D49">
        <w:rPr>
          <w:rFonts w:ascii="Lora" w:hAnsi="Lora"/>
          <w:sz w:val="24"/>
          <w:szCs w:val="24"/>
        </w:rPr>
        <w:t xml:space="preserve">Overall, this </w:t>
      </w:r>
      <w:r>
        <w:rPr>
          <w:rFonts w:ascii="Lora" w:hAnsi="Lora"/>
          <w:sz w:val="24"/>
          <w:szCs w:val="24"/>
        </w:rPr>
        <w:t>analysis</w:t>
      </w:r>
      <w:r w:rsidRPr="00BA2D49">
        <w:rPr>
          <w:rFonts w:ascii="Lora" w:hAnsi="Lora"/>
          <w:sz w:val="24"/>
          <w:szCs w:val="24"/>
        </w:rPr>
        <w:t xml:space="preserve"> provides a detailed and specific forecast for various ethnic groups in the UK for the next two years, which can be used for a variety of purposes, such as budgeting, planning, and decision-making. The inclusion of the UCL and LCL values also provides a sense of the level of uncertainty associated with these predictions, which can be useful information for anyone relying on these forecasts.</w:t>
      </w:r>
    </w:p>
    <w:p w:rsidR="00773947" w:rsidRDefault="00773947" w:rsidP="00EA6415">
      <w:pPr>
        <w:rPr>
          <w:rFonts w:ascii="Lora" w:hAnsi="Lora"/>
          <w:b/>
          <w:bCs/>
          <w:sz w:val="24"/>
          <w:szCs w:val="24"/>
        </w:rPr>
      </w:pPr>
    </w:p>
    <w:p w:rsidR="008E217E" w:rsidRDefault="008E217E" w:rsidP="00EA6415">
      <w:pPr>
        <w:rPr>
          <w:rFonts w:ascii="Lora" w:hAnsi="Lora"/>
          <w:b/>
          <w:bCs/>
          <w:sz w:val="24"/>
          <w:szCs w:val="24"/>
        </w:rPr>
      </w:pPr>
    </w:p>
    <w:p w:rsidR="008B5212" w:rsidRDefault="008B5212">
      <w:pPr>
        <w:rPr>
          <w:rFonts w:ascii="Lora" w:hAnsi="Lora"/>
          <w:b/>
          <w:bCs/>
          <w:sz w:val="24"/>
          <w:szCs w:val="24"/>
        </w:rPr>
      </w:pPr>
      <w:r>
        <w:rPr>
          <w:rFonts w:ascii="Lora" w:hAnsi="Lora"/>
          <w:b/>
          <w:bCs/>
          <w:sz w:val="24"/>
          <w:szCs w:val="24"/>
        </w:rPr>
        <w:br w:type="page"/>
      </w:r>
    </w:p>
    <w:p w:rsidR="00E84E96" w:rsidRPr="00E52B55" w:rsidRDefault="00BB38DB" w:rsidP="00DB6E91">
      <w:pPr>
        <w:pStyle w:val="Heading1"/>
        <w:rPr>
          <w:b/>
          <w:bCs/>
          <w:sz w:val="40"/>
          <w:szCs w:val="40"/>
        </w:rPr>
      </w:pPr>
      <w:bookmarkStart w:id="4" w:name="_Toc124759498"/>
      <w:r w:rsidRPr="00E52B55">
        <w:rPr>
          <w:b/>
          <w:bCs/>
          <w:sz w:val="40"/>
          <w:szCs w:val="40"/>
        </w:rPr>
        <w:t>Data Visualization (Tableau)</w:t>
      </w:r>
      <w:bookmarkEnd w:id="4"/>
    </w:p>
    <w:p w:rsidR="00DB6E91" w:rsidRPr="00DB6E91" w:rsidRDefault="00DB6E91" w:rsidP="00DB6E91"/>
    <w:p w:rsidR="002D6A78" w:rsidRDefault="004B1884" w:rsidP="00EA6415">
      <w:pPr>
        <w:rPr>
          <w:rFonts w:ascii="Lora" w:hAnsi="Lora"/>
          <w:sz w:val="24"/>
          <w:szCs w:val="24"/>
        </w:rPr>
      </w:pPr>
      <w:r w:rsidRPr="004B1884">
        <w:rPr>
          <w:rFonts w:ascii="Lora" w:hAnsi="Lora"/>
          <w:sz w:val="24"/>
          <w:szCs w:val="24"/>
        </w:rPr>
        <w:t>1.</w:t>
      </w:r>
      <w:r w:rsidR="0067434E">
        <w:rPr>
          <w:rFonts w:ascii="Lora" w:hAnsi="Lora"/>
          <w:sz w:val="24"/>
          <w:szCs w:val="24"/>
        </w:rPr>
        <w:t>1</w:t>
      </w:r>
      <w:r w:rsidRPr="004B1884">
        <w:rPr>
          <w:rFonts w:ascii="Lora" w:hAnsi="Lora"/>
          <w:sz w:val="24"/>
          <w:szCs w:val="24"/>
        </w:rPr>
        <w:t xml:space="preserve"> </w:t>
      </w:r>
      <w:r w:rsidR="00735F2F">
        <w:rPr>
          <w:rFonts w:ascii="Lora" w:hAnsi="Lora"/>
          <w:sz w:val="24"/>
          <w:szCs w:val="24"/>
        </w:rPr>
        <w:t xml:space="preserve">Working age employment rate for </w:t>
      </w:r>
      <w:r w:rsidR="004C131E">
        <w:rPr>
          <w:rFonts w:ascii="Lora" w:hAnsi="Lora"/>
          <w:sz w:val="24"/>
          <w:szCs w:val="24"/>
        </w:rPr>
        <w:t>BAME in United Kingdom</w:t>
      </w:r>
      <w:r w:rsidR="00B8685C">
        <w:rPr>
          <w:rFonts w:ascii="Lora" w:hAnsi="Lora"/>
          <w:sz w:val="24"/>
          <w:szCs w:val="24"/>
        </w:rPr>
        <w:t>.</w:t>
      </w:r>
    </w:p>
    <w:p w:rsidR="00F25077" w:rsidRDefault="004C131E" w:rsidP="00EA6415">
      <w:pPr>
        <w:rPr>
          <w:rFonts w:ascii="Lora" w:hAnsi="Lora"/>
          <w:sz w:val="24"/>
          <w:szCs w:val="24"/>
        </w:rPr>
      </w:pPr>
      <w:r>
        <w:rPr>
          <w:rFonts w:ascii="Lora" w:hAnsi="Lora"/>
          <w:sz w:val="24"/>
          <w:szCs w:val="24"/>
        </w:rPr>
        <w:t xml:space="preserve"> </w:t>
      </w:r>
    </w:p>
    <w:p w:rsidR="00D8392C" w:rsidRDefault="00D8392C" w:rsidP="00EA6415">
      <w:pPr>
        <w:rPr>
          <w:rFonts w:ascii="Lora" w:hAnsi="Lora"/>
          <w:sz w:val="24"/>
          <w:szCs w:val="24"/>
        </w:rPr>
      </w:pPr>
      <w:r w:rsidRPr="00D8392C">
        <w:rPr>
          <w:rFonts w:ascii="Lora" w:hAnsi="Lora"/>
          <w:noProof/>
          <w:sz w:val="24"/>
          <w:szCs w:val="24"/>
        </w:rPr>
        <w:drawing>
          <wp:inline distT="0" distB="0" distL="0" distR="0" wp14:anchorId="10E4357A" wp14:editId="4E98B906">
            <wp:extent cx="5731510" cy="29317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1795"/>
                    </a:xfrm>
                    <a:prstGeom prst="rect">
                      <a:avLst/>
                    </a:prstGeom>
                  </pic:spPr>
                </pic:pic>
              </a:graphicData>
            </a:graphic>
          </wp:inline>
        </w:drawing>
      </w:r>
    </w:p>
    <w:p w:rsidR="009E3095" w:rsidRDefault="009E3095" w:rsidP="00EA6415">
      <w:pPr>
        <w:rPr>
          <w:rFonts w:ascii="Lora" w:hAnsi="Lora"/>
          <w:sz w:val="24"/>
          <w:szCs w:val="24"/>
        </w:rPr>
      </w:pPr>
    </w:p>
    <w:p w:rsidR="00D1480C" w:rsidRDefault="0035729D" w:rsidP="00D1480C">
      <w:pPr>
        <w:jc w:val="both"/>
        <w:rPr>
          <w:rFonts w:ascii="Lora" w:hAnsi="Lora"/>
          <w:sz w:val="24"/>
          <w:szCs w:val="24"/>
        </w:rPr>
      </w:pPr>
      <w:r w:rsidRPr="0035729D">
        <w:rPr>
          <w:rFonts w:ascii="Lora" w:hAnsi="Lora"/>
          <w:sz w:val="24"/>
          <w:szCs w:val="24"/>
        </w:rPr>
        <w:t xml:space="preserve">The data </w:t>
      </w:r>
      <w:r>
        <w:rPr>
          <w:rFonts w:ascii="Lora" w:hAnsi="Lora"/>
          <w:sz w:val="24"/>
          <w:szCs w:val="24"/>
        </w:rPr>
        <w:t xml:space="preserve">indicates that </w:t>
      </w:r>
      <w:r w:rsidRPr="0035729D">
        <w:rPr>
          <w:rFonts w:ascii="Lora" w:hAnsi="Lora"/>
          <w:sz w:val="24"/>
          <w:szCs w:val="24"/>
        </w:rPr>
        <w:t>the working age employment rate in the UK between 2004 and 2020, broken down by different ethnic groups. The data shows the percentage of people in the working age population (typically defined as those between the ages of 16 and 64) who are in employment. The ethnic groups included in the data are BAME (black, Asian, and minority ethnic), Black, Indian, mixed ethnic group, other ethnic groups, Pakistani/Bangladeshi, and White.</w:t>
      </w:r>
    </w:p>
    <w:p w:rsidR="008F3A63" w:rsidRDefault="00DD3A4B" w:rsidP="00D1480C">
      <w:pPr>
        <w:jc w:val="both"/>
        <w:rPr>
          <w:rFonts w:ascii="Lora" w:hAnsi="Lora"/>
          <w:sz w:val="24"/>
          <w:szCs w:val="24"/>
        </w:rPr>
      </w:pPr>
      <w:r w:rsidRPr="00DD3A4B">
        <w:rPr>
          <w:rFonts w:ascii="Lora" w:hAnsi="Lora"/>
          <w:sz w:val="24"/>
          <w:szCs w:val="24"/>
        </w:rPr>
        <w:t>Firstly, when looking at the overall trend, it can be seen that the working age employment rate for all ethnic groups increased from 2004 to 2020. The percentage of people in the working age population who are employed increased from 57.9% for BAME in 2004 to 67.4% in 2020.</w:t>
      </w:r>
      <w:r w:rsidR="00282047">
        <w:rPr>
          <w:rFonts w:ascii="Lora" w:hAnsi="Lora"/>
          <w:sz w:val="24"/>
          <w:szCs w:val="24"/>
        </w:rPr>
        <w:t xml:space="preserve"> </w:t>
      </w:r>
      <w:r w:rsidRPr="00DD3A4B">
        <w:rPr>
          <w:rFonts w:ascii="Lora" w:hAnsi="Lora"/>
          <w:sz w:val="24"/>
          <w:szCs w:val="24"/>
        </w:rPr>
        <w:t>Similarly, the percentage of working-age Black people who are employed increased from 59.9% in 2004 to 66.8% in 2020. The percentage of working-age Indian people who are employed increased from 67.9% in 2004 to 77.1% in 2020. The percentage of working-age mixed ethnic group people who are employed increased from 62% in 2004 to 69.4% in 2020. The percentage of working-age other ethnic groups people who are employed increased from 56.9% in 2004 to 66.4% in 2020. The percentage of working-age Pakistani/Bangladeshi people who are employed increased from 44.4% in 2004 to 57.1% in 2020. The percentage of working-age white people who are employed increased from 73.9% in 2004 to 76.5% in 2020.</w:t>
      </w:r>
    </w:p>
    <w:p w:rsidR="00BD7F5E" w:rsidRDefault="00403E6D" w:rsidP="00D1480C">
      <w:pPr>
        <w:jc w:val="both"/>
        <w:rPr>
          <w:rFonts w:ascii="Lora" w:hAnsi="Lora"/>
          <w:sz w:val="24"/>
          <w:szCs w:val="24"/>
        </w:rPr>
      </w:pPr>
      <w:r w:rsidRPr="00403E6D">
        <w:rPr>
          <w:rFonts w:ascii="Lora" w:hAnsi="Lora"/>
          <w:sz w:val="24"/>
          <w:szCs w:val="24"/>
        </w:rPr>
        <w:t>It is worth noting that the data does not provide information on the underlying reasons for these trends. The data is simply showing the numbers</w:t>
      </w:r>
      <w:r>
        <w:rPr>
          <w:rFonts w:ascii="Lora" w:hAnsi="Lora"/>
          <w:sz w:val="24"/>
          <w:szCs w:val="24"/>
        </w:rPr>
        <w:t xml:space="preserve"> or percentage</w:t>
      </w:r>
      <w:r w:rsidRPr="00403E6D">
        <w:rPr>
          <w:rFonts w:ascii="Lora" w:hAnsi="Lora"/>
          <w:sz w:val="24"/>
          <w:szCs w:val="24"/>
        </w:rPr>
        <w:t>, and it would be important to understand the context, such as changes in the economy, labor market, and policies, to fully interpret the trend.</w:t>
      </w:r>
    </w:p>
    <w:p w:rsidR="00FF52C4" w:rsidRDefault="00F434F1" w:rsidP="00D1480C">
      <w:pPr>
        <w:jc w:val="both"/>
        <w:rPr>
          <w:rFonts w:ascii="Lora" w:hAnsi="Lora"/>
          <w:sz w:val="24"/>
          <w:szCs w:val="24"/>
        </w:rPr>
      </w:pPr>
      <w:r w:rsidRPr="00F434F1">
        <w:rPr>
          <w:rFonts w:ascii="Lora" w:hAnsi="Lora"/>
          <w:sz w:val="24"/>
          <w:szCs w:val="24"/>
        </w:rPr>
        <w:t xml:space="preserve">When looking at the trend of different ethnic groups separately, it can be seen that the Indian and </w:t>
      </w:r>
      <w:r w:rsidR="00E1512E">
        <w:rPr>
          <w:rFonts w:ascii="Lora" w:hAnsi="Lora"/>
          <w:sz w:val="24"/>
          <w:szCs w:val="24"/>
        </w:rPr>
        <w:t>White</w:t>
      </w:r>
      <w:r w:rsidRPr="00F434F1">
        <w:rPr>
          <w:rFonts w:ascii="Lora" w:hAnsi="Lora"/>
          <w:sz w:val="24"/>
          <w:szCs w:val="24"/>
        </w:rPr>
        <w:t xml:space="preserve"> groups have the highest employment rate among all groups. The percentage of Indian people who are employed in 2020 is 77.1%, which is the highest among all groups. Similarly, the percentage of</w:t>
      </w:r>
      <w:r w:rsidR="00E1512E">
        <w:rPr>
          <w:rFonts w:ascii="Lora" w:hAnsi="Lora"/>
          <w:sz w:val="24"/>
          <w:szCs w:val="24"/>
        </w:rPr>
        <w:t xml:space="preserve"> White</w:t>
      </w:r>
      <w:r w:rsidRPr="00F434F1">
        <w:rPr>
          <w:rFonts w:ascii="Lora" w:hAnsi="Lora"/>
          <w:sz w:val="24"/>
          <w:szCs w:val="24"/>
        </w:rPr>
        <w:t xml:space="preserve"> people who are employed in 2020 is </w:t>
      </w:r>
      <w:r w:rsidR="00217448">
        <w:rPr>
          <w:rFonts w:ascii="Lora" w:hAnsi="Lora"/>
          <w:sz w:val="24"/>
          <w:szCs w:val="24"/>
        </w:rPr>
        <w:t>76.5</w:t>
      </w:r>
      <w:r w:rsidRPr="00F434F1">
        <w:rPr>
          <w:rFonts w:ascii="Lora" w:hAnsi="Lora"/>
          <w:sz w:val="24"/>
          <w:szCs w:val="24"/>
        </w:rPr>
        <w:t>%, which is also relatively high among all groups. It is important to note that these groups have a relatively high representation in certain sectors such as retail and hospitality, which may have been less affected by the economic downturn during the given period.</w:t>
      </w:r>
    </w:p>
    <w:p w:rsidR="00BD0DCF" w:rsidRDefault="00FF52C4" w:rsidP="00D1480C">
      <w:pPr>
        <w:jc w:val="both"/>
        <w:rPr>
          <w:rFonts w:ascii="Lora" w:hAnsi="Lora"/>
          <w:sz w:val="24"/>
          <w:szCs w:val="24"/>
        </w:rPr>
      </w:pPr>
      <w:r w:rsidRPr="00FF52C4">
        <w:rPr>
          <w:rFonts w:ascii="Lora" w:hAnsi="Lora"/>
          <w:sz w:val="24"/>
          <w:szCs w:val="24"/>
        </w:rPr>
        <w:t>On the other hand, the Pakistani/Bangladeshi</w:t>
      </w:r>
      <w:r>
        <w:rPr>
          <w:rFonts w:ascii="Lora" w:hAnsi="Lora"/>
          <w:sz w:val="24"/>
          <w:szCs w:val="24"/>
        </w:rPr>
        <w:t xml:space="preserve"> </w:t>
      </w:r>
      <w:r w:rsidRPr="00FF52C4">
        <w:rPr>
          <w:rFonts w:ascii="Lora" w:hAnsi="Lora"/>
          <w:sz w:val="24"/>
          <w:szCs w:val="24"/>
        </w:rPr>
        <w:t>has the lowest employment rate among all groups. The percentage of Pakistani/Bangladeshi</w:t>
      </w:r>
      <w:r>
        <w:rPr>
          <w:rFonts w:ascii="Lora" w:hAnsi="Lora"/>
          <w:sz w:val="24"/>
          <w:szCs w:val="24"/>
        </w:rPr>
        <w:t xml:space="preserve"> </w:t>
      </w:r>
      <w:r w:rsidRPr="00FF52C4">
        <w:rPr>
          <w:rFonts w:ascii="Lora" w:hAnsi="Lora"/>
          <w:sz w:val="24"/>
          <w:szCs w:val="24"/>
        </w:rPr>
        <w:t xml:space="preserve">people who are employed in 2020 is </w:t>
      </w:r>
      <w:r>
        <w:rPr>
          <w:rFonts w:ascii="Lora" w:hAnsi="Lora"/>
          <w:sz w:val="24"/>
          <w:szCs w:val="24"/>
        </w:rPr>
        <w:t>57.10</w:t>
      </w:r>
      <w:r w:rsidRPr="00FF52C4">
        <w:rPr>
          <w:rFonts w:ascii="Lora" w:hAnsi="Lora"/>
          <w:sz w:val="24"/>
          <w:szCs w:val="24"/>
        </w:rPr>
        <w:t>%, which is the lowest among all groups. This could be due to a number of factors such as discrimination, lack of access to education and training, and structural barriers to employment. It is important to note that, this group has a relatively high representation in certain sectors such as low-skilled and low-paid jobs, which may have been more affected by the economic downturn during the given period.</w:t>
      </w:r>
    </w:p>
    <w:p w:rsidR="009E3095" w:rsidRDefault="00BD0DCF" w:rsidP="00F45DEC">
      <w:pPr>
        <w:jc w:val="both"/>
        <w:rPr>
          <w:rFonts w:ascii="Lora" w:hAnsi="Lora"/>
          <w:sz w:val="24"/>
          <w:szCs w:val="24"/>
        </w:rPr>
      </w:pPr>
      <w:r w:rsidRPr="00BD0DCF">
        <w:rPr>
          <w:rFonts w:ascii="Lora" w:hAnsi="Lora"/>
          <w:sz w:val="24"/>
          <w:szCs w:val="24"/>
        </w:rPr>
        <w:t xml:space="preserve">Overall, the data suggests that the UK is becoming more diverse in terms of ethnic makeup, and the employment rate among all ethnic groups has increased over the years. However, the employment rate for the Pakistani/Bangladeshi remains relatively low and further research is needed to understand the underlying causes and implications of this trend. More generally, this data is providing an overall trend, it's important to understand that it's not a comprehensive representation of the situation of each ethnic group in the UK, as it does not take into account the variation within each ethnic group, and it does not provide information about the quality of employment. </w:t>
      </w:r>
    </w:p>
    <w:p w:rsidR="008B5212" w:rsidRDefault="008B5212">
      <w:pPr>
        <w:rPr>
          <w:rFonts w:ascii="Lora" w:hAnsi="Lora"/>
          <w:sz w:val="24"/>
          <w:szCs w:val="24"/>
        </w:rPr>
      </w:pPr>
      <w:r>
        <w:rPr>
          <w:rFonts w:ascii="Lora" w:hAnsi="Lora"/>
          <w:sz w:val="24"/>
          <w:szCs w:val="24"/>
        </w:rPr>
        <w:br w:type="page"/>
      </w:r>
    </w:p>
    <w:p w:rsidR="00CA3DE1" w:rsidRDefault="003D1B44" w:rsidP="00CA3DE1">
      <w:pPr>
        <w:rPr>
          <w:rFonts w:ascii="Lora" w:hAnsi="Lora"/>
          <w:sz w:val="24"/>
          <w:szCs w:val="24"/>
        </w:rPr>
      </w:pPr>
      <w:r>
        <w:rPr>
          <w:rFonts w:ascii="Lora" w:hAnsi="Lora"/>
          <w:sz w:val="24"/>
          <w:szCs w:val="24"/>
        </w:rPr>
        <w:t>1.</w:t>
      </w:r>
      <w:r w:rsidR="009E3095">
        <w:rPr>
          <w:rFonts w:ascii="Lora" w:hAnsi="Lora"/>
          <w:sz w:val="24"/>
          <w:szCs w:val="24"/>
        </w:rPr>
        <w:t xml:space="preserve">2 </w:t>
      </w:r>
      <w:r w:rsidR="00CA3DE1">
        <w:rPr>
          <w:rFonts w:ascii="Lora" w:hAnsi="Lora"/>
          <w:sz w:val="24"/>
          <w:szCs w:val="24"/>
        </w:rPr>
        <w:t>Forecasting working age employment rate for BAME in United Kingdom</w:t>
      </w:r>
      <w:r w:rsidR="00AD2E7F">
        <w:rPr>
          <w:rFonts w:ascii="Lora" w:hAnsi="Lora"/>
          <w:sz w:val="24"/>
          <w:szCs w:val="24"/>
        </w:rPr>
        <w:t xml:space="preserve"> </w:t>
      </w:r>
      <w:r w:rsidR="00124D83">
        <w:rPr>
          <w:rFonts w:ascii="Lora" w:hAnsi="Lora"/>
          <w:sz w:val="24"/>
          <w:szCs w:val="24"/>
        </w:rPr>
        <w:t>for next two years.</w:t>
      </w:r>
    </w:p>
    <w:p w:rsidR="002E4A74" w:rsidRDefault="002E4A74" w:rsidP="00CA3DE1">
      <w:pPr>
        <w:rPr>
          <w:rFonts w:ascii="Lora" w:hAnsi="Lora"/>
          <w:sz w:val="24"/>
          <w:szCs w:val="24"/>
        </w:rPr>
      </w:pPr>
    </w:p>
    <w:p w:rsidR="006640F0" w:rsidRDefault="00EC07A2" w:rsidP="00CA3DE1">
      <w:pPr>
        <w:rPr>
          <w:rFonts w:ascii="Lora" w:hAnsi="Lora"/>
          <w:sz w:val="24"/>
          <w:szCs w:val="24"/>
        </w:rPr>
      </w:pPr>
      <w:r w:rsidRPr="00EC07A2">
        <w:rPr>
          <w:rFonts w:ascii="Lora" w:hAnsi="Lora"/>
          <w:noProof/>
          <w:sz w:val="24"/>
          <w:szCs w:val="24"/>
        </w:rPr>
        <w:drawing>
          <wp:inline distT="0" distB="0" distL="0" distR="0" wp14:anchorId="4DCB0ACF" wp14:editId="28865048">
            <wp:extent cx="5731510" cy="2959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9100"/>
                    </a:xfrm>
                    <a:prstGeom prst="rect">
                      <a:avLst/>
                    </a:prstGeom>
                  </pic:spPr>
                </pic:pic>
              </a:graphicData>
            </a:graphic>
          </wp:inline>
        </w:drawing>
      </w:r>
    </w:p>
    <w:p w:rsidR="006640F0" w:rsidRDefault="006640F0" w:rsidP="00CA3DE1">
      <w:pPr>
        <w:rPr>
          <w:rFonts w:ascii="Lora" w:hAnsi="Lora"/>
          <w:sz w:val="24"/>
          <w:szCs w:val="24"/>
        </w:rPr>
      </w:pPr>
    </w:p>
    <w:p w:rsidR="003F56D9" w:rsidRDefault="007242A7" w:rsidP="00633CC2">
      <w:pPr>
        <w:jc w:val="both"/>
        <w:rPr>
          <w:rFonts w:ascii="Lora" w:hAnsi="Lora"/>
          <w:sz w:val="24"/>
          <w:szCs w:val="24"/>
        </w:rPr>
      </w:pPr>
      <w:r w:rsidRPr="007242A7">
        <w:rPr>
          <w:rFonts w:ascii="Lora" w:hAnsi="Lora"/>
          <w:sz w:val="24"/>
          <w:szCs w:val="24"/>
        </w:rPr>
        <w:t xml:space="preserve">When looking at the trend of different ethnic groups separately, it can be seen that the Indian group has the highest employment rate among all groups. The forecast employment rate for Indian people in 2022 is 80.01%. Similarly, the forecast employment rate for </w:t>
      </w:r>
      <w:r w:rsidR="00E6017A">
        <w:rPr>
          <w:rFonts w:ascii="Lora" w:hAnsi="Lora"/>
          <w:sz w:val="24"/>
          <w:szCs w:val="24"/>
        </w:rPr>
        <w:t>BAME</w:t>
      </w:r>
      <w:r w:rsidRPr="007242A7">
        <w:rPr>
          <w:rFonts w:ascii="Lora" w:hAnsi="Lora"/>
          <w:sz w:val="24"/>
          <w:szCs w:val="24"/>
        </w:rPr>
        <w:t xml:space="preserve"> people in 2022 is</w:t>
      </w:r>
      <w:r w:rsidR="00633CC2">
        <w:rPr>
          <w:rFonts w:ascii="Lora" w:hAnsi="Lora"/>
          <w:sz w:val="24"/>
          <w:szCs w:val="24"/>
        </w:rPr>
        <w:t xml:space="preserve"> </w:t>
      </w:r>
      <w:r w:rsidR="00E6017A">
        <w:rPr>
          <w:rFonts w:ascii="Lora" w:hAnsi="Lora"/>
          <w:sz w:val="24"/>
          <w:szCs w:val="24"/>
        </w:rPr>
        <w:t>69.41%</w:t>
      </w:r>
      <w:r w:rsidR="00C44925">
        <w:rPr>
          <w:rFonts w:ascii="Lora" w:hAnsi="Lora"/>
          <w:sz w:val="24"/>
          <w:szCs w:val="24"/>
        </w:rPr>
        <w:t>.</w:t>
      </w:r>
      <w:r w:rsidR="00DA00F0">
        <w:rPr>
          <w:rFonts w:ascii="Lora" w:hAnsi="Lora"/>
          <w:sz w:val="24"/>
          <w:szCs w:val="24"/>
        </w:rPr>
        <w:t xml:space="preserve"> </w:t>
      </w:r>
      <w:r w:rsidR="00C21E4C" w:rsidRPr="00C21E4C">
        <w:rPr>
          <w:rFonts w:ascii="Lora" w:hAnsi="Lora"/>
          <w:sz w:val="24"/>
          <w:szCs w:val="24"/>
        </w:rPr>
        <w:t xml:space="preserve">On the other hand, the </w:t>
      </w:r>
      <w:r w:rsidR="00633CC2" w:rsidRPr="00633CC2">
        <w:rPr>
          <w:rFonts w:ascii="Lora" w:hAnsi="Lora"/>
          <w:sz w:val="24"/>
          <w:szCs w:val="24"/>
        </w:rPr>
        <w:t xml:space="preserve">Pakistani/Bangladeshi </w:t>
      </w:r>
      <w:r w:rsidR="00C21E4C" w:rsidRPr="00C21E4C">
        <w:rPr>
          <w:rFonts w:ascii="Lora" w:hAnsi="Lora"/>
          <w:sz w:val="24"/>
          <w:szCs w:val="24"/>
        </w:rPr>
        <w:t xml:space="preserve">has the lowest employment rate among all groups. The forecast employment rate for BAME people in 2022 is </w:t>
      </w:r>
      <w:r w:rsidR="00E6017A">
        <w:rPr>
          <w:rFonts w:ascii="Lora" w:hAnsi="Lora"/>
          <w:sz w:val="24"/>
          <w:szCs w:val="24"/>
        </w:rPr>
        <w:t>76.727% (same in 2021).</w:t>
      </w:r>
      <w:r w:rsidR="00C21E4C" w:rsidRPr="00C21E4C">
        <w:rPr>
          <w:rFonts w:ascii="Lora" w:hAnsi="Lora"/>
          <w:sz w:val="24"/>
          <w:szCs w:val="24"/>
        </w:rPr>
        <w:t xml:space="preserve"> This could be due to a number of factors such as discrimination, lack of access to education and training, and structural barriers to employment.</w:t>
      </w:r>
      <w:r w:rsidR="000664C0">
        <w:rPr>
          <w:rFonts w:ascii="Lora" w:hAnsi="Lora"/>
          <w:sz w:val="24"/>
          <w:szCs w:val="24"/>
        </w:rPr>
        <w:t xml:space="preserve"> </w:t>
      </w:r>
    </w:p>
    <w:p w:rsidR="006D2FC2" w:rsidRPr="00F71DF6" w:rsidRDefault="003F56D9" w:rsidP="00EE3069">
      <w:pPr>
        <w:rPr>
          <w:rFonts w:ascii="Lora" w:hAnsi="Lora"/>
          <w:sz w:val="24"/>
          <w:szCs w:val="24"/>
        </w:rPr>
      </w:pPr>
      <w:r>
        <w:rPr>
          <w:rFonts w:ascii="Lora" w:hAnsi="Lora"/>
          <w:sz w:val="24"/>
          <w:szCs w:val="24"/>
        </w:rPr>
        <w:br w:type="page"/>
      </w:r>
    </w:p>
    <w:p w:rsidR="003F56D9" w:rsidRPr="000A147C" w:rsidRDefault="001F7649" w:rsidP="000A147C">
      <w:pPr>
        <w:pStyle w:val="Heading1"/>
        <w:rPr>
          <w:b/>
          <w:bCs/>
        </w:rPr>
      </w:pPr>
      <w:bookmarkStart w:id="5" w:name="_Toc124759499"/>
      <w:r w:rsidRPr="007A279A">
        <w:rPr>
          <w:b/>
          <w:bCs/>
          <w:sz w:val="40"/>
          <w:szCs w:val="40"/>
        </w:rPr>
        <w:t>Conclusion</w:t>
      </w:r>
      <w:bookmarkEnd w:id="5"/>
    </w:p>
    <w:p w:rsidR="00ED263E" w:rsidRDefault="00ED263E" w:rsidP="00E171F1">
      <w:pPr>
        <w:jc w:val="both"/>
        <w:rPr>
          <w:rFonts w:ascii="Lora" w:hAnsi="Lora"/>
          <w:sz w:val="24"/>
          <w:szCs w:val="24"/>
        </w:rPr>
      </w:pPr>
    </w:p>
    <w:p w:rsidR="005151F8" w:rsidRDefault="00A66AB5" w:rsidP="00CE274A">
      <w:pPr>
        <w:jc w:val="both"/>
        <w:rPr>
          <w:rFonts w:ascii="Lora" w:hAnsi="Lora"/>
          <w:sz w:val="24"/>
          <w:szCs w:val="24"/>
        </w:rPr>
      </w:pPr>
      <w:r w:rsidRPr="00A66AB5">
        <w:rPr>
          <w:rFonts w:ascii="Lora" w:hAnsi="Lora"/>
          <w:sz w:val="24"/>
          <w:szCs w:val="24"/>
        </w:rPr>
        <w:t xml:space="preserve">Overall, the data suggests that the employment rate for different ethnic groups in the UK is increasing, but at different rates. While the Indian and mixed ethnic groups have the highest employment rate, the BAME group has the lowest employment rate, this could be due to a number of factors such as discrimination, lack of access to education and training, and structural barriers to employment. </w:t>
      </w:r>
    </w:p>
    <w:p w:rsidR="008921F4" w:rsidRDefault="00A66AB5" w:rsidP="00CE274A">
      <w:pPr>
        <w:jc w:val="both"/>
        <w:rPr>
          <w:rFonts w:ascii="Lora" w:hAnsi="Lora"/>
          <w:sz w:val="24"/>
          <w:szCs w:val="24"/>
        </w:rPr>
      </w:pPr>
      <w:r w:rsidRPr="00A66AB5">
        <w:rPr>
          <w:rFonts w:ascii="Lora" w:hAnsi="Lora"/>
          <w:sz w:val="24"/>
          <w:szCs w:val="24"/>
        </w:rPr>
        <w:t>However, it's important to remember that this data is just a forecast and does not take into account the underlying reasons for these trends.</w:t>
      </w:r>
      <w:r w:rsidR="00935152">
        <w:rPr>
          <w:rFonts w:ascii="Lora" w:hAnsi="Lora"/>
          <w:sz w:val="24"/>
          <w:szCs w:val="24"/>
        </w:rPr>
        <w:t xml:space="preserve"> Furthermore, t</w:t>
      </w:r>
      <w:r w:rsidR="00935152" w:rsidRPr="00935152">
        <w:rPr>
          <w:rFonts w:ascii="Lora" w:hAnsi="Lora"/>
          <w:sz w:val="24"/>
          <w:szCs w:val="24"/>
        </w:rPr>
        <w:t>he actual data from 2004 to 2019, is also provided, which shows an overall trend of increasing employment rate for all</w:t>
      </w:r>
      <w:r w:rsidR="00C84B38">
        <w:rPr>
          <w:rFonts w:ascii="Lora" w:hAnsi="Lora"/>
          <w:sz w:val="24"/>
          <w:szCs w:val="24"/>
        </w:rPr>
        <w:t xml:space="preserve"> </w:t>
      </w:r>
      <w:r w:rsidR="00E171F1" w:rsidRPr="00E171F1">
        <w:rPr>
          <w:rFonts w:ascii="Lora" w:hAnsi="Lora"/>
          <w:sz w:val="24"/>
          <w:szCs w:val="24"/>
        </w:rPr>
        <w:t>ethnic groups.</w:t>
      </w:r>
    </w:p>
    <w:p w:rsidR="00AD3DBE" w:rsidRDefault="00E171F1" w:rsidP="00CE274A">
      <w:pPr>
        <w:jc w:val="both"/>
        <w:rPr>
          <w:rFonts w:ascii="Lora" w:hAnsi="Lora"/>
          <w:sz w:val="24"/>
          <w:szCs w:val="24"/>
        </w:rPr>
      </w:pPr>
      <w:r w:rsidRPr="00E171F1">
        <w:rPr>
          <w:rFonts w:ascii="Lora" w:hAnsi="Lora"/>
          <w:sz w:val="24"/>
          <w:szCs w:val="24"/>
        </w:rPr>
        <w:t>However, it is important to note that the increase in employment rate is not consistent across all groups. The Indian and mixed ethnic groups have seen a relatively steady increase in employment rate over the years, while the Pakistani/Bangladeshi and BAME groups have seen a more gradual increase. The Black group also experienced a decrease in employment rate between 2011 and 2012, but has since seen an increase.</w:t>
      </w:r>
    </w:p>
    <w:p w:rsidR="00D22DE5" w:rsidRDefault="00E171F1" w:rsidP="00CE274A">
      <w:pPr>
        <w:jc w:val="both"/>
        <w:rPr>
          <w:rFonts w:ascii="Lora" w:hAnsi="Lora"/>
          <w:sz w:val="24"/>
          <w:szCs w:val="24"/>
        </w:rPr>
      </w:pPr>
      <w:r w:rsidRPr="00E171F1">
        <w:rPr>
          <w:rFonts w:ascii="Lora" w:hAnsi="Lora"/>
          <w:sz w:val="24"/>
          <w:szCs w:val="24"/>
        </w:rPr>
        <w:t>It's also worth noting that the White group, which has the highest employment rate among all groups, has seen a slight decrease in employment rate between 2008 and 2009, and a small increase between 2019 and 2020</w:t>
      </w:r>
      <w:r w:rsidR="00A3533A">
        <w:rPr>
          <w:rFonts w:ascii="Lora" w:hAnsi="Lora"/>
          <w:sz w:val="24"/>
          <w:szCs w:val="24"/>
        </w:rPr>
        <w:t>.</w:t>
      </w:r>
    </w:p>
    <w:p w:rsidR="00EE3069" w:rsidRDefault="00EE3069" w:rsidP="00CE274A">
      <w:pPr>
        <w:jc w:val="both"/>
        <w:rPr>
          <w:rFonts w:ascii="Lora" w:hAnsi="Lora"/>
          <w:sz w:val="24"/>
          <w:szCs w:val="24"/>
        </w:rPr>
      </w:pPr>
    </w:p>
    <w:p w:rsidR="00EE3069" w:rsidRDefault="00EE3069">
      <w:pPr>
        <w:rPr>
          <w:rFonts w:ascii="Lora" w:hAnsi="Lora"/>
          <w:b/>
          <w:bCs/>
          <w:sz w:val="24"/>
          <w:szCs w:val="24"/>
        </w:rPr>
      </w:pPr>
      <w:r>
        <w:rPr>
          <w:rFonts w:ascii="Lora" w:hAnsi="Lora"/>
          <w:b/>
          <w:bCs/>
          <w:sz w:val="24"/>
          <w:szCs w:val="24"/>
        </w:rPr>
        <w:br w:type="page"/>
      </w:r>
    </w:p>
    <w:p w:rsidR="00EE3069" w:rsidRPr="000A147C" w:rsidRDefault="00EE3069" w:rsidP="000A147C">
      <w:pPr>
        <w:pStyle w:val="Heading1"/>
        <w:rPr>
          <w:b/>
          <w:bCs/>
        </w:rPr>
      </w:pPr>
      <w:bookmarkStart w:id="6" w:name="_Toc124759500"/>
      <w:r w:rsidRPr="007A279A">
        <w:rPr>
          <w:b/>
          <w:bCs/>
          <w:sz w:val="40"/>
          <w:szCs w:val="40"/>
        </w:rPr>
        <w:t>Recommendations</w:t>
      </w:r>
      <w:bookmarkEnd w:id="6"/>
    </w:p>
    <w:p w:rsidR="00EE3069" w:rsidRPr="00EB1B12" w:rsidRDefault="00EE3069" w:rsidP="00EE3069">
      <w:pPr>
        <w:rPr>
          <w:rFonts w:ascii="Lora" w:hAnsi="Lora"/>
          <w:sz w:val="24"/>
          <w:szCs w:val="24"/>
        </w:rPr>
      </w:pPr>
    </w:p>
    <w:p w:rsidR="00EE3069" w:rsidRDefault="00EE3069" w:rsidP="00EE3069">
      <w:pPr>
        <w:jc w:val="both"/>
        <w:rPr>
          <w:rFonts w:ascii="Lora" w:hAnsi="Lora"/>
          <w:sz w:val="24"/>
          <w:szCs w:val="24"/>
        </w:rPr>
      </w:pPr>
      <w:r w:rsidRPr="00EB1B12">
        <w:rPr>
          <w:rFonts w:ascii="Lora" w:hAnsi="Lora"/>
          <w:sz w:val="24"/>
          <w:szCs w:val="24"/>
        </w:rPr>
        <w:t>Based on the</w:t>
      </w:r>
      <w:r>
        <w:rPr>
          <w:rFonts w:ascii="Lora" w:hAnsi="Lora"/>
          <w:sz w:val="24"/>
          <w:szCs w:val="24"/>
        </w:rPr>
        <w:t xml:space="preserve"> study</w:t>
      </w:r>
      <w:r w:rsidRPr="00EB1B12">
        <w:rPr>
          <w:rFonts w:ascii="Lora" w:hAnsi="Lora"/>
          <w:sz w:val="24"/>
          <w:szCs w:val="24"/>
        </w:rPr>
        <w:t xml:space="preserve">, </w:t>
      </w:r>
      <w:r w:rsidRPr="00F72A00">
        <w:rPr>
          <w:rFonts w:ascii="Lora" w:hAnsi="Lora"/>
          <w:sz w:val="24"/>
          <w:szCs w:val="24"/>
        </w:rPr>
        <w:t>it appears that specific policies and programmes are required to address the discrepancies in employment rates between various ethnic communities in the UK. Following are some suggestions for addressing these disparities:</w:t>
      </w:r>
    </w:p>
    <w:p w:rsidR="00EE3069" w:rsidRPr="00F72A00" w:rsidRDefault="00EE3069" w:rsidP="00EE3069">
      <w:pPr>
        <w:pStyle w:val="ListParagraph"/>
        <w:numPr>
          <w:ilvl w:val="0"/>
          <w:numId w:val="1"/>
        </w:numPr>
        <w:jc w:val="both"/>
        <w:rPr>
          <w:rFonts w:ascii="Lora" w:hAnsi="Lora"/>
          <w:sz w:val="24"/>
          <w:szCs w:val="24"/>
        </w:rPr>
      </w:pPr>
      <w:r w:rsidRPr="00F72A00">
        <w:rPr>
          <w:rFonts w:ascii="Lora" w:hAnsi="Lora"/>
          <w:sz w:val="24"/>
          <w:szCs w:val="24"/>
        </w:rPr>
        <w:t>Increasing access to education and training may involve increasing financing for schools and organisations that offer vocational training in locations with sizable BAME and Pakistani/Bangladeshi populations.</w:t>
      </w:r>
    </w:p>
    <w:p w:rsidR="00EE3069" w:rsidRPr="00724BBB" w:rsidRDefault="00EE3069" w:rsidP="00EE3069">
      <w:pPr>
        <w:pStyle w:val="ListParagraph"/>
        <w:numPr>
          <w:ilvl w:val="0"/>
          <w:numId w:val="1"/>
        </w:numPr>
        <w:jc w:val="both"/>
        <w:rPr>
          <w:rFonts w:ascii="Lora" w:hAnsi="Lora"/>
          <w:sz w:val="24"/>
          <w:szCs w:val="24"/>
        </w:rPr>
      </w:pPr>
      <w:r w:rsidRPr="00724BBB">
        <w:rPr>
          <w:rFonts w:ascii="Lora" w:hAnsi="Lora"/>
          <w:sz w:val="24"/>
          <w:szCs w:val="24"/>
        </w:rPr>
        <w:t>In order to combat discrimination, companies and employees may choose to create anti-discrimination policies in the workplace and receive education and training on how to identify and prevent discrimination.</w:t>
      </w:r>
    </w:p>
    <w:p w:rsidR="00EE3069" w:rsidRPr="00724BBB" w:rsidRDefault="00EE3069" w:rsidP="00EE3069">
      <w:pPr>
        <w:pStyle w:val="ListParagraph"/>
        <w:numPr>
          <w:ilvl w:val="0"/>
          <w:numId w:val="1"/>
        </w:numPr>
        <w:jc w:val="both"/>
        <w:rPr>
          <w:rFonts w:ascii="Lora" w:hAnsi="Lora"/>
          <w:sz w:val="24"/>
          <w:szCs w:val="24"/>
        </w:rPr>
      </w:pPr>
      <w:r w:rsidRPr="00724BBB">
        <w:rPr>
          <w:rFonts w:ascii="Lora" w:hAnsi="Lora"/>
          <w:sz w:val="24"/>
          <w:szCs w:val="24"/>
        </w:rPr>
        <w:t>Giving job searchers targeted help: This could entail offering mentorship and coaching programmes for those from underrepresented groups as well as giving job seekers with disabilities, mental health issues, and other employment-related challenges targeted support.</w:t>
      </w:r>
    </w:p>
    <w:p w:rsidR="00EE3069" w:rsidRDefault="00EE3069" w:rsidP="00EE3069">
      <w:pPr>
        <w:pStyle w:val="ListParagraph"/>
        <w:numPr>
          <w:ilvl w:val="0"/>
          <w:numId w:val="1"/>
        </w:numPr>
        <w:jc w:val="both"/>
        <w:rPr>
          <w:rFonts w:ascii="Lora" w:hAnsi="Lora"/>
          <w:sz w:val="24"/>
          <w:szCs w:val="24"/>
        </w:rPr>
      </w:pPr>
      <w:r w:rsidRPr="00724BBB">
        <w:rPr>
          <w:rFonts w:ascii="Lora" w:hAnsi="Lora"/>
          <w:sz w:val="24"/>
          <w:szCs w:val="24"/>
        </w:rPr>
        <w:t>Providing tax incentives for firms who hire a diverse staff and establishing diversity goals for large public and private sector employers are two ways to encourage employers to hire more diversely.</w:t>
      </w:r>
    </w:p>
    <w:p w:rsidR="00EE3069" w:rsidRDefault="00EE3069" w:rsidP="00EE3069">
      <w:pPr>
        <w:pStyle w:val="ListParagraph"/>
        <w:numPr>
          <w:ilvl w:val="0"/>
          <w:numId w:val="1"/>
        </w:numPr>
        <w:jc w:val="both"/>
        <w:rPr>
          <w:rFonts w:ascii="Lora" w:hAnsi="Lora"/>
          <w:sz w:val="24"/>
          <w:szCs w:val="24"/>
        </w:rPr>
      </w:pPr>
      <w:r w:rsidRPr="00F641D4">
        <w:rPr>
          <w:rFonts w:ascii="Lora" w:hAnsi="Lora"/>
          <w:sz w:val="24"/>
          <w:szCs w:val="24"/>
        </w:rPr>
        <w:t>Promoting flexible working hours, remote work, and other regulations that would assist people with families or other commitments to work would all contribute to encouraging more diversity in the workplace.</w:t>
      </w:r>
    </w:p>
    <w:p w:rsidR="000A147C" w:rsidRDefault="00EE3069" w:rsidP="00EE3069">
      <w:pPr>
        <w:ind w:left="360"/>
        <w:jc w:val="both"/>
        <w:rPr>
          <w:rFonts w:ascii="Lora" w:hAnsi="Lora"/>
          <w:sz w:val="24"/>
          <w:szCs w:val="24"/>
        </w:rPr>
      </w:pPr>
      <w:r w:rsidRPr="00F641D4">
        <w:rPr>
          <w:rFonts w:ascii="Lora" w:hAnsi="Lora"/>
          <w:sz w:val="24"/>
          <w:szCs w:val="24"/>
        </w:rPr>
        <w:t>It's crucial to keep in mind that these are merely a few possible suggestions and that any effective plan will probably need to be adjusted to the particular requirements of various ethnic groups and take into account additional factors like geographic location, accessibility to education and training, and discrimination.</w:t>
      </w:r>
    </w:p>
    <w:p w:rsidR="000A147C" w:rsidRDefault="000A147C" w:rsidP="000A147C">
      <w:r>
        <w:br w:type="page"/>
      </w:r>
    </w:p>
    <w:p w:rsidR="00A2699F" w:rsidRDefault="000A147C" w:rsidP="000A147C">
      <w:pPr>
        <w:pStyle w:val="Heading1"/>
        <w:jc w:val="center"/>
        <w:rPr>
          <w:b/>
          <w:bCs/>
        </w:rPr>
      </w:pPr>
      <w:bookmarkStart w:id="7" w:name="_Toc124759501"/>
      <w:r w:rsidRPr="007A279A">
        <w:rPr>
          <w:b/>
          <w:bCs/>
          <w:sz w:val="40"/>
          <w:szCs w:val="40"/>
        </w:rPr>
        <w:t>References</w:t>
      </w:r>
      <w:bookmarkEnd w:id="7"/>
    </w:p>
    <w:p w:rsidR="000A147C" w:rsidRDefault="000A147C" w:rsidP="000A147C"/>
    <w:p w:rsidR="000A147C" w:rsidRPr="001C4F3E" w:rsidRDefault="000B3804" w:rsidP="001C4F3E">
      <w:pPr>
        <w:ind w:hanging="709"/>
        <w:rPr>
          <w:rFonts w:ascii="Lora" w:hAnsi="Lora"/>
          <w:i/>
          <w:iCs/>
          <w:sz w:val="24"/>
        </w:rPr>
      </w:pPr>
      <w:r w:rsidRPr="001C4F3E">
        <w:rPr>
          <w:rFonts w:ascii="Lora" w:hAnsi="Lora"/>
          <w:i/>
          <w:iCs/>
          <w:sz w:val="24"/>
        </w:rPr>
        <w:t xml:space="preserve">Atewologun, ’D. and Singh, V. (2010) “Challenging ethnic and gender identities,” Equality, Diversity and Inclusion: An International Journal, 29(4), pp. 332–347. Available at: </w:t>
      </w:r>
      <w:hyperlink r:id="rId16" w:history="1">
        <w:r w:rsidRPr="001C4F3E">
          <w:rPr>
            <w:rStyle w:val="Hyperlink"/>
            <w:rFonts w:ascii="Lora" w:hAnsi="Lora"/>
            <w:i/>
            <w:iCs/>
            <w:sz w:val="24"/>
          </w:rPr>
          <w:t>https://doi.org/10.1108/02610151011042394</w:t>
        </w:r>
      </w:hyperlink>
      <w:r w:rsidRPr="001C4F3E">
        <w:rPr>
          <w:rFonts w:ascii="Lora" w:hAnsi="Lora"/>
          <w:i/>
          <w:iCs/>
          <w:sz w:val="24"/>
        </w:rPr>
        <w:t xml:space="preserve">. </w:t>
      </w:r>
    </w:p>
    <w:p w:rsidR="003200B5" w:rsidRPr="001C4F3E" w:rsidRDefault="003200B5" w:rsidP="001C4F3E">
      <w:pPr>
        <w:ind w:hanging="709"/>
        <w:jc w:val="both"/>
        <w:rPr>
          <w:rFonts w:ascii="Lora" w:hAnsi="Lora"/>
          <w:i/>
          <w:iCs/>
          <w:sz w:val="24"/>
          <w:szCs w:val="24"/>
        </w:rPr>
      </w:pPr>
      <w:r w:rsidRPr="001C4F3E">
        <w:rPr>
          <w:rFonts w:ascii="Lora" w:hAnsi="Lora"/>
          <w:i/>
          <w:iCs/>
          <w:sz w:val="24"/>
          <w:szCs w:val="24"/>
        </w:rPr>
        <w:t xml:space="preserve">Budjanovcanin, A. and Guest, D.E. (2021) “Understanding the unobserved influences on the careers of ethnic minority women: Implications for human resource management,” The International Journal of Human Resource Management, pp. 1–26. Available at: </w:t>
      </w:r>
      <w:hyperlink r:id="rId17" w:history="1">
        <w:r w:rsidRPr="001C4F3E">
          <w:rPr>
            <w:rStyle w:val="Hyperlink"/>
            <w:rFonts w:ascii="Lora" w:hAnsi="Lora"/>
            <w:i/>
            <w:iCs/>
            <w:sz w:val="24"/>
            <w:szCs w:val="24"/>
          </w:rPr>
          <w:t>https://doi.org/10.1080/09585192.2021.1969586</w:t>
        </w:r>
      </w:hyperlink>
      <w:r w:rsidRPr="001C4F3E">
        <w:rPr>
          <w:rFonts w:ascii="Lora" w:hAnsi="Lora"/>
          <w:i/>
          <w:iCs/>
          <w:sz w:val="24"/>
          <w:szCs w:val="24"/>
        </w:rPr>
        <w:t>.</w:t>
      </w:r>
    </w:p>
    <w:p w:rsidR="003200B5" w:rsidRPr="001C4F3E" w:rsidRDefault="00B17C12" w:rsidP="001C4F3E">
      <w:pPr>
        <w:ind w:hanging="709"/>
        <w:jc w:val="both"/>
        <w:rPr>
          <w:rFonts w:ascii="Lora" w:hAnsi="Lora"/>
          <w:i/>
          <w:iCs/>
          <w:sz w:val="24"/>
          <w:szCs w:val="24"/>
        </w:rPr>
      </w:pPr>
      <w:r w:rsidRPr="001C4F3E">
        <w:rPr>
          <w:rFonts w:ascii="Lora" w:hAnsi="Lora"/>
          <w:i/>
          <w:iCs/>
          <w:sz w:val="24"/>
          <w:szCs w:val="24"/>
        </w:rPr>
        <w:t xml:space="preserve">Katito, G. and Davies, E. (2021) “Exploring the social-ecological factors related to physical activity participation among black, Asian and minority ethnic immigrants,” Health Education, 121(6), pp. 614–631. Available at: </w:t>
      </w:r>
      <w:hyperlink r:id="rId18" w:history="1">
        <w:r w:rsidRPr="001C4F3E">
          <w:rPr>
            <w:rStyle w:val="Hyperlink"/>
            <w:rFonts w:ascii="Lora" w:hAnsi="Lora"/>
            <w:i/>
            <w:iCs/>
            <w:sz w:val="24"/>
            <w:szCs w:val="24"/>
          </w:rPr>
          <w:t>https://doi.org/10.1108/he-01-2021-0014</w:t>
        </w:r>
      </w:hyperlink>
      <w:r w:rsidRPr="001C4F3E">
        <w:rPr>
          <w:rFonts w:ascii="Lora" w:hAnsi="Lora"/>
          <w:i/>
          <w:iCs/>
          <w:sz w:val="24"/>
          <w:szCs w:val="24"/>
        </w:rPr>
        <w:t>.</w:t>
      </w:r>
    </w:p>
    <w:p w:rsidR="004B1338" w:rsidRPr="001C4F3E" w:rsidRDefault="004B1338" w:rsidP="001C4F3E">
      <w:pPr>
        <w:ind w:hanging="709"/>
        <w:jc w:val="both"/>
        <w:rPr>
          <w:rFonts w:ascii="Lora" w:hAnsi="Lora"/>
          <w:i/>
          <w:iCs/>
          <w:sz w:val="24"/>
          <w:szCs w:val="24"/>
        </w:rPr>
      </w:pPr>
      <w:r w:rsidRPr="001C4F3E">
        <w:rPr>
          <w:rFonts w:ascii="Lora" w:hAnsi="Lora"/>
          <w:i/>
          <w:iCs/>
          <w:sz w:val="24"/>
          <w:szCs w:val="24"/>
        </w:rPr>
        <w:t xml:space="preserve">Phillips, D., Law, I. and Turney, L. (no date) “Widening participation in United Kingdom universities: The Challenges of Achieving Race Equality,” Higher Education in a Global Society: Achieving Diversity, Equity and Excellence, pp. 227–247. Available at: </w:t>
      </w:r>
      <w:hyperlink r:id="rId19" w:history="1">
        <w:r w:rsidRPr="001C4F3E">
          <w:rPr>
            <w:rStyle w:val="Hyperlink"/>
            <w:rFonts w:ascii="Lora" w:hAnsi="Lora"/>
            <w:i/>
            <w:iCs/>
            <w:sz w:val="24"/>
            <w:szCs w:val="24"/>
          </w:rPr>
          <w:t>https://doi.org/10.1016/s1479-358x(05)05011-4</w:t>
        </w:r>
      </w:hyperlink>
      <w:r w:rsidRPr="001C4F3E">
        <w:rPr>
          <w:rFonts w:ascii="Lora" w:hAnsi="Lora"/>
          <w:i/>
          <w:iCs/>
          <w:sz w:val="24"/>
          <w:szCs w:val="24"/>
        </w:rPr>
        <w:t>.</w:t>
      </w:r>
    </w:p>
    <w:p w:rsidR="004B1338" w:rsidRPr="001C4F3E" w:rsidRDefault="004B1338" w:rsidP="001C4F3E">
      <w:pPr>
        <w:ind w:hanging="709"/>
        <w:jc w:val="both"/>
        <w:rPr>
          <w:rFonts w:ascii="Lora" w:hAnsi="Lora"/>
          <w:i/>
          <w:iCs/>
          <w:sz w:val="24"/>
          <w:szCs w:val="24"/>
        </w:rPr>
      </w:pPr>
    </w:p>
    <w:sectPr w:rsidR="004B1338" w:rsidRPr="001C4F3E" w:rsidSect="00605E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457B" w:rsidRDefault="00F4457B" w:rsidP="001526F3">
      <w:pPr>
        <w:spacing w:after="0" w:line="240" w:lineRule="auto"/>
      </w:pPr>
      <w:r>
        <w:separator/>
      </w:r>
    </w:p>
  </w:endnote>
  <w:endnote w:type="continuationSeparator" w:id="0">
    <w:p w:rsidR="00F4457B" w:rsidRDefault="00F4457B" w:rsidP="00152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Lora">
    <w:charset w:val="00"/>
    <w:family w:val="auto"/>
    <w:pitch w:val="variable"/>
    <w:sig w:usb0="A00002F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356180"/>
      <w:docPartObj>
        <w:docPartGallery w:val="Page Numbers (Bottom of Page)"/>
        <w:docPartUnique/>
      </w:docPartObj>
    </w:sdtPr>
    <w:sdtEndPr>
      <w:rPr>
        <w:color w:val="7F7F7F" w:themeColor="background1" w:themeShade="7F"/>
        <w:spacing w:val="60"/>
      </w:rPr>
    </w:sdtEndPr>
    <w:sdtContent>
      <w:p w:rsidR="001526F3" w:rsidRDefault="001526F3">
        <w:pPr>
          <w:pStyle w:val="Footer"/>
          <w:pBdr>
            <w:top w:val="single" w:sz="4" w:space="1" w:color="D9D9D9" w:themeColor="background1" w:themeShade="D9"/>
          </w:pBdr>
          <w:jc w:val="right"/>
        </w:pPr>
        <w:r w:rsidRPr="001526F3">
          <w:rPr>
            <w:b/>
            <w:bCs/>
          </w:rPr>
          <w:fldChar w:fldCharType="begin"/>
        </w:r>
        <w:r w:rsidRPr="001526F3">
          <w:rPr>
            <w:b/>
            <w:bCs/>
          </w:rPr>
          <w:instrText xml:space="preserve"> PAGE   \* MERGEFORMAT </w:instrText>
        </w:r>
        <w:r w:rsidRPr="001526F3">
          <w:rPr>
            <w:b/>
            <w:bCs/>
          </w:rPr>
          <w:fldChar w:fldCharType="separate"/>
        </w:r>
        <w:r w:rsidRPr="001526F3">
          <w:rPr>
            <w:b/>
            <w:bCs/>
            <w:noProof/>
          </w:rPr>
          <w:t>2</w:t>
        </w:r>
        <w:r w:rsidRPr="001526F3">
          <w:rPr>
            <w:b/>
            <w:bCs/>
            <w:noProof/>
          </w:rPr>
          <w:fldChar w:fldCharType="end"/>
        </w:r>
        <w:r w:rsidRPr="001526F3">
          <w:rPr>
            <w:b/>
            <w:bCs/>
          </w:rPr>
          <w:t xml:space="preserve"> | </w:t>
        </w:r>
        <w:r w:rsidRPr="001526F3">
          <w:rPr>
            <w:b/>
            <w:bCs/>
            <w:color w:val="7F7F7F" w:themeColor="background1" w:themeShade="7F"/>
            <w:spacing w:val="60"/>
          </w:rPr>
          <w:t>Page</w:t>
        </w:r>
      </w:p>
    </w:sdtContent>
  </w:sdt>
  <w:p w:rsidR="001526F3" w:rsidRDefault="00152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457B" w:rsidRDefault="00F4457B" w:rsidP="001526F3">
      <w:pPr>
        <w:spacing w:after="0" w:line="240" w:lineRule="auto"/>
      </w:pPr>
      <w:r>
        <w:separator/>
      </w:r>
    </w:p>
  </w:footnote>
  <w:footnote w:type="continuationSeparator" w:id="0">
    <w:p w:rsidR="00F4457B" w:rsidRDefault="00F4457B" w:rsidP="00152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0166F"/>
    <w:multiLevelType w:val="hybridMultilevel"/>
    <w:tmpl w:val="5C14D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7842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0MTYzNzGxNDAyNDRX0lEKTi0uzszPAykwrgUAfsgpDCwAAAA="/>
  </w:docVars>
  <w:rsids>
    <w:rsidRoot w:val="00EC32DF"/>
    <w:rsid w:val="00004557"/>
    <w:rsid w:val="00007624"/>
    <w:rsid w:val="000664C0"/>
    <w:rsid w:val="00076DDF"/>
    <w:rsid w:val="00080F86"/>
    <w:rsid w:val="000A147C"/>
    <w:rsid w:val="000A6345"/>
    <w:rsid w:val="000B1654"/>
    <w:rsid w:val="000B3804"/>
    <w:rsid w:val="000C3E6D"/>
    <w:rsid w:val="000F2F4E"/>
    <w:rsid w:val="001052DD"/>
    <w:rsid w:val="00124D83"/>
    <w:rsid w:val="00125F0D"/>
    <w:rsid w:val="0013109B"/>
    <w:rsid w:val="001526F3"/>
    <w:rsid w:val="001772E0"/>
    <w:rsid w:val="001907A3"/>
    <w:rsid w:val="00194C3C"/>
    <w:rsid w:val="001C0D3D"/>
    <w:rsid w:val="001C4A4E"/>
    <w:rsid w:val="001C4F3E"/>
    <w:rsid w:val="001D5570"/>
    <w:rsid w:val="001E15B9"/>
    <w:rsid w:val="001E4617"/>
    <w:rsid w:val="001F7649"/>
    <w:rsid w:val="00217448"/>
    <w:rsid w:val="0024719E"/>
    <w:rsid w:val="00252A8A"/>
    <w:rsid w:val="002646DA"/>
    <w:rsid w:val="00282047"/>
    <w:rsid w:val="002B5E96"/>
    <w:rsid w:val="002D6A78"/>
    <w:rsid w:val="002D7553"/>
    <w:rsid w:val="002E08A9"/>
    <w:rsid w:val="002E4A74"/>
    <w:rsid w:val="002F4E2E"/>
    <w:rsid w:val="00310AFF"/>
    <w:rsid w:val="003200B5"/>
    <w:rsid w:val="0035729D"/>
    <w:rsid w:val="0036271A"/>
    <w:rsid w:val="00382B9E"/>
    <w:rsid w:val="003872AF"/>
    <w:rsid w:val="0039357D"/>
    <w:rsid w:val="003D1B44"/>
    <w:rsid w:val="003D2338"/>
    <w:rsid w:val="003F56D9"/>
    <w:rsid w:val="00403E6D"/>
    <w:rsid w:val="00417C8F"/>
    <w:rsid w:val="00454612"/>
    <w:rsid w:val="00457744"/>
    <w:rsid w:val="00465219"/>
    <w:rsid w:val="004B1338"/>
    <w:rsid w:val="004B1884"/>
    <w:rsid w:val="004C131E"/>
    <w:rsid w:val="004C2631"/>
    <w:rsid w:val="004D50A0"/>
    <w:rsid w:val="005151F8"/>
    <w:rsid w:val="00517D28"/>
    <w:rsid w:val="005257C9"/>
    <w:rsid w:val="00544686"/>
    <w:rsid w:val="00587E8C"/>
    <w:rsid w:val="00592D41"/>
    <w:rsid w:val="005C4A6D"/>
    <w:rsid w:val="005C6758"/>
    <w:rsid w:val="005D4446"/>
    <w:rsid w:val="00600A56"/>
    <w:rsid w:val="00605E19"/>
    <w:rsid w:val="00617177"/>
    <w:rsid w:val="00627780"/>
    <w:rsid w:val="00633CC2"/>
    <w:rsid w:val="0064380A"/>
    <w:rsid w:val="00657421"/>
    <w:rsid w:val="006640F0"/>
    <w:rsid w:val="0067434E"/>
    <w:rsid w:val="0067787A"/>
    <w:rsid w:val="006849FD"/>
    <w:rsid w:val="006878D3"/>
    <w:rsid w:val="006C20EC"/>
    <w:rsid w:val="006C296B"/>
    <w:rsid w:val="006D2FC2"/>
    <w:rsid w:val="00702B3A"/>
    <w:rsid w:val="0072004E"/>
    <w:rsid w:val="007242A7"/>
    <w:rsid w:val="00724BBB"/>
    <w:rsid w:val="00735F2F"/>
    <w:rsid w:val="007705ED"/>
    <w:rsid w:val="00773947"/>
    <w:rsid w:val="0078786D"/>
    <w:rsid w:val="007A279A"/>
    <w:rsid w:val="007B1446"/>
    <w:rsid w:val="007B1710"/>
    <w:rsid w:val="007C6092"/>
    <w:rsid w:val="007D4AF5"/>
    <w:rsid w:val="007D53A4"/>
    <w:rsid w:val="007E48F9"/>
    <w:rsid w:val="00810791"/>
    <w:rsid w:val="00823DAB"/>
    <w:rsid w:val="008405AC"/>
    <w:rsid w:val="00856C6B"/>
    <w:rsid w:val="00870917"/>
    <w:rsid w:val="008921F4"/>
    <w:rsid w:val="008A626C"/>
    <w:rsid w:val="008B5212"/>
    <w:rsid w:val="008E217E"/>
    <w:rsid w:val="008F3A63"/>
    <w:rsid w:val="00935152"/>
    <w:rsid w:val="00975FE0"/>
    <w:rsid w:val="009926B2"/>
    <w:rsid w:val="009B5F46"/>
    <w:rsid w:val="009D4D40"/>
    <w:rsid w:val="009D7C46"/>
    <w:rsid w:val="009E0530"/>
    <w:rsid w:val="009E3095"/>
    <w:rsid w:val="00A2561F"/>
    <w:rsid w:val="00A2699F"/>
    <w:rsid w:val="00A304D1"/>
    <w:rsid w:val="00A32B65"/>
    <w:rsid w:val="00A337A3"/>
    <w:rsid w:val="00A3533A"/>
    <w:rsid w:val="00A44B93"/>
    <w:rsid w:val="00A6498B"/>
    <w:rsid w:val="00A66AB5"/>
    <w:rsid w:val="00A779E8"/>
    <w:rsid w:val="00A9214B"/>
    <w:rsid w:val="00AB0B52"/>
    <w:rsid w:val="00AB7714"/>
    <w:rsid w:val="00AC4C4E"/>
    <w:rsid w:val="00AD2E7F"/>
    <w:rsid w:val="00AD3DBE"/>
    <w:rsid w:val="00B17C12"/>
    <w:rsid w:val="00B22120"/>
    <w:rsid w:val="00B23AEB"/>
    <w:rsid w:val="00B31944"/>
    <w:rsid w:val="00B45EAE"/>
    <w:rsid w:val="00B5099B"/>
    <w:rsid w:val="00B569BC"/>
    <w:rsid w:val="00B8685C"/>
    <w:rsid w:val="00B90018"/>
    <w:rsid w:val="00BA2D49"/>
    <w:rsid w:val="00BB38DB"/>
    <w:rsid w:val="00BB4751"/>
    <w:rsid w:val="00BD0DCF"/>
    <w:rsid w:val="00BD475C"/>
    <w:rsid w:val="00BD75DB"/>
    <w:rsid w:val="00BD7F5E"/>
    <w:rsid w:val="00BE08AA"/>
    <w:rsid w:val="00BE4C73"/>
    <w:rsid w:val="00BF6F20"/>
    <w:rsid w:val="00C01BAF"/>
    <w:rsid w:val="00C21E4C"/>
    <w:rsid w:val="00C44925"/>
    <w:rsid w:val="00C554D1"/>
    <w:rsid w:val="00C708EA"/>
    <w:rsid w:val="00C84B38"/>
    <w:rsid w:val="00C871FF"/>
    <w:rsid w:val="00C87EF7"/>
    <w:rsid w:val="00C953A3"/>
    <w:rsid w:val="00C973A5"/>
    <w:rsid w:val="00CA3DE1"/>
    <w:rsid w:val="00CE274A"/>
    <w:rsid w:val="00CF05A4"/>
    <w:rsid w:val="00D1480C"/>
    <w:rsid w:val="00D17951"/>
    <w:rsid w:val="00D22DE5"/>
    <w:rsid w:val="00D27B30"/>
    <w:rsid w:val="00D31779"/>
    <w:rsid w:val="00D8392C"/>
    <w:rsid w:val="00D939C5"/>
    <w:rsid w:val="00D97CC1"/>
    <w:rsid w:val="00DA00F0"/>
    <w:rsid w:val="00DB6E91"/>
    <w:rsid w:val="00DC322B"/>
    <w:rsid w:val="00DD3A4B"/>
    <w:rsid w:val="00DD4527"/>
    <w:rsid w:val="00DE1725"/>
    <w:rsid w:val="00DE3D21"/>
    <w:rsid w:val="00DE46BC"/>
    <w:rsid w:val="00E1512E"/>
    <w:rsid w:val="00E171F1"/>
    <w:rsid w:val="00E26A4A"/>
    <w:rsid w:val="00E52B55"/>
    <w:rsid w:val="00E6017A"/>
    <w:rsid w:val="00E663A7"/>
    <w:rsid w:val="00E67D79"/>
    <w:rsid w:val="00E84E96"/>
    <w:rsid w:val="00E87935"/>
    <w:rsid w:val="00EA6415"/>
    <w:rsid w:val="00EB1B12"/>
    <w:rsid w:val="00EC07A2"/>
    <w:rsid w:val="00EC1C23"/>
    <w:rsid w:val="00EC32DF"/>
    <w:rsid w:val="00EC4012"/>
    <w:rsid w:val="00EC4757"/>
    <w:rsid w:val="00ED263E"/>
    <w:rsid w:val="00EE3069"/>
    <w:rsid w:val="00EF124F"/>
    <w:rsid w:val="00EF747C"/>
    <w:rsid w:val="00F135DB"/>
    <w:rsid w:val="00F245A3"/>
    <w:rsid w:val="00F25077"/>
    <w:rsid w:val="00F2795C"/>
    <w:rsid w:val="00F43463"/>
    <w:rsid w:val="00F434F1"/>
    <w:rsid w:val="00F4457B"/>
    <w:rsid w:val="00F45DEC"/>
    <w:rsid w:val="00F50890"/>
    <w:rsid w:val="00F641D4"/>
    <w:rsid w:val="00F667C9"/>
    <w:rsid w:val="00F71DF6"/>
    <w:rsid w:val="00F72A00"/>
    <w:rsid w:val="00F95E80"/>
    <w:rsid w:val="00FB505F"/>
    <w:rsid w:val="00FC154A"/>
    <w:rsid w:val="00FD6D6D"/>
    <w:rsid w:val="00FE4793"/>
    <w:rsid w:val="00FE4B54"/>
    <w:rsid w:val="00FF5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B9F09-09BF-425E-9DA0-0BF5ECD2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84"/>
    <w:pPr>
      <w:ind w:left="720"/>
      <w:contextualSpacing/>
    </w:pPr>
  </w:style>
  <w:style w:type="table" w:styleId="TableGrid">
    <w:name w:val="Table Grid"/>
    <w:basedOn w:val="TableNormal"/>
    <w:uiPriority w:val="39"/>
    <w:rsid w:val="003D2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2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37A3"/>
    <w:pPr>
      <w:outlineLvl w:val="9"/>
    </w:pPr>
    <w:rPr>
      <w:lang w:val="en-US"/>
    </w:rPr>
  </w:style>
  <w:style w:type="paragraph" w:styleId="TOC2">
    <w:name w:val="toc 2"/>
    <w:basedOn w:val="Normal"/>
    <w:next w:val="Normal"/>
    <w:autoRedefine/>
    <w:uiPriority w:val="39"/>
    <w:unhideWhenUsed/>
    <w:rsid w:val="00A337A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337A3"/>
    <w:pPr>
      <w:spacing w:after="100"/>
    </w:pPr>
    <w:rPr>
      <w:rFonts w:eastAsiaTheme="minorEastAsia" w:cs="Times New Roman"/>
      <w:lang w:val="en-US"/>
    </w:rPr>
  </w:style>
  <w:style w:type="paragraph" w:styleId="TOC3">
    <w:name w:val="toc 3"/>
    <w:basedOn w:val="Normal"/>
    <w:next w:val="Normal"/>
    <w:autoRedefine/>
    <w:uiPriority w:val="39"/>
    <w:unhideWhenUsed/>
    <w:rsid w:val="00A337A3"/>
    <w:pPr>
      <w:spacing w:after="100"/>
      <w:ind w:left="440"/>
    </w:pPr>
    <w:rPr>
      <w:rFonts w:eastAsiaTheme="minorEastAsia" w:cs="Times New Roman"/>
      <w:lang w:val="en-US"/>
    </w:rPr>
  </w:style>
  <w:style w:type="character" w:styleId="Hyperlink">
    <w:name w:val="Hyperlink"/>
    <w:basedOn w:val="DefaultParagraphFont"/>
    <w:uiPriority w:val="99"/>
    <w:unhideWhenUsed/>
    <w:rsid w:val="00A337A3"/>
    <w:rPr>
      <w:color w:val="0563C1" w:themeColor="hyperlink"/>
      <w:u w:val="single"/>
    </w:rPr>
  </w:style>
  <w:style w:type="paragraph" w:styleId="NoSpacing">
    <w:name w:val="No Spacing"/>
    <w:link w:val="NoSpacingChar"/>
    <w:uiPriority w:val="1"/>
    <w:qFormat/>
    <w:rsid w:val="00605E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5E19"/>
    <w:rPr>
      <w:rFonts w:eastAsiaTheme="minorEastAsia"/>
      <w:lang w:val="en-US"/>
    </w:rPr>
  </w:style>
  <w:style w:type="paragraph" w:styleId="Header">
    <w:name w:val="header"/>
    <w:basedOn w:val="Normal"/>
    <w:link w:val="HeaderChar"/>
    <w:uiPriority w:val="99"/>
    <w:unhideWhenUsed/>
    <w:rsid w:val="001526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6F3"/>
  </w:style>
  <w:style w:type="paragraph" w:styleId="Footer">
    <w:name w:val="footer"/>
    <w:basedOn w:val="Normal"/>
    <w:link w:val="FooterChar"/>
    <w:uiPriority w:val="99"/>
    <w:unhideWhenUsed/>
    <w:rsid w:val="001526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6F3"/>
  </w:style>
  <w:style w:type="character" w:styleId="UnresolvedMention">
    <w:name w:val="Unresolved Mention"/>
    <w:basedOn w:val="DefaultParagraphFont"/>
    <w:uiPriority w:val="99"/>
    <w:semiHidden/>
    <w:unhideWhenUsed/>
    <w:rsid w:val="00320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56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i.org/10.1108/he-01-2021-0014"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080/09585192.2021.1969586" TargetMode="External"/><Relationship Id="rId2" Type="http://schemas.openxmlformats.org/officeDocument/2006/relationships/customXml" Target="../customXml/item2.xml"/><Relationship Id="rId16" Type="http://schemas.openxmlformats.org/officeDocument/2006/relationships/hyperlink" Target="https://doi.org/10.1108/0261015101104239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016/s1479-358x(05)05011-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E92570776E4FCCA875636CF847BFEA"/>
        <w:category>
          <w:name w:val="General"/>
          <w:gallery w:val="placeholder"/>
        </w:category>
        <w:types>
          <w:type w:val="bbPlcHdr"/>
        </w:types>
        <w:behaviors>
          <w:behavior w:val="content"/>
        </w:behaviors>
        <w:guid w:val="{7758E594-7D76-4AAD-89A5-BADB9FD9E164}"/>
      </w:docPartPr>
      <w:docPartBody>
        <w:p w:rsidR="00CB6A0E" w:rsidRDefault="00712743" w:rsidP="00712743">
          <w:pPr>
            <w:pStyle w:val="4BE92570776E4FCCA875636CF847BFEA"/>
          </w:pPr>
          <w:r>
            <w:rPr>
              <w:rFonts w:asciiTheme="majorHAnsi" w:eastAsiaTheme="majorEastAsia" w:hAnsiTheme="majorHAnsi" w:cstheme="majorBidi"/>
              <w:caps/>
              <w:color w:val="4472C4" w:themeColor="accent1"/>
              <w:sz w:val="80"/>
              <w:szCs w:val="80"/>
            </w:rPr>
            <w:t>[Document title]</w:t>
          </w:r>
        </w:p>
      </w:docPartBody>
    </w:docPart>
    <w:docPart>
      <w:docPartPr>
        <w:name w:val="32A3401180CF4DB7BC0C292E33807D3A"/>
        <w:category>
          <w:name w:val="General"/>
          <w:gallery w:val="placeholder"/>
        </w:category>
        <w:types>
          <w:type w:val="bbPlcHdr"/>
        </w:types>
        <w:behaviors>
          <w:behavior w:val="content"/>
        </w:behaviors>
        <w:guid w:val="{B4407B13-5D13-4254-BE15-F5F2DD9DC589}"/>
      </w:docPartPr>
      <w:docPartBody>
        <w:p w:rsidR="00CB6A0E" w:rsidRDefault="00712743" w:rsidP="00712743">
          <w:pPr>
            <w:pStyle w:val="32A3401180CF4DB7BC0C292E33807D3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Lora">
    <w:charset w:val="00"/>
    <w:family w:val="auto"/>
    <w:pitch w:val="variable"/>
    <w:sig w:usb0="A00002F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43"/>
    <w:rsid w:val="00712743"/>
    <w:rsid w:val="00937A04"/>
    <w:rsid w:val="009D18E3"/>
    <w:rsid w:val="00CB6A0E"/>
    <w:rsid w:val="00E13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E92570776E4FCCA875636CF847BFEA">
    <w:name w:val="4BE92570776E4FCCA875636CF847BFEA"/>
    <w:rsid w:val="00712743"/>
  </w:style>
  <w:style w:type="paragraph" w:customStyle="1" w:styleId="32A3401180CF4DB7BC0C292E33807D3A">
    <w:name w:val="32A3401180CF4DB7BC0C292E33807D3A"/>
    <w:rsid w:val="007127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Vijay Kasotia</PublishDate>
  <Abstract/>
  <CompanyAddress>LinkedIn: https://www.linkedin.com/in/vijay-kasotia-5602a6134/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1E1CF7-8C86-4D0E-8342-78CC37188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2759</TotalTime>
  <Pages>5</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Email: vk73742@gmail.com</Company>
  <LinksUpToDate>false</LinksUpToDate>
  <CharactersWithSpaces>16144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Barriers to BAME Employees' Employment and Progression in UK Workplace</dc:title>
  <dc:subject>Time series Forecasting using SPSS and Tableau</dc:subject>
  <dc:creator>laptop 07</dc:creator>
  <cp:keywords/>
  <dc:description/>
  <cp:lastModifiedBy>laptop 07</cp:lastModifiedBy>
  <cp:revision>247</cp:revision>
  <dcterms:created xsi:type="dcterms:W3CDTF">2023-01-14T04:21:00Z</dcterms:created>
  <dcterms:modified xsi:type="dcterms:W3CDTF">2023-01-16T06:01:00Z</dcterms:modified>
</cp:coreProperties>
</file>