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E5C2"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b/>
          <w:bCs/>
          <w:color w:val="000000"/>
          <w:lang w:eastAsia="en-IN"/>
        </w:rPr>
        <w:t>The Stale Pricing</w:t>
      </w:r>
    </w:p>
    <w:p w14:paraId="091C2B8E"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Certain equities exchange significantly more frequently than others on the financial markets. Designers can be very positive that the price per share is for a trade that occurred at 4:00pm EST Hour, the market closing hours, for the equities which are most bought and sold. The most current price for lightly traded equities could have come from such a trade that persists over time in the day, the day before, or even a few days ago.</w:t>
      </w:r>
    </w:p>
    <w:p w14:paraId="18BFA587"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At the point when this is the situation, calculating returns for a stock based on market record returns throughout indistinguishable time stretches will generally underrate the beta on the stock on the grounds that the spans over which return is estimated are not coordinated.</w:t>
      </w:r>
    </w:p>
    <w:p w14:paraId="0B3DF5B3"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In the event that our gauge of beta is too low, our gauge of alpha will be excessively high; this can be demonstrated as a measurable recommendation, yet that's what the instinct in this case, it seems to reason that if we assign too little return to risk, more would be given to pure performance.</w:t>
      </w:r>
    </w:p>
    <w:p w14:paraId="63079CB5"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The necessary adjustment is to take into account both the driving and lagging upsides of market returns in addition to the current return, and then combine the ensuing coefficients to obtain the proper beta. Two days of strong returns and two days of weak returns are typically enough to capture the true relationship between one stock's entire earnings and generally speaking market returns for applications like calculating the beta for individual trading equities.</w:t>
      </w:r>
    </w:p>
    <w:p w14:paraId="3613ACF0"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Since the everyday profits from the expansive index are uncorrelated with (symmetrical to) one another, it is feasible to decide the right number of leads and lags just by including enough so that the furthest away are basically zero (coefficients and t-statistics near to 0), then, at that point, dropping the leads and lags with coefficients near to 0. I observe that the lags are respectful and decrease in a deliberate style.</w:t>
      </w:r>
    </w:p>
    <w:p w14:paraId="2BDE3D38" w14:textId="77777777" w:rsidR="00340D92" w:rsidRPr="00340D92" w:rsidRDefault="00340D92" w:rsidP="00340D92">
      <w:pPr>
        <w:spacing w:after="240" w:line="360" w:lineRule="auto"/>
        <w:rPr>
          <w:rFonts w:ascii="Times New Roman" w:eastAsia="Times New Roman" w:hAnsi="Times New Roman" w:cs="Times New Roman"/>
          <w:sz w:val="24"/>
          <w:szCs w:val="24"/>
          <w:lang w:eastAsia="en-IN"/>
        </w:rPr>
      </w:pPr>
    </w:p>
    <w:p w14:paraId="07DF5282"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b/>
          <w:bCs/>
          <w:color w:val="000000"/>
          <w:lang w:eastAsia="en-IN"/>
        </w:rPr>
        <w:t>Return data using basic statistics</w:t>
      </w:r>
    </w:p>
    <w:p w14:paraId="1D6CEB71"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Quantiles are typically used by analysts to divide a positioned (on a chosen measurement) information test into equal portions. Quantiles can be used to isolate a time series of profits to produce a descriptive pattern example. For instance, quartiles, a positioned test divided into four quantiles, are frequently used while verifying data. A financial supporter can quickly and effectively determine if a leader of speculative stock investments outpaces his companion group or lags behind by dividing the information into quartiles.</w:t>
      </w:r>
    </w:p>
    <w:p w14:paraId="769119F3" w14:textId="7777777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lastRenderedPageBreak/>
        <w:t>This is an additional method for determining how a hedge fund director compares to other mutual fund managers in a comparable class. The arrival of a risky resource, a complex investment director, or a return stream is sorted into one of the divisions under which a portion of the information population is located using quantiles, which divide the information into fragmented parts. Quantiles divide the range of an information test into groups based on where they fall within the overall example, which is another way to look at the information.</w:t>
      </w:r>
    </w:p>
    <w:p w14:paraId="379D7F8E" w14:textId="53F07257" w:rsidR="00340D92" w:rsidRPr="00340D92" w:rsidRDefault="00340D92" w:rsidP="00340D92">
      <w:pPr>
        <w:spacing w:before="240" w:after="240" w:line="360" w:lineRule="auto"/>
        <w:jc w:val="both"/>
        <w:rPr>
          <w:rFonts w:ascii="Times New Roman" w:eastAsia="Times New Roman" w:hAnsi="Times New Roman" w:cs="Times New Roman"/>
          <w:sz w:val="24"/>
          <w:szCs w:val="24"/>
          <w:lang w:eastAsia="en-IN"/>
        </w:rPr>
      </w:pPr>
      <w:r w:rsidRPr="00340D92">
        <w:rPr>
          <w:rFonts w:ascii="Arial" w:eastAsia="Times New Roman" w:hAnsi="Arial" w:cs="Arial"/>
          <w:color w:val="000000"/>
          <w:lang w:eastAsia="en-IN"/>
        </w:rPr>
        <w:t xml:space="preserve">1. The table 1, shows </w:t>
      </w:r>
      <w:r w:rsidRPr="00340D92">
        <w:rPr>
          <w:rFonts w:ascii="Arial" w:eastAsia="Times New Roman" w:hAnsi="Arial" w:cs="Arial"/>
          <w:color w:val="000000"/>
          <w:lang w:eastAsia="en-IN"/>
        </w:rPr>
        <w:t>the basic</w:t>
      </w:r>
      <w:r w:rsidRPr="00340D92">
        <w:rPr>
          <w:rFonts w:ascii="Arial" w:eastAsia="Times New Roman" w:hAnsi="Arial" w:cs="Arial"/>
          <w:color w:val="000000"/>
          <w:lang w:eastAsia="en-IN"/>
        </w:rPr>
        <w:t xml:space="preserve"> statistics of return (distressed/restructuring index). </w:t>
      </w:r>
    </w:p>
    <w:p w14:paraId="3033433A" w14:textId="26C5B154" w:rsidR="00340D92" w:rsidRDefault="002665FC" w:rsidP="00340D92">
      <w:pPr>
        <w:spacing w:before="240" w:after="240" w:line="360" w:lineRule="auto"/>
        <w:jc w:val="both"/>
        <w:rPr>
          <w:rFonts w:ascii="Arial" w:eastAsia="Times New Roman" w:hAnsi="Arial" w:cs="Arial"/>
          <w:b/>
          <w:bCs/>
          <w:noProof/>
          <w:color w:val="000000"/>
          <w:bdr w:val="none" w:sz="0" w:space="0" w:color="auto" w:frame="1"/>
          <w:lang w:eastAsia="en-IN"/>
        </w:rPr>
      </w:pPr>
      <w:r w:rsidRPr="002665FC">
        <w:rPr>
          <w:rFonts w:ascii="Arial" w:eastAsia="Times New Roman" w:hAnsi="Arial" w:cs="Arial"/>
          <w:b/>
          <w:bCs/>
          <w:noProof/>
          <w:color w:val="000000"/>
          <w:bdr w:val="none" w:sz="0" w:space="0" w:color="auto" w:frame="1"/>
          <w:lang w:eastAsia="en-IN"/>
        </w:rPr>
        <w:drawing>
          <wp:inline distT="0" distB="0" distL="0" distR="0" wp14:anchorId="26153B40" wp14:editId="178EBAD1">
            <wp:extent cx="4229467" cy="3528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467" cy="3528366"/>
                    </a:xfrm>
                    <a:prstGeom prst="rect">
                      <a:avLst/>
                    </a:prstGeom>
                  </pic:spPr>
                </pic:pic>
              </a:graphicData>
            </a:graphic>
          </wp:inline>
        </w:drawing>
      </w:r>
    </w:p>
    <w:p w14:paraId="0930B724" w14:textId="5C53058C" w:rsidR="002665FC" w:rsidRDefault="002665FC" w:rsidP="00340D92">
      <w:pPr>
        <w:spacing w:before="240" w:after="240" w:line="360" w:lineRule="auto"/>
        <w:jc w:val="both"/>
        <w:rPr>
          <w:rFonts w:ascii="Arial" w:eastAsia="Times New Roman" w:hAnsi="Arial" w:cs="Arial"/>
          <w:b/>
          <w:bCs/>
          <w:noProof/>
          <w:color w:val="000000"/>
          <w:bdr w:val="none" w:sz="0" w:space="0" w:color="auto" w:frame="1"/>
          <w:lang w:eastAsia="en-IN"/>
        </w:rPr>
      </w:pPr>
    </w:p>
    <w:sectPr w:rsidR="00266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NjU3MjQzMDE3MTZU0lEKTi0uzszPAykwrAUARhX8uSwAAAA="/>
  </w:docVars>
  <w:rsids>
    <w:rsidRoot w:val="00576D6C"/>
    <w:rsid w:val="000A4BBB"/>
    <w:rsid w:val="000A736D"/>
    <w:rsid w:val="002665FC"/>
    <w:rsid w:val="003122FD"/>
    <w:rsid w:val="00340D92"/>
    <w:rsid w:val="004B28D1"/>
    <w:rsid w:val="00576D6C"/>
    <w:rsid w:val="005C060B"/>
    <w:rsid w:val="006F6290"/>
    <w:rsid w:val="008B0447"/>
    <w:rsid w:val="00936BC6"/>
    <w:rsid w:val="00967059"/>
    <w:rsid w:val="00A07CF5"/>
    <w:rsid w:val="00AF0841"/>
    <w:rsid w:val="00C34C28"/>
    <w:rsid w:val="00CC3741"/>
    <w:rsid w:val="00DB197D"/>
    <w:rsid w:val="00E97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39EA"/>
  <w15:chartTrackingRefBased/>
  <w15:docId w15:val="{6F7A9721-A1CF-442E-83D7-CD7477A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122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0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7357">
      <w:bodyDiv w:val="1"/>
      <w:marLeft w:val="0"/>
      <w:marRight w:val="0"/>
      <w:marTop w:val="0"/>
      <w:marBottom w:val="0"/>
      <w:divBdr>
        <w:top w:val="none" w:sz="0" w:space="0" w:color="auto"/>
        <w:left w:val="none" w:sz="0" w:space="0" w:color="auto"/>
        <w:bottom w:val="none" w:sz="0" w:space="0" w:color="auto"/>
        <w:right w:val="none" w:sz="0" w:space="0" w:color="auto"/>
      </w:divBdr>
    </w:div>
    <w:div w:id="9477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17</cp:revision>
  <dcterms:created xsi:type="dcterms:W3CDTF">2022-07-15T05:15:00Z</dcterms:created>
  <dcterms:modified xsi:type="dcterms:W3CDTF">2022-07-15T09:06:00Z</dcterms:modified>
</cp:coreProperties>
</file>