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C300" w14:textId="77777777" w:rsidR="001A06AF" w:rsidRPr="00B368C2" w:rsidRDefault="001A06AF" w:rsidP="00E86DB9">
      <w:pPr>
        <w:spacing w:line="360" w:lineRule="auto"/>
        <w:jc w:val="center"/>
        <w:rPr>
          <w:rFonts w:ascii="TeamViewer15" w:hAnsi="TeamViewer15"/>
          <w:b/>
          <w:bCs/>
          <w:sz w:val="30"/>
          <w:szCs w:val="30"/>
          <w:u w:val="single"/>
        </w:rPr>
      </w:pPr>
      <w:r w:rsidRPr="00B368C2">
        <w:rPr>
          <w:rFonts w:ascii="TeamViewer15" w:hAnsi="TeamViewer15"/>
          <w:b/>
          <w:bCs/>
          <w:sz w:val="30"/>
          <w:szCs w:val="30"/>
          <w:u w:val="single"/>
        </w:rPr>
        <w:t>Descriptive Analytics and Visualisations</w:t>
      </w:r>
    </w:p>
    <w:p w14:paraId="3F89CB19" w14:textId="4D4167EB" w:rsidR="00AA4E7C" w:rsidRPr="00B368C2" w:rsidRDefault="00B927EF" w:rsidP="00E86DB9">
      <w:pPr>
        <w:spacing w:line="360" w:lineRule="auto"/>
        <w:jc w:val="center"/>
        <w:rPr>
          <w:rFonts w:ascii="TeamViewer15" w:hAnsi="TeamViewer15"/>
          <w:b/>
          <w:bCs/>
          <w:sz w:val="24"/>
          <w:szCs w:val="24"/>
          <w:u w:val="single"/>
        </w:rPr>
      </w:pPr>
      <w:r w:rsidRPr="00B368C2">
        <w:rPr>
          <w:rFonts w:ascii="TeamViewer15" w:hAnsi="TeamViewer15"/>
          <w:b/>
          <w:bCs/>
          <w:sz w:val="24"/>
          <w:szCs w:val="24"/>
          <w:u w:val="single"/>
        </w:rPr>
        <w:t>(</w:t>
      </w:r>
      <w:r w:rsidR="006513D4" w:rsidRPr="00B368C2">
        <w:rPr>
          <w:rFonts w:ascii="TeamViewer15" w:hAnsi="TeamViewer15"/>
          <w:b/>
          <w:bCs/>
          <w:sz w:val="24"/>
          <w:szCs w:val="24"/>
          <w:u w:val="single"/>
        </w:rPr>
        <w:t>Analysis of car insurance brokerage services</w:t>
      </w:r>
      <w:r w:rsidRPr="00B368C2">
        <w:rPr>
          <w:rFonts w:ascii="TeamViewer15" w:hAnsi="TeamViewer15"/>
          <w:b/>
          <w:bCs/>
          <w:sz w:val="24"/>
          <w:szCs w:val="24"/>
          <w:u w:val="single"/>
        </w:rPr>
        <w:t>)</w:t>
      </w:r>
    </w:p>
    <w:p w14:paraId="58C62AD0" w14:textId="77777777" w:rsidR="00E86DB9" w:rsidRPr="00B368C2" w:rsidRDefault="00E86DB9" w:rsidP="00E86DB9">
      <w:pPr>
        <w:spacing w:line="360" w:lineRule="auto"/>
        <w:jc w:val="both"/>
        <w:rPr>
          <w:rFonts w:ascii="TeamViewer15" w:hAnsi="TeamViewer15"/>
          <w:b/>
          <w:bCs/>
          <w:sz w:val="24"/>
          <w:szCs w:val="24"/>
        </w:rPr>
      </w:pPr>
    </w:p>
    <w:p w14:paraId="582E4A40" w14:textId="1764C2E9" w:rsidR="006513D4" w:rsidRPr="00B368C2" w:rsidRDefault="00432B9F" w:rsidP="00E86DB9">
      <w:pPr>
        <w:spacing w:line="360" w:lineRule="auto"/>
        <w:jc w:val="both"/>
        <w:rPr>
          <w:rFonts w:ascii="TeamViewer15" w:hAnsi="TeamViewer15"/>
          <w:sz w:val="24"/>
          <w:szCs w:val="24"/>
        </w:rPr>
      </w:pPr>
      <w:r>
        <w:rPr>
          <w:rFonts w:ascii="TeamViewer15" w:hAnsi="TeamViewer15"/>
          <w:sz w:val="24"/>
          <w:szCs w:val="24"/>
        </w:rPr>
        <w:t xml:space="preserve">1. </w:t>
      </w:r>
      <w:r w:rsidR="00482648" w:rsidRPr="00B368C2">
        <w:rPr>
          <w:rFonts w:ascii="TeamViewer15" w:hAnsi="TeamViewer15"/>
          <w:sz w:val="24"/>
          <w:szCs w:val="24"/>
        </w:rPr>
        <w:t>Introduction</w:t>
      </w:r>
    </w:p>
    <w:p w14:paraId="4F2C9825" w14:textId="44251A72" w:rsidR="005F03D8" w:rsidRDefault="00BD377C" w:rsidP="00E86DB9">
      <w:pPr>
        <w:spacing w:line="360" w:lineRule="auto"/>
        <w:jc w:val="both"/>
        <w:rPr>
          <w:rFonts w:ascii="TeamViewer15" w:hAnsi="TeamViewer15"/>
          <w:sz w:val="24"/>
          <w:szCs w:val="24"/>
        </w:rPr>
      </w:pPr>
      <w:r w:rsidRPr="00BD377C">
        <w:rPr>
          <w:rFonts w:ascii="TeamViewer15" w:hAnsi="TeamViewer15"/>
          <w:sz w:val="24"/>
          <w:szCs w:val="24"/>
        </w:rPr>
        <w:t>The Finance Review magazine wants to see a rise in the number of businesses providing vehicle insurance brokerage services and what this can mean for customers. In order to find his or her clients the best possible policies, an insurance broker is an independent insurance representative who works with numerous insurance providers. The majority of these brokers claim to be able to save car owners hundreds of dollars annually on insurance costs.</w:t>
      </w:r>
    </w:p>
    <w:p w14:paraId="058ABB1B" w14:textId="6D2AB8C4" w:rsidR="00FD02EA" w:rsidRDefault="00DF4242" w:rsidP="00E86DB9">
      <w:pPr>
        <w:spacing w:line="360" w:lineRule="auto"/>
        <w:jc w:val="both"/>
        <w:rPr>
          <w:rFonts w:ascii="TeamViewer15" w:hAnsi="TeamViewer15"/>
          <w:sz w:val="24"/>
          <w:szCs w:val="24"/>
        </w:rPr>
      </w:pPr>
      <w:r>
        <w:rPr>
          <w:rFonts w:ascii="TeamViewer15" w:hAnsi="TeamViewer15"/>
          <w:sz w:val="24"/>
          <w:szCs w:val="24"/>
        </w:rPr>
        <w:t xml:space="preserve">The objective of this analysis is that I have to </w:t>
      </w:r>
      <w:r w:rsidRPr="00DF4242">
        <w:rPr>
          <w:rFonts w:ascii="TeamViewer15" w:hAnsi="TeamViewer15"/>
          <w:sz w:val="24"/>
          <w:szCs w:val="24"/>
        </w:rPr>
        <w:t>performed an exploratory analysis</w:t>
      </w:r>
      <w:r w:rsidR="004635B2">
        <w:rPr>
          <w:rFonts w:ascii="TeamViewer15" w:hAnsi="TeamViewer15"/>
          <w:sz w:val="24"/>
          <w:szCs w:val="24"/>
        </w:rPr>
        <w:t xml:space="preserve"> on the </w:t>
      </w:r>
      <w:r w:rsidR="004635B2" w:rsidRPr="004635B2">
        <w:rPr>
          <w:rFonts w:ascii="TeamViewer15" w:hAnsi="TeamViewer15"/>
          <w:sz w:val="24"/>
          <w:szCs w:val="24"/>
        </w:rPr>
        <w:t>dataset file A1.xlsx</w:t>
      </w:r>
      <w:r w:rsidR="004635B2">
        <w:rPr>
          <w:rFonts w:ascii="TeamViewer15" w:hAnsi="TeamViewer15"/>
          <w:sz w:val="24"/>
          <w:szCs w:val="24"/>
        </w:rPr>
        <w:t>.</w:t>
      </w:r>
      <w:r w:rsidR="00342879">
        <w:rPr>
          <w:rFonts w:ascii="TeamViewer15" w:hAnsi="TeamViewer15"/>
          <w:sz w:val="24"/>
          <w:szCs w:val="24"/>
        </w:rPr>
        <w:t xml:space="preserve"> We observe that dataset consist of </w:t>
      </w:r>
      <w:r w:rsidR="00342879" w:rsidRPr="00342879">
        <w:rPr>
          <w:rFonts w:ascii="TeamViewer15" w:hAnsi="TeamViewer15"/>
          <w:sz w:val="24"/>
          <w:szCs w:val="24"/>
        </w:rPr>
        <w:t>a random sample of 400 customers</w:t>
      </w:r>
      <w:r w:rsidR="00D671CE">
        <w:rPr>
          <w:rFonts w:ascii="TeamViewer15" w:hAnsi="TeamViewer15"/>
          <w:sz w:val="24"/>
          <w:szCs w:val="24"/>
        </w:rPr>
        <w:t xml:space="preserve"> who </w:t>
      </w:r>
      <w:r w:rsidR="00D671CE" w:rsidRPr="00D671CE">
        <w:rPr>
          <w:rFonts w:ascii="TeamViewer15" w:hAnsi="TeamViewer15"/>
          <w:sz w:val="24"/>
          <w:szCs w:val="24"/>
        </w:rPr>
        <w:t>obtained the services of car insurance brokers.</w:t>
      </w:r>
    </w:p>
    <w:p w14:paraId="1AFF328A" w14:textId="4428BF80" w:rsidR="00260373" w:rsidRDefault="00C51EDB" w:rsidP="00887137">
      <w:pPr>
        <w:spacing w:line="360" w:lineRule="auto"/>
        <w:jc w:val="both"/>
        <w:rPr>
          <w:rFonts w:ascii="TeamViewer15" w:hAnsi="TeamViewer15"/>
          <w:sz w:val="24"/>
          <w:szCs w:val="24"/>
        </w:rPr>
      </w:pPr>
      <w:r>
        <w:rPr>
          <w:rFonts w:ascii="TeamViewer15" w:hAnsi="TeamViewer15"/>
          <w:sz w:val="24"/>
          <w:szCs w:val="24"/>
        </w:rPr>
        <w:t xml:space="preserve">A1.xlsx file </w:t>
      </w:r>
      <w:r w:rsidR="005F09FB">
        <w:rPr>
          <w:rFonts w:ascii="TeamViewer15" w:hAnsi="TeamViewer15"/>
          <w:sz w:val="24"/>
          <w:szCs w:val="24"/>
        </w:rPr>
        <w:t xml:space="preserve">consist </w:t>
      </w:r>
      <w:r w:rsidR="00887137">
        <w:rPr>
          <w:rFonts w:ascii="TeamViewer15" w:hAnsi="TeamViewer15"/>
          <w:sz w:val="24"/>
          <w:szCs w:val="24"/>
        </w:rPr>
        <w:t xml:space="preserve">12 variables. The description of the dataset </w:t>
      </w:r>
      <w:r w:rsidR="003349B1">
        <w:rPr>
          <w:rFonts w:ascii="TeamViewer15" w:hAnsi="TeamViewer15"/>
          <w:sz w:val="24"/>
          <w:szCs w:val="24"/>
        </w:rPr>
        <w:t xml:space="preserve">is </w:t>
      </w:r>
      <w:r w:rsidR="00887137">
        <w:rPr>
          <w:rFonts w:ascii="TeamViewer15" w:hAnsi="TeamViewer15"/>
          <w:sz w:val="24"/>
          <w:szCs w:val="24"/>
        </w:rPr>
        <w:t>shown below as</w:t>
      </w:r>
      <w:r w:rsidR="00E01C6D">
        <w:rPr>
          <w:rFonts w:ascii="TeamViewer15" w:hAnsi="TeamViewer15"/>
          <w:sz w:val="24"/>
          <w:szCs w:val="24"/>
        </w:rPr>
        <w:t>:</w:t>
      </w:r>
    </w:p>
    <w:tbl>
      <w:tblPr>
        <w:tblStyle w:val="TableGrid"/>
        <w:tblW w:w="9328" w:type="dxa"/>
        <w:tblLook w:val="04A0" w:firstRow="1" w:lastRow="0" w:firstColumn="1" w:lastColumn="0" w:noHBand="0" w:noVBand="1"/>
      </w:tblPr>
      <w:tblGrid>
        <w:gridCol w:w="1987"/>
        <w:gridCol w:w="7446"/>
      </w:tblGrid>
      <w:tr w:rsidR="000779F7" w:rsidRPr="000779F7" w14:paraId="31E0BCD0" w14:textId="77777777" w:rsidTr="00457023">
        <w:trPr>
          <w:trHeight w:val="384"/>
        </w:trPr>
        <w:tc>
          <w:tcPr>
            <w:tcW w:w="1882" w:type="dxa"/>
            <w:noWrap/>
            <w:hideMark/>
          </w:tcPr>
          <w:p w14:paraId="5C45FDDD" w14:textId="77777777" w:rsidR="000779F7" w:rsidRPr="000779F7" w:rsidRDefault="000779F7" w:rsidP="000779F7">
            <w:pPr>
              <w:rPr>
                <w:rFonts w:ascii="TeamViewer15" w:eastAsia="Times New Roman" w:hAnsi="TeamViewer15" w:cs="Calibri"/>
                <w:b/>
                <w:bCs/>
                <w:lang w:eastAsia="en-IN"/>
              </w:rPr>
            </w:pPr>
            <w:r w:rsidRPr="000779F7">
              <w:rPr>
                <w:rFonts w:ascii="TeamViewer15" w:eastAsia="Times New Roman" w:hAnsi="TeamViewer15" w:cs="Calibri"/>
                <w:b/>
                <w:bCs/>
                <w:lang w:eastAsia="en-IN"/>
              </w:rPr>
              <w:t>Variable Name</w:t>
            </w:r>
          </w:p>
        </w:tc>
        <w:tc>
          <w:tcPr>
            <w:tcW w:w="7446" w:type="dxa"/>
            <w:noWrap/>
            <w:hideMark/>
          </w:tcPr>
          <w:p w14:paraId="0428F236" w14:textId="77777777" w:rsidR="000779F7" w:rsidRPr="000779F7" w:rsidRDefault="000779F7" w:rsidP="000779F7">
            <w:pPr>
              <w:rPr>
                <w:rFonts w:ascii="TeamViewer15" w:eastAsia="Times New Roman" w:hAnsi="TeamViewer15" w:cs="Calibri"/>
                <w:b/>
                <w:bCs/>
                <w:lang w:eastAsia="en-IN"/>
              </w:rPr>
            </w:pPr>
            <w:r w:rsidRPr="000779F7">
              <w:rPr>
                <w:rFonts w:ascii="TeamViewer15" w:eastAsia="Times New Roman" w:hAnsi="TeamViewer15" w:cs="Calibri"/>
                <w:b/>
                <w:bCs/>
                <w:lang w:eastAsia="en-IN"/>
              </w:rPr>
              <w:t>Description</w:t>
            </w:r>
          </w:p>
        </w:tc>
      </w:tr>
      <w:tr w:rsidR="000779F7" w:rsidRPr="000779F7" w14:paraId="1387C9F5" w14:textId="77777777" w:rsidTr="00457023">
        <w:trPr>
          <w:trHeight w:val="384"/>
        </w:trPr>
        <w:tc>
          <w:tcPr>
            <w:tcW w:w="1882" w:type="dxa"/>
            <w:noWrap/>
            <w:hideMark/>
          </w:tcPr>
          <w:p w14:paraId="15B83E13"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Gender</w:t>
            </w:r>
          </w:p>
        </w:tc>
        <w:tc>
          <w:tcPr>
            <w:tcW w:w="7446" w:type="dxa"/>
            <w:noWrap/>
            <w:hideMark/>
          </w:tcPr>
          <w:p w14:paraId="58320F74"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Gender of the respondent {Male; Female}</w:t>
            </w:r>
          </w:p>
        </w:tc>
      </w:tr>
      <w:tr w:rsidR="000779F7" w:rsidRPr="000779F7" w14:paraId="58B9877F" w14:textId="77777777" w:rsidTr="00457023">
        <w:trPr>
          <w:trHeight w:val="384"/>
        </w:trPr>
        <w:tc>
          <w:tcPr>
            <w:tcW w:w="1882" w:type="dxa"/>
            <w:noWrap/>
            <w:hideMark/>
          </w:tcPr>
          <w:p w14:paraId="5B5B764C" w14:textId="77777777" w:rsidR="000779F7" w:rsidRPr="000779F7" w:rsidRDefault="000779F7" w:rsidP="000779F7">
            <w:pPr>
              <w:rPr>
                <w:rFonts w:ascii="TeamViewer15" w:eastAsia="Times New Roman" w:hAnsi="TeamViewer15" w:cs="Calibri"/>
                <w:lang w:eastAsia="en-IN"/>
              </w:rPr>
            </w:pPr>
            <w:proofErr w:type="spellStart"/>
            <w:r w:rsidRPr="000779F7">
              <w:rPr>
                <w:rFonts w:ascii="TeamViewer15" w:eastAsia="Times New Roman" w:hAnsi="TeamViewer15" w:cs="Calibri"/>
                <w:lang w:eastAsia="en-IN"/>
              </w:rPr>
              <w:t>Age_Driver</w:t>
            </w:r>
            <w:proofErr w:type="spellEnd"/>
          </w:p>
        </w:tc>
        <w:tc>
          <w:tcPr>
            <w:tcW w:w="7446" w:type="dxa"/>
            <w:noWrap/>
            <w:hideMark/>
          </w:tcPr>
          <w:p w14:paraId="5ED62796"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Age of the Driver</w:t>
            </w:r>
          </w:p>
        </w:tc>
      </w:tr>
      <w:tr w:rsidR="000779F7" w:rsidRPr="000779F7" w14:paraId="53D4465C" w14:textId="77777777" w:rsidTr="00457023">
        <w:trPr>
          <w:trHeight w:val="384"/>
        </w:trPr>
        <w:tc>
          <w:tcPr>
            <w:tcW w:w="1882" w:type="dxa"/>
            <w:noWrap/>
            <w:hideMark/>
          </w:tcPr>
          <w:p w14:paraId="60900374"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State</w:t>
            </w:r>
          </w:p>
        </w:tc>
        <w:tc>
          <w:tcPr>
            <w:tcW w:w="7446" w:type="dxa"/>
            <w:noWrap/>
            <w:hideMark/>
          </w:tcPr>
          <w:p w14:paraId="0FE15DB3"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State where customer resides {NSW; VIC; QLD; SA; WA; TAS; NT; ACT}</w:t>
            </w:r>
          </w:p>
        </w:tc>
      </w:tr>
      <w:tr w:rsidR="000779F7" w:rsidRPr="000779F7" w14:paraId="58645862" w14:textId="77777777" w:rsidTr="00457023">
        <w:trPr>
          <w:trHeight w:val="384"/>
        </w:trPr>
        <w:tc>
          <w:tcPr>
            <w:tcW w:w="1882" w:type="dxa"/>
            <w:noWrap/>
            <w:hideMark/>
          </w:tcPr>
          <w:p w14:paraId="119C2951"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Area</w:t>
            </w:r>
          </w:p>
        </w:tc>
        <w:tc>
          <w:tcPr>
            <w:tcW w:w="7446" w:type="dxa"/>
            <w:noWrap/>
            <w:hideMark/>
          </w:tcPr>
          <w:p w14:paraId="2EE9BF80"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Area classification {Urban; Rural}</w:t>
            </w:r>
          </w:p>
        </w:tc>
      </w:tr>
      <w:tr w:rsidR="000779F7" w:rsidRPr="000779F7" w14:paraId="4E490900" w14:textId="77777777" w:rsidTr="00457023">
        <w:trPr>
          <w:trHeight w:val="384"/>
        </w:trPr>
        <w:tc>
          <w:tcPr>
            <w:tcW w:w="1882" w:type="dxa"/>
            <w:noWrap/>
            <w:hideMark/>
          </w:tcPr>
          <w:p w14:paraId="1C9F7B00"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NCBR</w:t>
            </w:r>
          </w:p>
        </w:tc>
        <w:tc>
          <w:tcPr>
            <w:tcW w:w="7446" w:type="dxa"/>
            <w:noWrap/>
            <w:hideMark/>
          </w:tcPr>
          <w:p w14:paraId="2D3E68D9"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No claim bonus rating {None; Silver; Gold; Platinum; Ruby; Sapphire; Diamond}</w:t>
            </w:r>
          </w:p>
        </w:tc>
      </w:tr>
      <w:tr w:rsidR="000779F7" w:rsidRPr="000779F7" w14:paraId="59894CAA" w14:textId="77777777" w:rsidTr="00457023">
        <w:trPr>
          <w:trHeight w:val="384"/>
        </w:trPr>
        <w:tc>
          <w:tcPr>
            <w:tcW w:w="1882" w:type="dxa"/>
            <w:noWrap/>
            <w:hideMark/>
          </w:tcPr>
          <w:p w14:paraId="62EB195E" w14:textId="77777777" w:rsidR="000779F7" w:rsidRPr="000779F7" w:rsidRDefault="000779F7" w:rsidP="000779F7">
            <w:pPr>
              <w:rPr>
                <w:rFonts w:ascii="TeamViewer15" w:eastAsia="Times New Roman" w:hAnsi="TeamViewer15" w:cs="Calibri"/>
                <w:lang w:eastAsia="en-IN"/>
              </w:rPr>
            </w:pPr>
            <w:proofErr w:type="spellStart"/>
            <w:r w:rsidRPr="000779F7">
              <w:rPr>
                <w:rFonts w:ascii="TeamViewer15" w:eastAsia="Times New Roman" w:hAnsi="TeamViewer15" w:cs="Calibri"/>
                <w:lang w:eastAsia="en-IN"/>
              </w:rPr>
              <w:t>Val_Method</w:t>
            </w:r>
            <w:proofErr w:type="spellEnd"/>
          </w:p>
        </w:tc>
        <w:tc>
          <w:tcPr>
            <w:tcW w:w="7446" w:type="dxa"/>
            <w:noWrap/>
            <w:hideMark/>
          </w:tcPr>
          <w:p w14:paraId="70391937"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Valuation Method {Agreed Value; Market Value}</w:t>
            </w:r>
          </w:p>
        </w:tc>
      </w:tr>
      <w:tr w:rsidR="000779F7" w:rsidRPr="000779F7" w14:paraId="03A651E2" w14:textId="77777777" w:rsidTr="00457023">
        <w:trPr>
          <w:trHeight w:val="384"/>
        </w:trPr>
        <w:tc>
          <w:tcPr>
            <w:tcW w:w="1882" w:type="dxa"/>
            <w:noWrap/>
            <w:hideMark/>
          </w:tcPr>
          <w:p w14:paraId="034EEF00" w14:textId="77777777" w:rsidR="000779F7" w:rsidRPr="000779F7" w:rsidRDefault="000779F7" w:rsidP="000779F7">
            <w:pPr>
              <w:rPr>
                <w:rFonts w:ascii="TeamViewer15" w:eastAsia="Times New Roman" w:hAnsi="TeamViewer15" w:cs="Calibri"/>
                <w:lang w:eastAsia="en-IN"/>
              </w:rPr>
            </w:pPr>
            <w:proofErr w:type="spellStart"/>
            <w:r w:rsidRPr="000779F7">
              <w:rPr>
                <w:rFonts w:ascii="TeamViewer15" w:eastAsia="Times New Roman" w:hAnsi="TeamViewer15" w:cs="Calibri"/>
                <w:lang w:eastAsia="en-IN"/>
              </w:rPr>
              <w:t>Veh_Type</w:t>
            </w:r>
            <w:proofErr w:type="spellEnd"/>
          </w:p>
        </w:tc>
        <w:tc>
          <w:tcPr>
            <w:tcW w:w="7446" w:type="dxa"/>
            <w:noWrap/>
            <w:hideMark/>
          </w:tcPr>
          <w:p w14:paraId="0633934B"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Vehicle Type {4WD; Family; Luxury; Sports}</w:t>
            </w:r>
          </w:p>
        </w:tc>
      </w:tr>
      <w:tr w:rsidR="000779F7" w:rsidRPr="000779F7" w14:paraId="05D8399C" w14:textId="77777777" w:rsidTr="00457023">
        <w:trPr>
          <w:trHeight w:val="384"/>
        </w:trPr>
        <w:tc>
          <w:tcPr>
            <w:tcW w:w="1882" w:type="dxa"/>
            <w:noWrap/>
            <w:hideMark/>
          </w:tcPr>
          <w:p w14:paraId="1EA006F6"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Broker</w:t>
            </w:r>
          </w:p>
        </w:tc>
        <w:tc>
          <w:tcPr>
            <w:tcW w:w="7446" w:type="dxa"/>
            <w:noWrap/>
            <w:hideMark/>
          </w:tcPr>
          <w:p w14:paraId="7C37DAF7"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Car Insurance Broker {</w:t>
            </w:r>
            <w:proofErr w:type="spellStart"/>
            <w:r w:rsidRPr="000779F7">
              <w:rPr>
                <w:rFonts w:ascii="TeamViewer15" w:eastAsia="Times New Roman" w:hAnsi="TeamViewer15" w:cs="Calibri"/>
                <w:lang w:eastAsia="en-IN"/>
              </w:rPr>
              <w:t>yChoose</w:t>
            </w:r>
            <w:proofErr w:type="spellEnd"/>
            <w:r w:rsidRPr="000779F7">
              <w:rPr>
                <w:rFonts w:ascii="TeamViewer15" w:eastAsia="Times New Roman" w:hAnsi="TeamViewer15" w:cs="Calibri"/>
                <w:lang w:eastAsia="en-IN"/>
              </w:rPr>
              <w:t xml:space="preserve">; </w:t>
            </w:r>
            <w:proofErr w:type="spellStart"/>
            <w:r w:rsidRPr="000779F7">
              <w:rPr>
                <w:rFonts w:ascii="TeamViewer15" w:eastAsia="Times New Roman" w:hAnsi="TeamViewer15" w:cs="Calibri"/>
                <w:lang w:eastAsia="en-IN"/>
              </w:rPr>
              <w:t>iChoose</w:t>
            </w:r>
            <w:proofErr w:type="spellEnd"/>
            <w:r w:rsidRPr="000779F7">
              <w:rPr>
                <w:rFonts w:ascii="TeamViewer15" w:eastAsia="Times New Roman" w:hAnsi="TeamViewer15" w:cs="Calibri"/>
                <w:lang w:eastAsia="en-IN"/>
              </w:rPr>
              <w:t xml:space="preserve">; </w:t>
            </w:r>
            <w:proofErr w:type="spellStart"/>
            <w:r w:rsidRPr="000779F7">
              <w:rPr>
                <w:rFonts w:ascii="TeamViewer15" w:eastAsia="Times New Roman" w:hAnsi="TeamViewer15" w:cs="Calibri"/>
                <w:lang w:eastAsia="en-IN"/>
              </w:rPr>
              <w:t>uChoose</w:t>
            </w:r>
            <w:proofErr w:type="spellEnd"/>
            <w:r w:rsidRPr="000779F7">
              <w:rPr>
                <w:rFonts w:ascii="TeamViewer15" w:eastAsia="Times New Roman" w:hAnsi="TeamViewer15" w:cs="Calibri"/>
                <w:lang w:eastAsia="en-IN"/>
              </w:rPr>
              <w:t xml:space="preserve">; </w:t>
            </w:r>
            <w:proofErr w:type="spellStart"/>
            <w:r w:rsidRPr="000779F7">
              <w:rPr>
                <w:rFonts w:ascii="TeamViewer15" w:eastAsia="Times New Roman" w:hAnsi="TeamViewer15" w:cs="Calibri"/>
                <w:lang w:eastAsia="en-IN"/>
              </w:rPr>
              <w:t>vChoose</w:t>
            </w:r>
            <w:proofErr w:type="spellEnd"/>
            <w:r w:rsidRPr="000779F7">
              <w:rPr>
                <w:rFonts w:ascii="TeamViewer15" w:eastAsia="Times New Roman" w:hAnsi="TeamViewer15" w:cs="Calibri"/>
                <w:lang w:eastAsia="en-IN"/>
              </w:rPr>
              <w:t>}</w:t>
            </w:r>
          </w:p>
        </w:tc>
      </w:tr>
      <w:tr w:rsidR="000779F7" w:rsidRPr="000779F7" w14:paraId="27215B35" w14:textId="77777777" w:rsidTr="00457023">
        <w:trPr>
          <w:trHeight w:val="384"/>
        </w:trPr>
        <w:tc>
          <w:tcPr>
            <w:tcW w:w="1882" w:type="dxa"/>
            <w:noWrap/>
            <w:hideMark/>
          </w:tcPr>
          <w:p w14:paraId="5326BD29"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Insurer</w:t>
            </w:r>
          </w:p>
        </w:tc>
        <w:tc>
          <w:tcPr>
            <w:tcW w:w="7446" w:type="dxa"/>
            <w:noWrap/>
            <w:hideMark/>
          </w:tcPr>
          <w:p w14:paraId="10339D2C"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 xml:space="preserve">Insurance Policy Provider {AAMI; </w:t>
            </w:r>
            <w:proofErr w:type="spellStart"/>
            <w:r w:rsidRPr="000779F7">
              <w:rPr>
                <w:rFonts w:ascii="TeamViewer15" w:eastAsia="Times New Roman" w:hAnsi="TeamViewer15" w:cs="Calibri"/>
                <w:lang w:eastAsia="en-IN"/>
              </w:rPr>
              <w:t>Allianze</w:t>
            </w:r>
            <w:proofErr w:type="spellEnd"/>
            <w:r w:rsidRPr="000779F7">
              <w:rPr>
                <w:rFonts w:ascii="TeamViewer15" w:eastAsia="Times New Roman" w:hAnsi="TeamViewer15" w:cs="Calibri"/>
                <w:lang w:eastAsia="en-IN"/>
              </w:rPr>
              <w:t>; Coles; GIO; NRMA; RACV; Youi}</w:t>
            </w:r>
          </w:p>
        </w:tc>
      </w:tr>
      <w:tr w:rsidR="000779F7" w:rsidRPr="000779F7" w14:paraId="71E64427" w14:textId="77777777" w:rsidTr="00457023">
        <w:trPr>
          <w:trHeight w:val="384"/>
        </w:trPr>
        <w:tc>
          <w:tcPr>
            <w:tcW w:w="1882" w:type="dxa"/>
            <w:noWrap/>
            <w:hideMark/>
          </w:tcPr>
          <w:p w14:paraId="45B4B8E6" w14:textId="77777777" w:rsidR="000779F7" w:rsidRPr="000779F7" w:rsidRDefault="000779F7" w:rsidP="000779F7">
            <w:pPr>
              <w:rPr>
                <w:rFonts w:ascii="TeamViewer15" w:eastAsia="Times New Roman" w:hAnsi="TeamViewer15" w:cs="Calibri"/>
                <w:lang w:eastAsia="en-IN"/>
              </w:rPr>
            </w:pPr>
            <w:proofErr w:type="spellStart"/>
            <w:r w:rsidRPr="000779F7">
              <w:rPr>
                <w:rFonts w:ascii="TeamViewer15" w:eastAsia="Times New Roman" w:hAnsi="TeamViewer15" w:cs="Calibri"/>
                <w:lang w:eastAsia="en-IN"/>
              </w:rPr>
              <w:t>Approched_Insurer</w:t>
            </w:r>
            <w:proofErr w:type="spellEnd"/>
          </w:p>
        </w:tc>
        <w:tc>
          <w:tcPr>
            <w:tcW w:w="7446" w:type="dxa"/>
            <w:noWrap/>
            <w:hideMark/>
          </w:tcPr>
          <w:p w14:paraId="412635AF" w14:textId="77777777" w:rsidR="000779F7" w:rsidRPr="000779F7" w:rsidRDefault="000779F7" w:rsidP="000779F7">
            <w:pPr>
              <w:rPr>
                <w:rFonts w:ascii="TeamViewer15" w:eastAsia="Times New Roman" w:hAnsi="TeamViewer15" w:cs="Calibri"/>
                <w:lang w:eastAsia="en-IN"/>
              </w:rPr>
            </w:pPr>
            <w:proofErr w:type="spellStart"/>
            <w:r w:rsidRPr="000779F7">
              <w:rPr>
                <w:rFonts w:ascii="TeamViewer15" w:eastAsia="Times New Roman" w:hAnsi="TeamViewer15" w:cs="Calibri"/>
                <w:lang w:eastAsia="en-IN"/>
              </w:rPr>
              <w:t>Approched</w:t>
            </w:r>
            <w:proofErr w:type="spellEnd"/>
            <w:r w:rsidRPr="000779F7">
              <w:rPr>
                <w:rFonts w:ascii="TeamViewer15" w:eastAsia="Times New Roman" w:hAnsi="TeamViewer15" w:cs="Calibri"/>
                <w:lang w:eastAsia="en-IN"/>
              </w:rPr>
              <w:t xml:space="preserve"> current insurance provider for a better deal before contacting </w:t>
            </w:r>
            <w:proofErr w:type="gramStart"/>
            <w:r w:rsidRPr="000779F7">
              <w:rPr>
                <w:rFonts w:ascii="TeamViewer15" w:eastAsia="Times New Roman" w:hAnsi="TeamViewer15" w:cs="Calibri"/>
                <w:lang w:eastAsia="en-IN"/>
              </w:rPr>
              <w:t>broker{ Yes</w:t>
            </w:r>
            <w:proofErr w:type="gramEnd"/>
            <w:r w:rsidRPr="000779F7">
              <w:rPr>
                <w:rFonts w:ascii="TeamViewer15" w:eastAsia="Times New Roman" w:hAnsi="TeamViewer15" w:cs="Calibri"/>
                <w:lang w:eastAsia="en-IN"/>
              </w:rPr>
              <w:t>; No}</w:t>
            </w:r>
          </w:p>
        </w:tc>
      </w:tr>
      <w:tr w:rsidR="000779F7" w:rsidRPr="000779F7" w14:paraId="4150958B" w14:textId="77777777" w:rsidTr="00457023">
        <w:trPr>
          <w:trHeight w:val="384"/>
        </w:trPr>
        <w:tc>
          <w:tcPr>
            <w:tcW w:w="1882" w:type="dxa"/>
            <w:noWrap/>
            <w:hideMark/>
          </w:tcPr>
          <w:p w14:paraId="29D1743F"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Customer_Sat</w:t>
            </w:r>
          </w:p>
        </w:tc>
        <w:tc>
          <w:tcPr>
            <w:tcW w:w="7446" w:type="dxa"/>
            <w:noWrap/>
            <w:hideMark/>
          </w:tcPr>
          <w:p w14:paraId="636553E6"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Level of satisfaction with Insurance Broker {Very Satisfied; Satisfied; Dissatisfied; Very Dissatisfied}</w:t>
            </w:r>
          </w:p>
        </w:tc>
      </w:tr>
      <w:tr w:rsidR="000779F7" w:rsidRPr="000779F7" w14:paraId="75035C72" w14:textId="77777777" w:rsidTr="00457023">
        <w:trPr>
          <w:trHeight w:val="384"/>
        </w:trPr>
        <w:tc>
          <w:tcPr>
            <w:tcW w:w="1882" w:type="dxa"/>
            <w:noWrap/>
            <w:hideMark/>
          </w:tcPr>
          <w:p w14:paraId="4B85BA0E"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Savings</w:t>
            </w:r>
          </w:p>
        </w:tc>
        <w:tc>
          <w:tcPr>
            <w:tcW w:w="7446" w:type="dxa"/>
            <w:noWrap/>
            <w:hideMark/>
          </w:tcPr>
          <w:p w14:paraId="643F8CA4" w14:textId="77777777" w:rsidR="000779F7" w:rsidRPr="000779F7" w:rsidRDefault="000779F7" w:rsidP="000779F7">
            <w:pPr>
              <w:rPr>
                <w:rFonts w:ascii="TeamViewer15" w:eastAsia="Times New Roman" w:hAnsi="TeamViewer15" w:cs="Calibri"/>
                <w:lang w:eastAsia="en-IN"/>
              </w:rPr>
            </w:pPr>
            <w:r w:rsidRPr="000779F7">
              <w:rPr>
                <w:rFonts w:ascii="TeamViewer15" w:eastAsia="Times New Roman" w:hAnsi="TeamViewer15" w:cs="Calibri"/>
                <w:lang w:eastAsia="en-IN"/>
              </w:rPr>
              <w:t>Annual saving on car insurance premium in dollars</w:t>
            </w:r>
          </w:p>
        </w:tc>
      </w:tr>
    </w:tbl>
    <w:p w14:paraId="6D4FC7CB" w14:textId="2820C8F2" w:rsidR="00E77CB5" w:rsidRDefault="00E77CB5" w:rsidP="00E86DB9">
      <w:pPr>
        <w:spacing w:line="360" w:lineRule="auto"/>
        <w:jc w:val="both"/>
        <w:rPr>
          <w:rFonts w:ascii="TeamViewer15" w:hAnsi="TeamViewer15"/>
          <w:sz w:val="24"/>
          <w:szCs w:val="24"/>
        </w:rPr>
      </w:pPr>
    </w:p>
    <w:p w14:paraId="0CC9B9FE" w14:textId="77777777" w:rsidR="00E77CB5" w:rsidRDefault="00E77CB5">
      <w:pPr>
        <w:rPr>
          <w:rFonts w:ascii="TeamViewer15" w:hAnsi="TeamViewer15"/>
          <w:sz w:val="24"/>
          <w:szCs w:val="24"/>
        </w:rPr>
      </w:pPr>
      <w:r>
        <w:rPr>
          <w:rFonts w:ascii="TeamViewer15" w:hAnsi="TeamViewer15"/>
          <w:sz w:val="24"/>
          <w:szCs w:val="24"/>
        </w:rPr>
        <w:br w:type="page"/>
      </w:r>
    </w:p>
    <w:p w14:paraId="095BF709" w14:textId="34C7E773" w:rsidR="00893024" w:rsidRDefault="00432B9F" w:rsidP="00E86DB9">
      <w:pPr>
        <w:spacing w:line="360" w:lineRule="auto"/>
        <w:jc w:val="both"/>
        <w:rPr>
          <w:rFonts w:ascii="TeamViewer15" w:hAnsi="TeamViewer15"/>
          <w:sz w:val="24"/>
          <w:szCs w:val="24"/>
        </w:rPr>
      </w:pPr>
      <w:r>
        <w:rPr>
          <w:rFonts w:ascii="TeamViewer15" w:hAnsi="TeamViewer15"/>
          <w:sz w:val="24"/>
          <w:szCs w:val="24"/>
        </w:rPr>
        <w:lastRenderedPageBreak/>
        <w:t xml:space="preserve">2. </w:t>
      </w:r>
      <w:r w:rsidR="00E77CB5">
        <w:rPr>
          <w:rFonts w:ascii="TeamViewer15" w:hAnsi="TeamViewer15"/>
          <w:sz w:val="24"/>
          <w:szCs w:val="24"/>
        </w:rPr>
        <w:t>Main Body or Data Analysis</w:t>
      </w:r>
    </w:p>
    <w:p w14:paraId="7406FB5F" w14:textId="6C4B6327" w:rsidR="00570DEA" w:rsidRDefault="00F6074C" w:rsidP="00E86DB9">
      <w:pPr>
        <w:spacing w:line="360" w:lineRule="auto"/>
        <w:jc w:val="both"/>
        <w:rPr>
          <w:rFonts w:ascii="TeamViewer15" w:hAnsi="TeamViewer15"/>
          <w:sz w:val="24"/>
          <w:szCs w:val="24"/>
        </w:rPr>
      </w:pPr>
      <w:r>
        <w:rPr>
          <w:rFonts w:ascii="TeamViewer15" w:hAnsi="TeamViewer15"/>
          <w:sz w:val="24"/>
          <w:szCs w:val="24"/>
        </w:rPr>
        <w:t>In thi</w:t>
      </w:r>
      <w:r w:rsidR="004E4A81">
        <w:rPr>
          <w:rFonts w:ascii="TeamViewer15" w:hAnsi="TeamViewer15"/>
          <w:sz w:val="24"/>
          <w:szCs w:val="24"/>
        </w:rPr>
        <w:t>s</w:t>
      </w:r>
      <w:r>
        <w:rPr>
          <w:rFonts w:ascii="TeamViewer15" w:hAnsi="TeamViewer15"/>
          <w:sz w:val="24"/>
          <w:szCs w:val="24"/>
        </w:rPr>
        <w:t xml:space="preserve"> section, we are going to</w:t>
      </w:r>
      <w:r w:rsidR="004E4A81">
        <w:rPr>
          <w:rFonts w:ascii="TeamViewer15" w:hAnsi="TeamViewer15"/>
          <w:sz w:val="24"/>
          <w:szCs w:val="24"/>
        </w:rPr>
        <w:t xml:space="preserve"> analysis the dataset o</w:t>
      </w:r>
      <w:r w:rsidR="00036E2C">
        <w:rPr>
          <w:rFonts w:ascii="TeamViewer15" w:hAnsi="TeamViewer15"/>
          <w:sz w:val="24"/>
          <w:szCs w:val="24"/>
        </w:rPr>
        <w:t xml:space="preserve">r </w:t>
      </w:r>
      <w:r w:rsidR="006C462A">
        <w:rPr>
          <w:rFonts w:ascii="TeamViewer15" w:hAnsi="TeamViewer15"/>
          <w:sz w:val="24"/>
          <w:szCs w:val="24"/>
        </w:rPr>
        <w:t xml:space="preserve">answer to the </w:t>
      </w:r>
      <w:r w:rsidR="006C462A" w:rsidRPr="006C462A">
        <w:rPr>
          <w:rFonts w:ascii="TeamViewer15" w:hAnsi="TeamViewer15"/>
          <w:sz w:val="24"/>
          <w:szCs w:val="24"/>
        </w:rPr>
        <w:t>case study and questions asked by Edmond</w:t>
      </w:r>
      <w:r w:rsidR="006C462A">
        <w:rPr>
          <w:rFonts w:ascii="TeamViewer15" w:hAnsi="TeamViewer15"/>
          <w:sz w:val="24"/>
          <w:szCs w:val="24"/>
        </w:rPr>
        <w:t>.</w:t>
      </w:r>
    </w:p>
    <w:p w14:paraId="36488A4C" w14:textId="6787E199" w:rsidR="00D242EB" w:rsidRDefault="00570DEA" w:rsidP="00E86DB9">
      <w:pPr>
        <w:spacing w:line="360" w:lineRule="auto"/>
        <w:jc w:val="both"/>
        <w:rPr>
          <w:rFonts w:ascii="TeamViewer15" w:hAnsi="TeamViewer15"/>
          <w:sz w:val="24"/>
          <w:szCs w:val="24"/>
        </w:rPr>
      </w:pPr>
      <w:r w:rsidRPr="00570DEA">
        <w:rPr>
          <w:rFonts w:ascii="TeamViewer15" w:hAnsi="TeamViewer15"/>
          <w:noProof/>
          <w:sz w:val="24"/>
          <w:szCs w:val="24"/>
        </w:rPr>
        <w:drawing>
          <wp:inline distT="0" distB="0" distL="0" distR="0" wp14:anchorId="62E6A5B0" wp14:editId="004366B5">
            <wp:extent cx="5731510" cy="619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19125"/>
                    </a:xfrm>
                    <a:prstGeom prst="rect">
                      <a:avLst/>
                    </a:prstGeom>
                  </pic:spPr>
                </pic:pic>
              </a:graphicData>
            </a:graphic>
          </wp:inline>
        </w:drawing>
      </w:r>
    </w:p>
    <w:p w14:paraId="3C75EB7D" w14:textId="1FC840E0" w:rsidR="002A3AAF" w:rsidRDefault="005B00D4" w:rsidP="00E86DB9">
      <w:pPr>
        <w:spacing w:line="360" w:lineRule="auto"/>
        <w:jc w:val="both"/>
        <w:rPr>
          <w:rFonts w:ascii="TeamViewer15" w:hAnsi="TeamViewer15"/>
          <w:sz w:val="24"/>
          <w:szCs w:val="24"/>
        </w:rPr>
      </w:pPr>
      <w:r>
        <w:rPr>
          <w:rFonts w:ascii="TeamViewer15" w:hAnsi="TeamViewer15"/>
          <w:sz w:val="24"/>
          <w:szCs w:val="24"/>
        </w:rPr>
        <w:t xml:space="preserve">The below bar chart shows that </w:t>
      </w:r>
    </w:p>
    <w:p w14:paraId="7E80726C" w14:textId="3099E5F2" w:rsidR="002A3AAF" w:rsidRDefault="002A3AAF" w:rsidP="00B83094">
      <w:pPr>
        <w:spacing w:line="360" w:lineRule="auto"/>
        <w:jc w:val="center"/>
        <w:rPr>
          <w:rFonts w:ascii="TeamViewer15" w:hAnsi="TeamViewer15"/>
          <w:sz w:val="24"/>
          <w:szCs w:val="24"/>
        </w:rPr>
      </w:pPr>
      <w:r>
        <w:rPr>
          <w:noProof/>
        </w:rPr>
        <w:drawing>
          <wp:inline distT="0" distB="0" distL="0" distR="0" wp14:anchorId="73E1F8F9" wp14:editId="33B9B716">
            <wp:extent cx="4732020" cy="2872740"/>
            <wp:effectExtent l="0" t="0" r="11430" b="3810"/>
            <wp:docPr id="2" name="Chart 2">
              <a:extLst xmlns:a="http://schemas.openxmlformats.org/drawingml/2006/main">
                <a:ext uri="{FF2B5EF4-FFF2-40B4-BE49-F238E27FC236}">
                  <a16:creationId xmlns:a16="http://schemas.microsoft.com/office/drawing/2014/main" id="{87DE3A14-5B75-2B79-A1EB-B60085B4AC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A2486B" w14:textId="0B353969" w:rsidR="002A3AAF" w:rsidRDefault="002A3AAF" w:rsidP="00E86DB9">
      <w:pPr>
        <w:spacing w:line="360" w:lineRule="auto"/>
        <w:jc w:val="both"/>
        <w:rPr>
          <w:rFonts w:ascii="TeamViewer15" w:hAnsi="TeamViewer15"/>
          <w:sz w:val="24"/>
          <w:szCs w:val="24"/>
        </w:rPr>
      </w:pPr>
      <w:r>
        <w:rPr>
          <w:rFonts w:ascii="TeamViewer15" w:hAnsi="TeamViewer15"/>
          <w:sz w:val="24"/>
          <w:szCs w:val="24"/>
        </w:rPr>
        <w:t>Alternatively,</w:t>
      </w:r>
      <w:r w:rsidR="00A4280A">
        <w:rPr>
          <w:rFonts w:ascii="TeamViewer15" w:hAnsi="TeamViewer15"/>
          <w:sz w:val="24"/>
          <w:szCs w:val="24"/>
        </w:rPr>
        <w:t xml:space="preserve"> we can simply </w:t>
      </w:r>
      <w:r w:rsidR="00583A4F">
        <w:rPr>
          <w:rFonts w:ascii="TeamViewer15" w:hAnsi="TeamViewer15"/>
          <w:sz w:val="24"/>
          <w:szCs w:val="24"/>
        </w:rPr>
        <w:t xml:space="preserve">plot the pie chart which shows </w:t>
      </w:r>
      <w:r w:rsidR="00A4280A">
        <w:rPr>
          <w:rFonts w:ascii="TeamViewer15" w:hAnsi="TeamViewer15"/>
          <w:sz w:val="24"/>
          <w:szCs w:val="24"/>
        </w:rPr>
        <w:t>the percentage of the broker who save more on insurance premium.</w:t>
      </w:r>
    </w:p>
    <w:p w14:paraId="6F2EAE20" w14:textId="76B190CB" w:rsidR="00A4280A" w:rsidRDefault="00B83094" w:rsidP="00B83094">
      <w:pPr>
        <w:spacing w:line="360" w:lineRule="auto"/>
        <w:jc w:val="center"/>
        <w:rPr>
          <w:rFonts w:ascii="TeamViewer15" w:hAnsi="TeamViewer15"/>
          <w:sz w:val="24"/>
          <w:szCs w:val="24"/>
        </w:rPr>
      </w:pPr>
      <w:r>
        <w:rPr>
          <w:noProof/>
        </w:rPr>
        <w:drawing>
          <wp:inline distT="0" distB="0" distL="0" distR="0" wp14:anchorId="303A6BE8" wp14:editId="14734056">
            <wp:extent cx="4511040" cy="2644140"/>
            <wp:effectExtent l="0" t="0" r="3810" b="3810"/>
            <wp:docPr id="4" name="Chart 4">
              <a:extLst xmlns:a="http://schemas.openxmlformats.org/drawingml/2006/main">
                <a:ext uri="{FF2B5EF4-FFF2-40B4-BE49-F238E27FC236}">
                  <a16:creationId xmlns:a16="http://schemas.microsoft.com/office/drawing/2014/main" id="{33330798-F916-8C16-ACCB-B2D3E58B81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F8928E" w14:textId="1BD20412" w:rsidR="00127F33" w:rsidRPr="0056124B" w:rsidRDefault="00852502" w:rsidP="000C0C6A">
      <w:pPr>
        <w:spacing w:line="360" w:lineRule="auto"/>
        <w:jc w:val="both"/>
        <w:rPr>
          <w:rFonts w:ascii="TeamViewer15" w:hAnsi="TeamViewer15" w:cs="Arial"/>
          <w:sz w:val="24"/>
          <w:szCs w:val="24"/>
        </w:rPr>
      </w:pPr>
      <w:r>
        <w:rPr>
          <w:rFonts w:ascii="TeamViewer15" w:hAnsi="TeamViewer15"/>
          <w:sz w:val="24"/>
          <w:szCs w:val="24"/>
        </w:rPr>
        <w:lastRenderedPageBreak/>
        <w:t xml:space="preserve">The </w:t>
      </w:r>
      <w:r w:rsidR="00F454D8">
        <w:rPr>
          <w:rFonts w:ascii="TeamViewer15" w:hAnsi="TeamViewer15"/>
          <w:sz w:val="24"/>
          <w:szCs w:val="24"/>
        </w:rPr>
        <w:t>bar</w:t>
      </w:r>
      <w:r w:rsidR="00CC5786">
        <w:rPr>
          <w:rFonts w:ascii="TeamViewer15" w:hAnsi="TeamViewer15"/>
          <w:sz w:val="24"/>
          <w:szCs w:val="24"/>
        </w:rPr>
        <w:t xml:space="preserve"> </w:t>
      </w:r>
      <w:r>
        <w:rPr>
          <w:rFonts w:ascii="TeamViewer15" w:hAnsi="TeamViewer15"/>
          <w:sz w:val="24"/>
          <w:szCs w:val="24"/>
        </w:rPr>
        <w:t xml:space="preserve">charts shows that the </w:t>
      </w:r>
      <w:r w:rsidR="00CC5786">
        <w:rPr>
          <w:rFonts w:ascii="TeamViewer15" w:hAnsi="TeamViewer15"/>
          <w:sz w:val="24"/>
          <w:szCs w:val="24"/>
        </w:rPr>
        <w:t xml:space="preserve">how much broker </w:t>
      </w:r>
      <w:r w:rsidR="002A79D0" w:rsidRPr="002A79D0">
        <w:rPr>
          <w:rFonts w:ascii="TeamViewer15" w:hAnsi="TeamViewer15"/>
          <w:sz w:val="24"/>
          <w:szCs w:val="24"/>
        </w:rPr>
        <w:t>save their customers money</w:t>
      </w:r>
      <w:r w:rsidR="002A79D0">
        <w:rPr>
          <w:rFonts w:ascii="TeamViewer15" w:hAnsi="TeamViewer15"/>
          <w:sz w:val="24"/>
          <w:szCs w:val="24"/>
        </w:rPr>
        <w:t>, while the pie chart demonstrates</w:t>
      </w:r>
      <w:r w:rsidR="00F454D8">
        <w:rPr>
          <w:rFonts w:ascii="TeamViewer15" w:hAnsi="TeamViewer15"/>
          <w:sz w:val="24"/>
          <w:szCs w:val="24"/>
        </w:rPr>
        <w:t xml:space="preserve"> that the </w:t>
      </w:r>
      <w:r w:rsidR="0014445A">
        <w:rPr>
          <w:rFonts w:ascii="TeamViewer15" w:hAnsi="TeamViewer15"/>
          <w:sz w:val="24"/>
          <w:szCs w:val="24"/>
        </w:rPr>
        <w:t xml:space="preserve">what percentage of </w:t>
      </w:r>
      <w:r w:rsidR="00F454D8">
        <w:rPr>
          <w:rFonts w:ascii="TeamViewer15" w:hAnsi="TeamViewer15"/>
          <w:sz w:val="24"/>
          <w:szCs w:val="24"/>
        </w:rPr>
        <w:t>broker save their customer money</w:t>
      </w:r>
      <w:r w:rsidR="003E5307">
        <w:rPr>
          <w:rFonts w:ascii="TeamViewer15" w:hAnsi="TeamViewer15"/>
          <w:sz w:val="24"/>
          <w:szCs w:val="24"/>
        </w:rPr>
        <w:t xml:space="preserve">. We observe that broker </w:t>
      </w:r>
      <w:r w:rsidR="003E5307">
        <w:rPr>
          <w:rFonts w:ascii="Arial" w:hAnsi="Arial" w:cs="Arial"/>
          <w:sz w:val="24"/>
          <w:szCs w:val="24"/>
        </w:rPr>
        <w:t>“</w:t>
      </w:r>
      <w:proofErr w:type="spellStart"/>
      <w:r w:rsidR="003E5307">
        <w:rPr>
          <w:rFonts w:ascii="TeamViewer15" w:hAnsi="TeamViewer15"/>
          <w:sz w:val="24"/>
          <w:szCs w:val="24"/>
        </w:rPr>
        <w:t>iChoose</w:t>
      </w:r>
      <w:proofErr w:type="spellEnd"/>
      <w:r w:rsidR="003E5307">
        <w:rPr>
          <w:rFonts w:ascii="Arial" w:hAnsi="Arial" w:cs="Arial"/>
          <w:sz w:val="24"/>
          <w:szCs w:val="24"/>
        </w:rPr>
        <w:t>”</w:t>
      </w:r>
      <w:r w:rsidR="00C64EF9">
        <w:rPr>
          <w:rFonts w:ascii="Arial" w:hAnsi="Arial" w:cs="Arial"/>
          <w:sz w:val="24"/>
          <w:szCs w:val="24"/>
        </w:rPr>
        <w:t xml:space="preserve"> </w:t>
      </w:r>
      <w:r w:rsidR="00317FED">
        <w:rPr>
          <w:rFonts w:ascii="Arial" w:hAnsi="Arial" w:cs="Arial"/>
          <w:sz w:val="24"/>
          <w:szCs w:val="24"/>
        </w:rPr>
        <w:t xml:space="preserve">bar height </w:t>
      </w:r>
      <w:r w:rsidR="008F05FE">
        <w:rPr>
          <w:rFonts w:ascii="Arial" w:hAnsi="Arial" w:cs="Arial"/>
          <w:sz w:val="24"/>
          <w:szCs w:val="24"/>
        </w:rPr>
        <w:t xml:space="preserve">is highest </w:t>
      </w:r>
      <w:r w:rsidR="00317FED">
        <w:rPr>
          <w:rFonts w:ascii="Arial" w:hAnsi="Arial" w:cs="Arial"/>
          <w:sz w:val="24"/>
          <w:szCs w:val="24"/>
        </w:rPr>
        <w:t>as compare to other broker</w:t>
      </w:r>
      <w:r w:rsidR="00BE154E">
        <w:rPr>
          <w:rFonts w:ascii="Arial" w:hAnsi="Arial" w:cs="Arial"/>
          <w:sz w:val="24"/>
          <w:szCs w:val="24"/>
        </w:rPr>
        <w:t xml:space="preserve">, while </w:t>
      </w:r>
      <w:r w:rsidR="00BE154E" w:rsidRPr="0056124B">
        <w:rPr>
          <w:rFonts w:ascii="TeamViewer15" w:hAnsi="TeamViewer15" w:cs="Arial"/>
          <w:sz w:val="24"/>
          <w:szCs w:val="24"/>
        </w:rPr>
        <w:t>the lowest height</w:t>
      </w:r>
      <w:r w:rsidR="008F05FE" w:rsidRPr="0056124B">
        <w:rPr>
          <w:rFonts w:ascii="TeamViewer15" w:hAnsi="TeamViewer15" w:cs="Arial"/>
          <w:sz w:val="24"/>
          <w:szCs w:val="24"/>
        </w:rPr>
        <w:t xml:space="preserve"> </w:t>
      </w:r>
      <w:r w:rsidR="009A4152" w:rsidRPr="0056124B">
        <w:rPr>
          <w:rFonts w:ascii="TeamViewer15" w:hAnsi="TeamViewer15" w:cs="Arial"/>
          <w:sz w:val="24"/>
          <w:szCs w:val="24"/>
        </w:rPr>
        <w:t xml:space="preserve">of the </w:t>
      </w:r>
      <w:r w:rsidR="00583220" w:rsidRPr="0056124B">
        <w:rPr>
          <w:rFonts w:ascii="TeamViewer15" w:hAnsi="TeamViewer15" w:cs="Arial"/>
          <w:sz w:val="24"/>
          <w:szCs w:val="24"/>
        </w:rPr>
        <w:t xml:space="preserve">bar is broker </w:t>
      </w:r>
      <w:r w:rsidR="00583220" w:rsidRPr="0056124B">
        <w:rPr>
          <w:rFonts w:ascii="Arial" w:hAnsi="Arial" w:cs="Arial"/>
          <w:sz w:val="24"/>
          <w:szCs w:val="24"/>
        </w:rPr>
        <w:t>“</w:t>
      </w:r>
      <w:proofErr w:type="spellStart"/>
      <w:r w:rsidR="00583220" w:rsidRPr="0056124B">
        <w:rPr>
          <w:rFonts w:ascii="TeamViewer15" w:hAnsi="TeamViewer15" w:cs="Arial"/>
          <w:sz w:val="24"/>
          <w:szCs w:val="24"/>
        </w:rPr>
        <w:t>vChoose</w:t>
      </w:r>
      <w:proofErr w:type="spellEnd"/>
      <w:r w:rsidR="00583220" w:rsidRPr="0056124B">
        <w:rPr>
          <w:rFonts w:ascii="Arial" w:hAnsi="Arial" w:cs="Arial"/>
          <w:sz w:val="24"/>
          <w:szCs w:val="24"/>
        </w:rPr>
        <w:t>”</w:t>
      </w:r>
      <w:r w:rsidR="00583220" w:rsidRPr="0056124B">
        <w:rPr>
          <w:rFonts w:ascii="TeamViewer15" w:hAnsi="TeamViewer15" w:cs="Arial"/>
          <w:sz w:val="24"/>
          <w:szCs w:val="24"/>
        </w:rPr>
        <w:t>.</w:t>
      </w:r>
    </w:p>
    <w:p w14:paraId="62F2DDAF" w14:textId="2A1E8824" w:rsidR="001A5FFC" w:rsidRPr="0056124B" w:rsidRDefault="001A5FFC" w:rsidP="000C0C6A">
      <w:pPr>
        <w:spacing w:line="360" w:lineRule="auto"/>
        <w:jc w:val="both"/>
        <w:rPr>
          <w:rFonts w:ascii="TeamViewer15" w:hAnsi="TeamViewer15" w:cs="Arial"/>
          <w:sz w:val="24"/>
          <w:szCs w:val="24"/>
        </w:rPr>
      </w:pPr>
      <w:r w:rsidRPr="0056124B">
        <w:rPr>
          <w:rFonts w:ascii="TeamViewer15" w:hAnsi="TeamViewer15" w:cs="Arial"/>
          <w:sz w:val="24"/>
          <w:szCs w:val="24"/>
        </w:rPr>
        <w:t xml:space="preserve">Thus, we can easily conclude that the </w:t>
      </w:r>
      <w:r w:rsidR="000C0C6A" w:rsidRPr="0056124B">
        <w:rPr>
          <w:rFonts w:ascii="Arial" w:hAnsi="Arial" w:cs="Arial"/>
          <w:sz w:val="24"/>
          <w:szCs w:val="24"/>
        </w:rPr>
        <w:t>“</w:t>
      </w:r>
      <w:proofErr w:type="spellStart"/>
      <w:r w:rsidR="000C0C6A" w:rsidRPr="0056124B">
        <w:rPr>
          <w:rFonts w:ascii="TeamViewer15" w:hAnsi="TeamViewer15" w:cs="Arial"/>
          <w:sz w:val="24"/>
          <w:szCs w:val="24"/>
        </w:rPr>
        <w:t>iChoose</w:t>
      </w:r>
      <w:proofErr w:type="spellEnd"/>
      <w:r w:rsidR="000C0C6A" w:rsidRPr="0056124B">
        <w:rPr>
          <w:rFonts w:ascii="Arial" w:hAnsi="Arial" w:cs="Arial"/>
          <w:sz w:val="24"/>
          <w:szCs w:val="24"/>
        </w:rPr>
        <w:t>”</w:t>
      </w:r>
      <w:r w:rsidR="000C0C6A" w:rsidRPr="0056124B">
        <w:rPr>
          <w:rFonts w:ascii="TeamViewer15" w:hAnsi="TeamViewer15" w:cs="Arial"/>
          <w:sz w:val="24"/>
          <w:szCs w:val="24"/>
        </w:rPr>
        <w:t xml:space="preserve"> was able to save their customers more money than other brokers</w:t>
      </w:r>
      <w:r w:rsidR="00F84655" w:rsidRPr="0056124B">
        <w:rPr>
          <w:rFonts w:ascii="TeamViewer15" w:hAnsi="TeamViewer15" w:cs="Arial"/>
          <w:sz w:val="24"/>
          <w:szCs w:val="24"/>
        </w:rPr>
        <w:t xml:space="preserve">. Also, </w:t>
      </w:r>
      <w:r w:rsidR="00F84655" w:rsidRPr="0056124B">
        <w:rPr>
          <w:rFonts w:ascii="Arial" w:hAnsi="Arial" w:cs="Arial"/>
          <w:sz w:val="24"/>
          <w:szCs w:val="24"/>
        </w:rPr>
        <w:t>“</w:t>
      </w:r>
      <w:proofErr w:type="spellStart"/>
      <w:r w:rsidR="00F84655" w:rsidRPr="0056124B">
        <w:rPr>
          <w:rFonts w:ascii="TeamViewer15" w:hAnsi="TeamViewer15" w:cs="Arial"/>
          <w:sz w:val="24"/>
          <w:szCs w:val="24"/>
        </w:rPr>
        <w:t>iChoose</w:t>
      </w:r>
      <w:proofErr w:type="spellEnd"/>
      <w:r w:rsidR="00F84655" w:rsidRPr="0056124B">
        <w:rPr>
          <w:rFonts w:ascii="Arial" w:hAnsi="Arial" w:cs="Arial"/>
          <w:sz w:val="24"/>
          <w:szCs w:val="24"/>
        </w:rPr>
        <w:t>”</w:t>
      </w:r>
      <w:r w:rsidR="00F84655" w:rsidRPr="0056124B">
        <w:rPr>
          <w:rFonts w:ascii="TeamViewer15" w:hAnsi="TeamViewer15" w:cs="Arial"/>
          <w:sz w:val="24"/>
          <w:szCs w:val="24"/>
        </w:rPr>
        <w:t xml:space="preserve">, on average, can save more on insurance premiums than </w:t>
      </w:r>
      <w:r w:rsidR="00F84655" w:rsidRPr="0056124B">
        <w:rPr>
          <w:rFonts w:ascii="Arial" w:hAnsi="Arial" w:cs="Arial"/>
          <w:sz w:val="24"/>
          <w:szCs w:val="24"/>
        </w:rPr>
        <w:t>“</w:t>
      </w:r>
      <w:proofErr w:type="spellStart"/>
      <w:r w:rsidR="00F84655" w:rsidRPr="0056124B">
        <w:rPr>
          <w:rFonts w:ascii="TeamViewer15" w:hAnsi="TeamViewer15" w:cs="Arial"/>
          <w:sz w:val="24"/>
          <w:szCs w:val="24"/>
        </w:rPr>
        <w:t>uChoose</w:t>
      </w:r>
      <w:proofErr w:type="spellEnd"/>
      <w:r w:rsidR="00F84655" w:rsidRPr="0056124B">
        <w:rPr>
          <w:rFonts w:ascii="Arial" w:hAnsi="Arial" w:cs="Arial"/>
          <w:sz w:val="24"/>
          <w:szCs w:val="24"/>
        </w:rPr>
        <w:t>”</w:t>
      </w:r>
      <w:r w:rsidR="00F27D71" w:rsidRPr="0056124B">
        <w:rPr>
          <w:rFonts w:ascii="TeamViewer15" w:hAnsi="TeamViewer15" w:cs="Arial"/>
          <w:sz w:val="24"/>
          <w:szCs w:val="24"/>
        </w:rPr>
        <w:t xml:space="preserve"> that is 49,864 &gt; 16,621.</w:t>
      </w:r>
    </w:p>
    <w:p w14:paraId="70599A67" w14:textId="4A2B0A58" w:rsidR="00F27D71" w:rsidRDefault="00F27D71" w:rsidP="000C0C6A">
      <w:pPr>
        <w:spacing w:line="360" w:lineRule="auto"/>
        <w:jc w:val="both"/>
        <w:rPr>
          <w:rFonts w:ascii="Arial" w:hAnsi="Arial" w:cs="Arial"/>
          <w:sz w:val="24"/>
          <w:szCs w:val="24"/>
        </w:rPr>
      </w:pPr>
    </w:p>
    <w:p w14:paraId="7038B41F" w14:textId="786FD1D8" w:rsidR="002C542F" w:rsidRDefault="004C29F8" w:rsidP="000C0C6A">
      <w:pPr>
        <w:spacing w:line="360" w:lineRule="auto"/>
        <w:jc w:val="both"/>
        <w:rPr>
          <w:rFonts w:ascii="Arial" w:hAnsi="Arial" w:cs="Arial"/>
          <w:sz w:val="24"/>
          <w:szCs w:val="24"/>
        </w:rPr>
      </w:pPr>
      <w:r>
        <w:rPr>
          <w:rFonts w:ascii="Arial" w:hAnsi="Arial" w:cs="Arial"/>
          <w:sz w:val="24"/>
          <w:szCs w:val="24"/>
        </w:rPr>
        <w:t>2.</w:t>
      </w:r>
    </w:p>
    <w:p w14:paraId="74D241B4" w14:textId="67618762" w:rsidR="004C29F8" w:rsidRDefault="00F343F4" w:rsidP="000C0C6A">
      <w:pPr>
        <w:spacing w:line="360" w:lineRule="auto"/>
        <w:jc w:val="both"/>
        <w:rPr>
          <w:rFonts w:ascii="Arial" w:hAnsi="Arial" w:cs="Arial"/>
          <w:sz w:val="24"/>
          <w:szCs w:val="24"/>
        </w:rPr>
      </w:pPr>
      <w:r w:rsidRPr="00F343F4">
        <w:rPr>
          <w:rFonts w:ascii="Arial" w:hAnsi="Arial" w:cs="Arial"/>
          <w:noProof/>
          <w:sz w:val="24"/>
          <w:szCs w:val="24"/>
        </w:rPr>
        <w:drawing>
          <wp:inline distT="0" distB="0" distL="0" distR="0" wp14:anchorId="3E7F077B" wp14:editId="401B037C">
            <wp:extent cx="5731510" cy="8039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03910"/>
                    </a:xfrm>
                    <a:prstGeom prst="rect">
                      <a:avLst/>
                    </a:prstGeom>
                  </pic:spPr>
                </pic:pic>
              </a:graphicData>
            </a:graphic>
          </wp:inline>
        </w:drawing>
      </w:r>
    </w:p>
    <w:p w14:paraId="6CDA06B8" w14:textId="77777777" w:rsidR="00F27D71" w:rsidRPr="003E5307" w:rsidRDefault="00F27D71" w:rsidP="000C0C6A">
      <w:pPr>
        <w:spacing w:line="360" w:lineRule="auto"/>
        <w:jc w:val="both"/>
        <w:rPr>
          <w:rFonts w:ascii="TeamViewer15" w:hAnsi="TeamViewer15"/>
          <w:sz w:val="24"/>
          <w:szCs w:val="24"/>
        </w:rPr>
      </w:pPr>
    </w:p>
    <w:p w14:paraId="2A3D591A" w14:textId="77777777" w:rsidR="00DA1779" w:rsidRPr="00B368C2" w:rsidRDefault="00DA1779" w:rsidP="00E86DB9">
      <w:pPr>
        <w:spacing w:line="360" w:lineRule="auto"/>
        <w:jc w:val="both"/>
        <w:rPr>
          <w:rFonts w:ascii="TeamViewer15" w:hAnsi="TeamViewer15"/>
          <w:sz w:val="24"/>
          <w:szCs w:val="24"/>
        </w:rPr>
      </w:pPr>
    </w:p>
    <w:sectPr w:rsidR="00DA1779" w:rsidRPr="00B36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amViewer15">
    <w:charset w:val="00"/>
    <w:family w:val="decorative"/>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wsLQ0tTA3sDQ0MrZQ0lEKTi0uzszPAykwrQUAvoAM4SwAAAA="/>
  </w:docVars>
  <w:rsids>
    <w:rsidRoot w:val="008E40BA"/>
    <w:rsid w:val="00036E2C"/>
    <w:rsid w:val="000779F7"/>
    <w:rsid w:val="000B628F"/>
    <w:rsid w:val="000C0C6A"/>
    <w:rsid w:val="00127F33"/>
    <w:rsid w:val="00135B51"/>
    <w:rsid w:val="0014445A"/>
    <w:rsid w:val="0018632C"/>
    <w:rsid w:val="001A06AF"/>
    <w:rsid w:val="001A5FFC"/>
    <w:rsid w:val="00260373"/>
    <w:rsid w:val="00271DF4"/>
    <w:rsid w:val="002A3AAF"/>
    <w:rsid w:val="002A79D0"/>
    <w:rsid w:val="002C542F"/>
    <w:rsid w:val="00317FED"/>
    <w:rsid w:val="003349B1"/>
    <w:rsid w:val="00342879"/>
    <w:rsid w:val="003639AB"/>
    <w:rsid w:val="003E5307"/>
    <w:rsid w:val="00421FAA"/>
    <w:rsid w:val="00432B9F"/>
    <w:rsid w:val="00457023"/>
    <w:rsid w:val="004635B2"/>
    <w:rsid w:val="00464A2B"/>
    <w:rsid w:val="00467C42"/>
    <w:rsid w:val="00482648"/>
    <w:rsid w:val="004C29F8"/>
    <w:rsid w:val="004E4A81"/>
    <w:rsid w:val="0056124B"/>
    <w:rsid w:val="00570DEA"/>
    <w:rsid w:val="00583220"/>
    <w:rsid w:val="00583A4F"/>
    <w:rsid w:val="0059510C"/>
    <w:rsid w:val="005B00D4"/>
    <w:rsid w:val="005C1E88"/>
    <w:rsid w:val="005E1B0F"/>
    <w:rsid w:val="005F03D8"/>
    <w:rsid w:val="005F09FB"/>
    <w:rsid w:val="005F51C7"/>
    <w:rsid w:val="006513D4"/>
    <w:rsid w:val="006C462A"/>
    <w:rsid w:val="00722EEB"/>
    <w:rsid w:val="00757808"/>
    <w:rsid w:val="007E181C"/>
    <w:rsid w:val="00813EEC"/>
    <w:rsid w:val="0084356B"/>
    <w:rsid w:val="00852502"/>
    <w:rsid w:val="00887137"/>
    <w:rsid w:val="00893024"/>
    <w:rsid w:val="008E40BA"/>
    <w:rsid w:val="008F05FE"/>
    <w:rsid w:val="009A4152"/>
    <w:rsid w:val="00A4280A"/>
    <w:rsid w:val="00A471FA"/>
    <w:rsid w:val="00AA4E7C"/>
    <w:rsid w:val="00B368C2"/>
    <w:rsid w:val="00B83094"/>
    <w:rsid w:val="00B927EF"/>
    <w:rsid w:val="00BD377C"/>
    <w:rsid w:val="00BE154E"/>
    <w:rsid w:val="00BE556D"/>
    <w:rsid w:val="00C51EDB"/>
    <w:rsid w:val="00C64EF9"/>
    <w:rsid w:val="00C9163E"/>
    <w:rsid w:val="00CC2363"/>
    <w:rsid w:val="00CC5786"/>
    <w:rsid w:val="00CD5811"/>
    <w:rsid w:val="00D242EB"/>
    <w:rsid w:val="00D57EE6"/>
    <w:rsid w:val="00D607A9"/>
    <w:rsid w:val="00D671CE"/>
    <w:rsid w:val="00DA1779"/>
    <w:rsid w:val="00DB6756"/>
    <w:rsid w:val="00DF4242"/>
    <w:rsid w:val="00E01C6D"/>
    <w:rsid w:val="00E24C54"/>
    <w:rsid w:val="00E71A3F"/>
    <w:rsid w:val="00E77CB5"/>
    <w:rsid w:val="00E86DB9"/>
    <w:rsid w:val="00ED2277"/>
    <w:rsid w:val="00F27D71"/>
    <w:rsid w:val="00F304BA"/>
    <w:rsid w:val="00F343F4"/>
    <w:rsid w:val="00F454D8"/>
    <w:rsid w:val="00F6074C"/>
    <w:rsid w:val="00F84655"/>
    <w:rsid w:val="00FD02EA"/>
    <w:rsid w:val="00FD0FE6"/>
    <w:rsid w:val="00FE3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752F"/>
  <w15:chartTrackingRefBased/>
  <w15:docId w15:val="{B6E0DABE-8C11-4F21-B4E5-DD7260C9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2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60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Augment%20Systems%20Kasotiya\Excel\19.%20Descriptive%20Analysis\A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ugment%20Systems%20Kasotiya\Excel\19.%20MAH087719-%20Descriptive%20Analysis\A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[A1.xlsx]Q1!PivotTable1</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Broker Chart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12700">
              <a:solidFill>
                <a:schemeClr val="lt2"/>
              </a:solidFill>
              <a:round/>
            </a:ln>
            <a:effectLst>
              <a:outerShdw blurRad="40000" dist="23000" dir="5400000" rotWithShape="0">
                <a:srgbClr val="000000">
                  <a:alpha val="35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'Q1'!$B$3</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'Q1'!$A$4:$A$8</c:f>
              <c:strCache>
                <c:ptCount val="4"/>
                <c:pt idx="0">
                  <c:v>iChoose</c:v>
                </c:pt>
                <c:pt idx="1">
                  <c:v>uChoose</c:v>
                </c:pt>
                <c:pt idx="2">
                  <c:v>vChoose</c:v>
                </c:pt>
                <c:pt idx="3">
                  <c:v>yChoose</c:v>
                </c:pt>
              </c:strCache>
            </c:strRef>
          </c:cat>
          <c:val>
            <c:numRef>
              <c:f>'Q1'!$B$4:$B$8</c:f>
              <c:numCache>
                <c:formatCode>General</c:formatCode>
                <c:ptCount val="4"/>
                <c:pt idx="0">
                  <c:v>49864</c:v>
                </c:pt>
                <c:pt idx="1">
                  <c:v>16621</c:v>
                </c:pt>
                <c:pt idx="2">
                  <c:v>5770</c:v>
                </c:pt>
                <c:pt idx="3">
                  <c:v>19602</c:v>
                </c:pt>
              </c:numCache>
            </c:numRef>
          </c:val>
          <c:extLst>
            <c:ext xmlns:c16="http://schemas.microsoft.com/office/drawing/2014/chart" uri="{C3380CC4-5D6E-409C-BE32-E72D297353CC}">
              <c16:uniqueId val="{00000000-402B-447E-B658-0CBB0AD86412}"/>
            </c:ext>
          </c:extLst>
        </c:ser>
        <c:dLbls>
          <c:dLblPos val="outEnd"/>
          <c:showLegendKey val="0"/>
          <c:showVal val="1"/>
          <c:showCatName val="0"/>
          <c:showSerName val="0"/>
          <c:showPercent val="0"/>
          <c:showBubbleSize val="0"/>
        </c:dLbls>
        <c:gapWidth val="100"/>
        <c:overlap val="-24"/>
        <c:axId val="1856166608"/>
        <c:axId val="1856161616"/>
      </c:barChart>
      <c:catAx>
        <c:axId val="185616660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56161616"/>
        <c:crosses val="autoZero"/>
        <c:auto val="1"/>
        <c:lblAlgn val="ctr"/>
        <c:lblOffset val="100"/>
        <c:noMultiLvlLbl val="0"/>
      </c:catAx>
      <c:valAx>
        <c:axId val="185616161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5616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[A1.xlsx]Q1!PivotTable1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 of Broker Save Money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plotArea>
      <c:layout/>
      <c:pieChart>
        <c:varyColors val="1"/>
        <c:ser>
          <c:idx val="0"/>
          <c:order val="0"/>
          <c:tx>
            <c:strRef>
              <c:f>'Q1'!$B$3</c:f>
              <c:strCache>
                <c:ptCount val="1"/>
                <c:pt idx="0">
                  <c:v>Total</c:v>
                </c:pt>
              </c:strCache>
            </c:strRef>
          </c:tx>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BF58-4CF9-9691-7A53755C41BA}"/>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BF58-4CF9-9691-7A53755C41BA}"/>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BF58-4CF9-9691-7A53755C41BA}"/>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BF58-4CF9-9691-7A53755C41BA}"/>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'Q1'!$A$4:$A$8</c:f>
              <c:strCache>
                <c:ptCount val="4"/>
                <c:pt idx="0">
                  <c:v>iChoose</c:v>
                </c:pt>
                <c:pt idx="1">
                  <c:v>uChoose</c:v>
                </c:pt>
                <c:pt idx="2">
                  <c:v>vChoose</c:v>
                </c:pt>
                <c:pt idx="3">
                  <c:v>yChoose</c:v>
                </c:pt>
              </c:strCache>
            </c:strRef>
          </c:cat>
          <c:val>
            <c:numRef>
              <c:f>'Q1'!$B$4:$B$8</c:f>
              <c:numCache>
                <c:formatCode>General</c:formatCode>
                <c:ptCount val="4"/>
                <c:pt idx="0">
                  <c:v>49864</c:v>
                </c:pt>
                <c:pt idx="1">
                  <c:v>16621</c:v>
                </c:pt>
                <c:pt idx="2">
                  <c:v>5770</c:v>
                </c:pt>
                <c:pt idx="3">
                  <c:v>19602</c:v>
                </c:pt>
              </c:numCache>
            </c:numRef>
          </c:val>
          <c:extLst>
            <c:ext xmlns:c16="http://schemas.microsoft.com/office/drawing/2014/chart" uri="{C3380CC4-5D6E-409C-BE32-E72D297353CC}">
              <c16:uniqueId val="{00000008-BF58-4CF9-9691-7A53755C41BA}"/>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2B36C33-FC4A-4BA7-A077-468B59B75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101</cp:revision>
  <dcterms:created xsi:type="dcterms:W3CDTF">2022-08-04T12:32:00Z</dcterms:created>
  <dcterms:modified xsi:type="dcterms:W3CDTF">2022-12-27T11:02:00Z</dcterms:modified>
</cp:coreProperties>
</file>