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F010" w14:textId="7FCE9849" w:rsidR="0056068E" w:rsidRPr="0056068E" w:rsidRDefault="0056068E" w:rsidP="0056068E">
      <w:r w:rsidRPr="0056068E">
        <w:t xml:space="preserve">Q1. The regression output reveals a high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6068E">
        <w:t xml:space="preserve"> but many of the explanatory variables are statistically insignificant at the 5% significance level. What problem in the regression could give rise to this symptomatic result?</w:t>
      </w:r>
    </w:p>
    <w:p w14:paraId="57E34D8F" w14:textId="77777777" w:rsidR="0056068E" w:rsidRPr="0056068E" w:rsidRDefault="0056068E" w:rsidP="0056068E"/>
    <w:tbl>
      <w:tblPr>
        <w:tblStyle w:val="TableGrid"/>
        <w:tblW w:w="0" w:type="auto"/>
        <w:tblLook w:val="04A0" w:firstRow="1" w:lastRow="0" w:firstColumn="1" w:lastColumn="0" w:noHBand="0" w:noVBand="1"/>
      </w:tblPr>
      <w:tblGrid>
        <w:gridCol w:w="9628"/>
      </w:tblGrid>
      <w:tr w:rsidR="0056068E" w:rsidRPr="0056068E" w14:paraId="0B6FDE26" w14:textId="77777777" w:rsidTr="00226BC1">
        <w:tc>
          <w:tcPr>
            <w:tcW w:w="9854" w:type="dxa"/>
          </w:tcPr>
          <w:p w14:paraId="3ADB559B" w14:textId="0217C3B4" w:rsidR="0056068E" w:rsidRPr="0056068E" w:rsidRDefault="00213108" w:rsidP="005F4F42">
            <w:pPr>
              <w:spacing w:after="160" w:line="259" w:lineRule="auto"/>
            </w:pPr>
            <w:r>
              <w:t xml:space="preserve">When R Square is high, and many explanatory variables </w:t>
            </w:r>
            <w:r w:rsidR="005E2D39">
              <w:t xml:space="preserve">are statistically insignificant at given </w:t>
            </w:r>
            <w:r w:rsidR="00C8318B">
              <w:t xml:space="preserve">level of </w:t>
            </w:r>
            <w:r w:rsidR="005E2D39">
              <w:t>significance</w:t>
            </w:r>
            <w:r w:rsidR="00C8318B">
              <w:t xml:space="preserve">, </w:t>
            </w:r>
            <w:r w:rsidR="005E2D39">
              <w:t>t</w:t>
            </w:r>
            <w:r w:rsidR="00BE2177">
              <w:t xml:space="preserve">his </w:t>
            </w:r>
            <w:r w:rsidR="00B36867">
              <w:t>is the problem of</w:t>
            </w:r>
            <w:r w:rsidR="00D801E7">
              <w:t xml:space="preserve"> </w:t>
            </w:r>
            <w:r w:rsidR="00572907">
              <w:t>multicollinearity</w:t>
            </w:r>
            <w:r w:rsidR="00B36867">
              <w:t>.</w:t>
            </w:r>
            <w:r w:rsidR="00F1784A">
              <w:t xml:space="preserve"> It</w:t>
            </w:r>
            <w:r w:rsidR="00F1784A" w:rsidRPr="00F1784A">
              <w:t xml:space="preserve"> reduces the precision of the estimated coefficients, which weakens the statistical power of </w:t>
            </w:r>
            <w:r w:rsidR="00F1784A">
              <w:t xml:space="preserve">the </w:t>
            </w:r>
            <w:r w:rsidR="00F1784A" w:rsidRPr="00F1784A">
              <w:t>regression model</w:t>
            </w:r>
            <w:r w:rsidR="00F1784A">
              <w:t xml:space="preserve"> and </w:t>
            </w:r>
            <w:r w:rsidR="00F1784A" w:rsidRPr="00F1784A">
              <w:t xml:space="preserve">not be able to trust the p-values to identify </w:t>
            </w:r>
            <w:r w:rsidR="00350052" w:rsidRPr="00350052">
              <w:t xml:space="preserve">explanatory </w:t>
            </w:r>
            <w:r w:rsidR="00F1784A" w:rsidRPr="00F1784A">
              <w:t>variables that are statistically significant.</w:t>
            </w:r>
            <w:r w:rsidR="001645F4">
              <w:t xml:space="preserve"> </w:t>
            </w:r>
            <w:r w:rsidR="008D494E">
              <w:t xml:space="preserve">Additionally, the reason for high R square is that </w:t>
            </w:r>
            <w:r w:rsidR="00B3202F">
              <w:t>irrelevant variables added in the regression model, thereby, R square of the model increases.</w:t>
            </w:r>
          </w:p>
        </w:tc>
      </w:tr>
    </w:tbl>
    <w:p w14:paraId="5DAA0C2E" w14:textId="77777777" w:rsidR="0056068E" w:rsidRPr="0056068E" w:rsidRDefault="0056068E" w:rsidP="0056068E"/>
    <w:p w14:paraId="5FA21946" w14:textId="77777777" w:rsidR="0056068E" w:rsidRPr="0056068E" w:rsidRDefault="0056068E" w:rsidP="0056068E"/>
    <w:p w14:paraId="68B08717" w14:textId="77777777" w:rsidR="0056068E" w:rsidRPr="0056068E" w:rsidRDefault="0056068E" w:rsidP="0056068E">
      <w:r w:rsidRPr="0056068E">
        <w:t>Q2. Correct this false statement: If an estimator is unbiased, it gives a correct estimate of the population parameter of interest for any sample size.</w:t>
      </w:r>
    </w:p>
    <w:p w14:paraId="573B7670" w14:textId="77777777" w:rsidR="0056068E" w:rsidRPr="0056068E" w:rsidRDefault="0056068E" w:rsidP="0056068E"/>
    <w:tbl>
      <w:tblPr>
        <w:tblStyle w:val="TableGrid"/>
        <w:tblW w:w="0" w:type="auto"/>
        <w:tblLook w:val="04A0" w:firstRow="1" w:lastRow="0" w:firstColumn="1" w:lastColumn="0" w:noHBand="0" w:noVBand="1"/>
      </w:tblPr>
      <w:tblGrid>
        <w:gridCol w:w="9628"/>
      </w:tblGrid>
      <w:tr w:rsidR="0056068E" w:rsidRPr="0056068E" w14:paraId="331A6D64" w14:textId="77777777" w:rsidTr="00226BC1">
        <w:tc>
          <w:tcPr>
            <w:tcW w:w="9854" w:type="dxa"/>
          </w:tcPr>
          <w:p w14:paraId="7BF9A421" w14:textId="75840B35" w:rsidR="00181B26" w:rsidRPr="0056068E" w:rsidRDefault="00080889" w:rsidP="0056068E">
            <w:pPr>
              <w:spacing w:after="160" w:line="259" w:lineRule="auto"/>
            </w:pPr>
            <w:r w:rsidRPr="00080889">
              <w:t>If an estimator is unbiased</w:t>
            </w:r>
            <w:r>
              <w:t>, it gives a correct estimate of the population parameter of interest, but only on average.</w:t>
            </w:r>
            <w:r w:rsidR="00AE7AE6">
              <w:t xml:space="preserve"> Technically, </w:t>
            </w:r>
            <m:oMath>
              <m:r>
                <w:rPr>
                  <w:rFonts w:ascii="Cambria Math" w:hAnsi="Cambria Math"/>
                </w:rPr>
                <m:t>E</m:t>
              </m:r>
              <m:d>
                <m:dPr>
                  <m:ctrlPr>
                    <w:rPr>
                      <w:rFonts w:ascii="Cambria Math" w:hAnsi="Cambria Math"/>
                      <w:i/>
                    </w:rPr>
                  </m:ctrlPr>
                </m:dPr>
                <m:e>
                  <m:r>
                    <w:rPr>
                      <w:rFonts w:ascii="Cambria Math" w:hAnsi="Cambria Math"/>
                    </w:rPr>
                    <m:t>∅ hat</m:t>
                  </m:r>
                </m:e>
              </m:d>
              <m:r>
                <w:rPr>
                  <w:rFonts w:ascii="Cambria Math" w:hAnsi="Cambria Math"/>
                </w:rPr>
                <m:t xml:space="preserve">= </m:t>
              </m:r>
              <m:r>
                <w:rPr>
                  <w:rFonts w:ascii="Cambria Math" w:hAnsi="Cambria Math"/>
                </w:rPr>
                <m:t>∅,</m:t>
              </m:r>
            </m:oMath>
            <w:r w:rsidR="007915AD">
              <w:t xml:space="preserve"> because </w:t>
            </w:r>
            <m:oMath>
              <m:r>
                <w:rPr>
                  <w:rFonts w:ascii="Cambria Math" w:hAnsi="Cambria Math"/>
                </w:rPr>
                <m:t>∅</m:t>
              </m:r>
              <m:r>
                <w:rPr>
                  <w:rFonts w:ascii="Cambria Math" w:hAnsi="Cambria Math"/>
                </w:rPr>
                <m:t xml:space="preserve"> hat</m:t>
              </m:r>
            </m:oMath>
            <w:r w:rsidR="007915AD">
              <w:t xml:space="preserve"> is an unbiased estimator of </w:t>
            </w:r>
            <m:oMath>
              <m:r>
                <w:rPr>
                  <w:rFonts w:ascii="Cambria Math" w:hAnsi="Cambria Math"/>
                </w:rPr>
                <m:t>∅</m:t>
              </m:r>
              <m:r>
                <w:rPr>
                  <w:rFonts w:ascii="Cambria Math" w:hAnsi="Cambria Math"/>
                </w:rPr>
                <m:t xml:space="preserve">, </m:t>
              </m:r>
            </m:oMath>
            <w:r w:rsidR="007505A7">
              <w:t xml:space="preserve">where </w:t>
            </w:r>
            <m:oMath>
              <m:r>
                <w:rPr>
                  <w:rFonts w:ascii="Cambria Math" w:hAnsi="Cambria Math"/>
                </w:rPr>
                <m:t>∅</m:t>
              </m:r>
            </m:oMath>
            <w:r w:rsidR="00AB210A">
              <w:t xml:space="preserve"> is an unknown parameter.</w:t>
            </w:r>
          </w:p>
        </w:tc>
      </w:tr>
    </w:tbl>
    <w:p w14:paraId="17E36248" w14:textId="77777777" w:rsidR="0056068E" w:rsidRPr="0056068E" w:rsidRDefault="0056068E" w:rsidP="0056068E"/>
    <w:p w14:paraId="093E2C8A" w14:textId="77777777" w:rsidR="0056068E" w:rsidRPr="0056068E" w:rsidRDefault="0056068E" w:rsidP="0056068E"/>
    <w:p w14:paraId="313F6F71" w14:textId="43FB3C3E" w:rsidR="0056068E" w:rsidRPr="0056068E" w:rsidRDefault="0056068E" w:rsidP="0056068E">
      <w:r w:rsidRPr="0056068E">
        <w:t xml:space="preserve">Q3. Suppose the estimated regression model is </w:t>
      </w:r>
      <m:oMath>
        <m:r>
          <w:rPr>
            <w:rFonts w:ascii="Cambria Math" w:hAnsi="Cambria Math"/>
          </w:rPr>
          <m:t>log</m:t>
        </m:r>
        <m:acc>
          <m:accPr>
            <m:ctrlPr>
              <w:rPr>
                <w:rFonts w:ascii="Cambria Math" w:hAnsi="Cambria Math"/>
                <w:i/>
              </w:rPr>
            </m:ctrlPr>
          </m:accPr>
          <m:e>
            <m:r>
              <w:rPr>
                <w:rFonts w:ascii="Cambria Math" w:hAnsi="Cambria Math"/>
              </w:rPr>
              <m:t>y</m:t>
            </m:r>
          </m:e>
        </m:acc>
        <m:r>
          <w:rPr>
            <w:rFonts w:ascii="Cambria Math" w:hAnsi="Cambria Math"/>
          </w:rPr>
          <m:t>=1.5+0.5logx.</m:t>
        </m:r>
      </m:oMath>
      <w:r w:rsidRPr="0056068E">
        <w:t xml:space="preserve"> Provide an interpretation of the slope coefficient</w:t>
      </w:r>
      <m:oMath>
        <m:r>
          <w:rPr>
            <w:rFonts w:ascii="Cambria Math" w:hAnsi="Cambria Math"/>
          </w:rPr>
          <m:t>.</m:t>
        </m:r>
      </m:oMath>
    </w:p>
    <w:p w14:paraId="69A31C90" w14:textId="77777777" w:rsidR="0056068E" w:rsidRPr="0056068E" w:rsidRDefault="0056068E" w:rsidP="0056068E"/>
    <w:tbl>
      <w:tblPr>
        <w:tblStyle w:val="TableGrid"/>
        <w:tblW w:w="0" w:type="auto"/>
        <w:tblLook w:val="04A0" w:firstRow="1" w:lastRow="0" w:firstColumn="1" w:lastColumn="0" w:noHBand="0" w:noVBand="1"/>
      </w:tblPr>
      <w:tblGrid>
        <w:gridCol w:w="9628"/>
      </w:tblGrid>
      <w:tr w:rsidR="0056068E" w:rsidRPr="0056068E" w14:paraId="08DE622A" w14:textId="77777777" w:rsidTr="00226BC1">
        <w:tc>
          <w:tcPr>
            <w:tcW w:w="9854" w:type="dxa"/>
          </w:tcPr>
          <w:p w14:paraId="1EC1B8E1" w14:textId="717E6786" w:rsidR="0056068E" w:rsidRPr="0056068E" w:rsidRDefault="00D34899" w:rsidP="0056068E">
            <w:pPr>
              <w:spacing w:after="160" w:line="259" w:lineRule="auto"/>
            </w:pPr>
            <w:r>
              <w:t>If 1% increase in x, then it gives rise to an increase in y by 0.5%.</w:t>
            </w:r>
          </w:p>
        </w:tc>
      </w:tr>
    </w:tbl>
    <w:p w14:paraId="5668913D" w14:textId="77777777" w:rsidR="0056068E" w:rsidRPr="0056068E" w:rsidRDefault="0056068E" w:rsidP="0056068E"/>
    <w:p w14:paraId="0498C2E8" w14:textId="77777777" w:rsidR="0056068E" w:rsidRPr="0056068E" w:rsidRDefault="0056068E" w:rsidP="0056068E">
      <w:r w:rsidRPr="0056068E">
        <w:t xml:space="preserve">Q4. Holding other things constant, what is the effect of a larger sample size on the variance of the OLS estimator? Explain. </w:t>
      </w:r>
    </w:p>
    <w:p w14:paraId="7379E76A" w14:textId="77777777" w:rsidR="0056068E" w:rsidRPr="0056068E" w:rsidRDefault="0056068E" w:rsidP="0056068E"/>
    <w:tbl>
      <w:tblPr>
        <w:tblStyle w:val="TableGrid"/>
        <w:tblW w:w="0" w:type="auto"/>
        <w:tblLook w:val="04A0" w:firstRow="1" w:lastRow="0" w:firstColumn="1" w:lastColumn="0" w:noHBand="0" w:noVBand="1"/>
      </w:tblPr>
      <w:tblGrid>
        <w:gridCol w:w="9628"/>
      </w:tblGrid>
      <w:tr w:rsidR="0056068E" w:rsidRPr="0056068E" w14:paraId="2DB3A329" w14:textId="77777777" w:rsidTr="00226BC1">
        <w:tc>
          <w:tcPr>
            <w:tcW w:w="9854" w:type="dxa"/>
          </w:tcPr>
          <w:p w14:paraId="78DFDA12" w14:textId="5CC6053F" w:rsidR="00517408" w:rsidRDefault="006A5B2E" w:rsidP="00600D25">
            <w:pPr>
              <w:spacing w:after="160" w:line="259" w:lineRule="auto"/>
            </w:pPr>
            <w:r>
              <w:t>The effect of a larger sample size (n large) on the variance of the OLS estimator</w:t>
            </w:r>
            <w:r w:rsidR="004A43DB">
              <w:t xml:space="preserve"> </w:t>
            </w:r>
            <w:r w:rsidR="006338D8">
              <w:t xml:space="preserve">tend to </w:t>
            </w:r>
            <w:r w:rsidR="00127A99">
              <w:t>zero</w:t>
            </w:r>
            <w:r w:rsidR="00493EAE">
              <w:t xml:space="preserve"> (decreases)</w:t>
            </w:r>
            <w:r w:rsidR="00127A99">
              <w:t>.</w:t>
            </w:r>
            <w:r w:rsidR="001E7E17">
              <w:t xml:space="preserve"> In formula of variance of OLS </w:t>
            </w:r>
            <w:r w:rsidR="00317E4D">
              <w:t>estimator</w:t>
            </w:r>
            <w:r w:rsidR="00496C4B">
              <w:t xml:space="preserve">, </w:t>
            </w:r>
            <w:r w:rsidR="00C2183E">
              <w:t>“</w:t>
            </w:r>
            <w:r w:rsidR="00496C4B">
              <w:t>n</w:t>
            </w:r>
            <w:r w:rsidR="00C2183E">
              <w:t>”</w:t>
            </w:r>
            <w:r w:rsidR="00496C4B">
              <w:t xml:space="preserve"> shown in indicator </w:t>
            </w:r>
            <w:r w:rsidR="00164DC8">
              <w:t xml:space="preserve">which implies that if </w:t>
            </w:r>
            <w:r w:rsidR="00825241">
              <w:t>“</w:t>
            </w:r>
            <w:r w:rsidR="00164DC8">
              <w:t>n</w:t>
            </w:r>
            <w:r w:rsidR="00825241">
              <w:t>”</w:t>
            </w:r>
            <w:r w:rsidR="00164DC8">
              <w:t xml:space="preserve"> </w:t>
            </w:r>
            <w:r w:rsidR="003D4316">
              <w:t xml:space="preserve">tend to infinity then </w:t>
            </w:r>
            <w:r w:rsidR="006812A3" w:rsidRPr="006812A3">
              <w:t>variance of the OLS estimator</w:t>
            </w:r>
            <w:r w:rsidR="004F1609">
              <w:t xml:space="preserve"> tend to zero</w:t>
            </w:r>
            <w:r w:rsidR="0029310C">
              <w:t>.</w:t>
            </w:r>
          </w:p>
          <w:p w14:paraId="0F4F9C05" w14:textId="77777777" w:rsidR="005C3B76" w:rsidRDefault="005C3B76" w:rsidP="00600D25">
            <w:pPr>
              <w:spacing w:after="160" w:line="259" w:lineRule="auto"/>
            </w:pPr>
            <w:r>
              <w:t>Formula:</w:t>
            </w:r>
          </w:p>
          <w:p w14:paraId="73794FC1" w14:textId="77777777" w:rsidR="005C3B76" w:rsidRDefault="000F1511" w:rsidP="00600D25">
            <w:pPr>
              <w:spacing w:after="160" w:line="259" w:lineRule="auto"/>
            </w:pPr>
            <m:oMath>
              <m:sSubSup>
                <m:sSubSupPr>
                  <m:ctrlPr>
                    <w:rPr>
                      <w:rFonts w:ascii="Cambria Math" w:hAnsi="Cambria Math"/>
                      <w:i/>
                    </w:rPr>
                  </m:ctrlPr>
                </m:sSubSupPr>
                <m:e>
                  <m:r>
                    <w:rPr>
                      <w:rFonts w:ascii="Cambria Math" w:hAnsi="Cambria Math"/>
                    </w:rPr>
                    <m:t>σ</m:t>
                  </m:r>
                </m:e>
                <m:sub>
                  <m:sSup>
                    <m:sSupPr>
                      <m:ctrlPr>
                        <w:rPr>
                          <w:rFonts w:ascii="Cambria Math" w:hAnsi="Cambria Math"/>
                          <w:i/>
                        </w:rPr>
                      </m:ctrlPr>
                    </m:sSupPr>
                    <m:e>
                      <m:r>
                        <w:rPr>
                          <w:rFonts w:ascii="Cambria Math" w:hAnsi="Cambria Math"/>
                        </w:rPr>
                        <m:t>β</m:t>
                      </m:r>
                    </m:e>
                    <m:sup>
                      <m:r>
                        <w:rPr>
                          <w:rFonts w:ascii="Cambria Math" w:hAnsi="Cambria Math"/>
                        </w:rPr>
                        <m:t>1</m:t>
                      </m:r>
                    </m:sup>
                  </m:sSup>
                </m:sub>
                <m:sup>
                  <m:r>
                    <w:rPr>
                      <w:rFonts w:ascii="Cambria Math" w:hAnsi="Cambria Math"/>
                    </w:rPr>
                    <m:t>2</m:t>
                  </m:r>
                </m:sup>
              </m:sSubSup>
            </m:oMath>
            <w:r>
              <w:t>=</w:t>
            </w:r>
            <w:r w:rsidR="00897542">
              <w:t xml:space="preserve"> </w:t>
            </w:r>
            <m:oMath>
              <m:f>
                <m:fPr>
                  <m:ctrlPr>
                    <w:rPr>
                      <w:rFonts w:ascii="Cambria Math" w:hAnsi="Cambria Math"/>
                      <w:i/>
                    </w:rPr>
                  </m:ctrlPr>
                </m:fPr>
                <m:num>
                  <m:d>
                    <m:dPr>
                      <m:ctrlPr>
                        <w:rPr>
                          <w:rFonts w:ascii="Cambria Math" w:hAnsi="Cambria Math"/>
                          <w:i/>
                        </w:rPr>
                      </m:ctrlPr>
                    </m:dPr>
                    <m:e>
                      <m:r>
                        <w:rPr>
                          <w:rFonts w:ascii="Cambria Math" w:hAnsi="Cambria Math"/>
                        </w:rPr>
                        <m:t>var</m:t>
                      </m:r>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e>
                      </m:d>
                      <m:sSub>
                        <m:sSubPr>
                          <m:ctrlPr>
                            <w:rPr>
                              <w:rFonts w:ascii="Cambria Math" w:hAnsi="Cambria Math"/>
                              <w:i/>
                            </w:rPr>
                          </m:ctrlPr>
                        </m:sSubPr>
                        <m:e>
                          <m:r>
                            <w:rPr>
                              <w:rFonts w:ascii="Cambria Math" w:hAnsi="Cambria Math"/>
                            </w:rPr>
                            <m:t>u</m:t>
                          </m:r>
                        </m:e>
                        <m:sub>
                          <m:r>
                            <w:rPr>
                              <w:rFonts w:ascii="Cambria Math" w:hAnsi="Cambria Math"/>
                            </w:rPr>
                            <m:t>i</m:t>
                          </m:r>
                        </m:sub>
                      </m:sSub>
                    </m:e>
                  </m:d>
                </m:num>
                <m:den>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den>
              </m:f>
            </m:oMath>
          </w:p>
          <w:p w14:paraId="13BBD318" w14:textId="5289D304" w:rsidR="005F52B4" w:rsidRDefault="005F52B4" w:rsidP="00600D25">
            <w:pPr>
              <w:spacing w:after="160" w:line="259" w:lineRule="auto"/>
            </w:pPr>
            <w:r>
              <w:t xml:space="preserve">n </w:t>
            </w:r>
            <m:oMath>
              <m:r>
                <w:rPr>
                  <w:rFonts w:ascii="Cambria Math" w:hAnsi="Cambria Math"/>
                </w:rPr>
                <m:t>→∞</m:t>
              </m:r>
            </m:oMath>
            <w:r w:rsidR="00066922">
              <w:t xml:space="preserve"> (Large)</w:t>
            </w:r>
          </w:p>
          <w:p w14:paraId="70314868" w14:textId="29682977" w:rsidR="005F52B4" w:rsidRPr="000F1511" w:rsidRDefault="005F52B4" w:rsidP="00600D25">
            <w:pPr>
              <w:spacing w:after="160" w:line="259" w:lineRule="auto"/>
            </w:pPr>
            <w:r>
              <w:t xml:space="preserve">variance of OLS estimator </w:t>
            </w:r>
            <m:oMath>
              <m:r>
                <w:rPr>
                  <w:rFonts w:ascii="Cambria Math" w:hAnsi="Cambria Math"/>
                </w:rPr>
                <m:t>→0</m:t>
              </m:r>
            </m:oMath>
            <w:r w:rsidR="00066922">
              <w:t xml:space="preserve"> (Decrease)</w:t>
            </w:r>
          </w:p>
        </w:tc>
      </w:tr>
    </w:tbl>
    <w:p w14:paraId="5F872C97" w14:textId="77777777" w:rsidR="0056068E" w:rsidRPr="0056068E" w:rsidRDefault="0056068E" w:rsidP="0056068E"/>
    <w:p w14:paraId="5FC68EBF" w14:textId="77777777" w:rsidR="0056068E" w:rsidRPr="0056068E" w:rsidRDefault="0056068E" w:rsidP="0056068E">
      <w:r w:rsidRPr="0056068E">
        <w:t>Q5. A researcher runs a regression that yields the following result:</w:t>
      </w:r>
    </w:p>
    <w:p w14:paraId="5F5F12D2" w14:textId="0EE00A4B" w:rsidR="0056068E" w:rsidRPr="0056068E" w:rsidRDefault="0056068E" w:rsidP="0056068E">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+0.2</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t-2</m:t>
              </m:r>
            </m:sub>
          </m:sSub>
        </m:oMath>
      </m:oMathPara>
    </w:p>
    <w:p w14:paraId="5D61EF88" w14:textId="6199377A" w:rsidR="0056068E" w:rsidRPr="0056068E" w:rsidRDefault="0056068E" w:rsidP="0056068E">
      <w:r w:rsidRPr="0056068E">
        <w:lastRenderedPageBreak/>
        <w:t xml:space="preserve">Write down the long-run relationship between </w:t>
      </w:r>
      <m:oMath>
        <m:r>
          <w:rPr>
            <w:rFonts w:ascii="Cambria Math" w:hAnsi="Cambria Math"/>
          </w:rPr>
          <m:t>y</m:t>
        </m:r>
      </m:oMath>
      <w:r w:rsidRPr="0056068E">
        <w:t xml:space="preserve"> and </w:t>
      </w:r>
      <m:oMath>
        <m:r>
          <w:rPr>
            <w:rFonts w:ascii="Cambria Math" w:hAnsi="Cambria Math"/>
          </w:rPr>
          <m:t>x.</m:t>
        </m:r>
      </m:oMath>
    </w:p>
    <w:p w14:paraId="112F2E2B" w14:textId="77777777" w:rsidR="0056068E" w:rsidRPr="0056068E" w:rsidRDefault="0056068E" w:rsidP="0056068E"/>
    <w:tbl>
      <w:tblPr>
        <w:tblStyle w:val="TableGrid"/>
        <w:tblW w:w="0" w:type="auto"/>
        <w:tblLook w:val="04A0" w:firstRow="1" w:lastRow="0" w:firstColumn="1" w:lastColumn="0" w:noHBand="0" w:noVBand="1"/>
      </w:tblPr>
      <w:tblGrid>
        <w:gridCol w:w="9628"/>
      </w:tblGrid>
      <w:tr w:rsidR="0056068E" w:rsidRPr="0056068E" w14:paraId="6D80AC79" w14:textId="77777777" w:rsidTr="00226BC1">
        <w:tc>
          <w:tcPr>
            <w:tcW w:w="9854" w:type="dxa"/>
          </w:tcPr>
          <w:p w14:paraId="1E243136" w14:textId="77777777" w:rsidR="0056068E" w:rsidRPr="0056068E" w:rsidRDefault="0056068E" w:rsidP="0056068E">
            <w:pPr>
              <w:spacing w:after="160" w:line="259" w:lineRule="auto"/>
            </w:pPr>
          </w:p>
        </w:tc>
      </w:tr>
    </w:tbl>
    <w:p w14:paraId="7C657F36" w14:textId="77777777" w:rsidR="0056068E" w:rsidRPr="0056068E" w:rsidRDefault="0056068E" w:rsidP="0056068E"/>
    <w:p w14:paraId="6D65EB09" w14:textId="5174BA8E" w:rsidR="0056068E" w:rsidRPr="007E3246" w:rsidRDefault="0056068E" w:rsidP="0056068E">
      <w:r w:rsidRPr="0056068E">
        <w:t xml:space="preserve">Q6. State two violations of the </w:t>
      </w:r>
      <w:r w:rsidRPr="0056068E">
        <w:rPr>
          <w:lang w:val="en-US"/>
        </w:rPr>
        <w:t xml:space="preserve">CLRM assumptions that will give rise to </w:t>
      </w:r>
      <w:r w:rsidRPr="00C349DF">
        <w:rPr>
          <w:lang w:val="en-US"/>
        </w:rPr>
        <w:t>inefficient</w:t>
      </w:r>
      <w:r w:rsidRPr="0056068E">
        <w:rPr>
          <w:lang w:val="en-US"/>
        </w:rPr>
        <w:t xml:space="preserve"> OLS estimators. </w:t>
      </w:r>
    </w:p>
    <w:tbl>
      <w:tblPr>
        <w:tblStyle w:val="TableGrid"/>
        <w:tblW w:w="9928" w:type="dxa"/>
        <w:tblLook w:val="04A0" w:firstRow="1" w:lastRow="0" w:firstColumn="1" w:lastColumn="0" w:noHBand="0" w:noVBand="1"/>
      </w:tblPr>
      <w:tblGrid>
        <w:gridCol w:w="9928"/>
      </w:tblGrid>
      <w:tr w:rsidR="0056068E" w:rsidRPr="0056068E" w14:paraId="2AB9A20A" w14:textId="77777777" w:rsidTr="000776A7">
        <w:trPr>
          <w:trHeight w:val="2074"/>
        </w:trPr>
        <w:tc>
          <w:tcPr>
            <w:tcW w:w="9928" w:type="dxa"/>
          </w:tcPr>
          <w:p w14:paraId="6B5D844B" w14:textId="321E7CB4" w:rsidR="0056068E" w:rsidRDefault="002543B7" w:rsidP="00003262">
            <w:pPr>
              <w:spacing w:after="160" w:line="259" w:lineRule="auto"/>
              <w:rPr>
                <w:bCs/>
              </w:rPr>
            </w:pPr>
            <w:r>
              <w:rPr>
                <w:b/>
              </w:rPr>
              <w:t xml:space="preserve">1. </w:t>
            </w:r>
            <w:r>
              <w:rPr>
                <w:bCs/>
              </w:rPr>
              <w:t xml:space="preserve">When </w:t>
            </w:r>
            <w:r w:rsidR="00B85818" w:rsidRPr="00B85818">
              <w:rPr>
                <w:bCs/>
              </w:rPr>
              <w:t>the conditional expected value of the error term</w:t>
            </w:r>
            <w:r w:rsidR="00B85818">
              <w:rPr>
                <w:bCs/>
              </w:rPr>
              <w:t xml:space="preserve"> </w:t>
            </w:r>
            <m:oMath>
              <m:sSub>
                <m:sSubPr>
                  <m:ctrlPr>
                    <w:rPr>
                      <w:rFonts w:ascii="Cambria Math" w:hAnsi="Cambria Math"/>
                      <w:bCs/>
                      <w:i/>
                    </w:rPr>
                  </m:ctrlPr>
                </m:sSubPr>
                <m:e>
                  <m:r>
                    <w:rPr>
                      <w:rFonts w:ascii="Cambria Math" w:hAnsi="Cambria Math"/>
                    </w:rPr>
                    <m:t>∈</m:t>
                  </m:r>
                </m:e>
                <m:sub>
                  <m:r>
                    <w:rPr>
                      <w:rFonts w:ascii="Cambria Math" w:hAnsi="Cambria Math"/>
                    </w:rPr>
                    <m:t>i</m:t>
                  </m:r>
                </m:sub>
              </m:sSub>
              <m:r>
                <w:rPr>
                  <w:rFonts w:ascii="Cambria Math" w:hAnsi="Cambria Math"/>
                </w:rPr>
                <m:t xml:space="preserve">|X≠0, </m:t>
              </m:r>
            </m:oMath>
            <w:r w:rsidR="009A2E68">
              <w:rPr>
                <w:bCs/>
              </w:rPr>
              <w:t>but a non-zero constant c, i.e., E(</w:t>
            </w:r>
            <m:oMath>
              <m:sSub>
                <m:sSubPr>
                  <m:ctrlPr>
                    <w:rPr>
                      <w:rFonts w:ascii="Cambria Math" w:hAnsi="Cambria Math"/>
                      <w:bCs/>
                      <w:i/>
                    </w:rPr>
                  </m:ctrlPr>
                </m:sSubPr>
                <m:e>
                  <m:r>
                    <w:rPr>
                      <w:rFonts w:ascii="Cambria Math" w:hAnsi="Cambria Math"/>
                    </w:rPr>
                    <m:t>∈</m:t>
                  </m:r>
                </m:e>
                <m:sub>
                  <m:r>
                    <w:rPr>
                      <w:rFonts w:ascii="Cambria Math" w:hAnsi="Cambria Math"/>
                    </w:rPr>
                    <m:t>i</m:t>
                  </m:r>
                </m:sub>
              </m:sSub>
              <m:d>
                <m:dPr>
                  <m:begChr m:val="|"/>
                  <m:ctrlPr>
                    <w:rPr>
                      <w:rFonts w:ascii="Cambria Math" w:hAnsi="Cambria Math"/>
                      <w:bCs/>
                      <w:i/>
                    </w:rPr>
                  </m:ctrlPr>
                </m:dPr>
                <m:e>
                  <m:r>
                    <w:rPr>
                      <w:rFonts w:ascii="Cambria Math" w:hAnsi="Cambria Math"/>
                    </w:rPr>
                    <m:t>X</m:t>
                  </m:r>
                </m:e>
              </m:d>
              <m:r>
                <w:rPr>
                  <w:rFonts w:ascii="Cambria Math" w:hAnsi="Cambria Math"/>
                </w:rPr>
                <m:t>=c</m:t>
              </m:r>
            </m:oMath>
            <w:r w:rsidR="009A2E68">
              <w:rPr>
                <w:bCs/>
              </w:rPr>
              <w:t xml:space="preserve">. </w:t>
            </w:r>
            <w:r w:rsidR="001509E6">
              <w:rPr>
                <w:bCs/>
              </w:rPr>
              <w:t>This case violates</w:t>
            </w:r>
            <w:r w:rsidR="00105811">
              <w:rPr>
                <w:bCs/>
              </w:rPr>
              <w:t xml:space="preserve"> when</w:t>
            </w:r>
            <w:r w:rsidR="001509E6">
              <w:rPr>
                <w:bCs/>
              </w:rPr>
              <w:t xml:space="preserve"> </w:t>
            </w:r>
            <w:r w:rsidR="001509E6">
              <w:rPr>
                <w:bCs/>
              </w:rPr>
              <w:t>E(</w:t>
            </w:r>
            <m:oMath>
              <m:sSub>
                <m:sSubPr>
                  <m:ctrlPr>
                    <w:rPr>
                      <w:rFonts w:ascii="Cambria Math" w:hAnsi="Cambria Math"/>
                      <w:bCs/>
                      <w:i/>
                    </w:rPr>
                  </m:ctrlPr>
                </m:sSubPr>
                <m:e>
                  <m:r>
                    <w:rPr>
                      <w:rFonts w:ascii="Cambria Math" w:hAnsi="Cambria Math"/>
                    </w:rPr>
                    <m:t>∈</m:t>
                  </m:r>
                </m:e>
                <m:sub>
                  <m:r>
                    <w:rPr>
                      <w:rFonts w:ascii="Cambria Math" w:hAnsi="Cambria Math"/>
                    </w:rPr>
                    <m:t>i</m:t>
                  </m:r>
                </m:sub>
              </m:sSub>
              <m:d>
                <m:dPr>
                  <m:begChr m:val="|"/>
                  <m:ctrlPr>
                    <w:rPr>
                      <w:rFonts w:ascii="Cambria Math" w:hAnsi="Cambria Math"/>
                      <w:bCs/>
                      <w:i/>
                    </w:rPr>
                  </m:ctrlPr>
                </m:dPr>
                <m:e>
                  <m:r>
                    <w:rPr>
                      <w:rFonts w:ascii="Cambria Math" w:hAnsi="Cambria Math"/>
                    </w:rPr>
                    <m:t>X</m:t>
                  </m:r>
                </m:e>
              </m:d>
              <m:r>
                <w:rPr>
                  <w:rFonts w:ascii="Cambria Math" w:hAnsi="Cambria Math"/>
                </w:rPr>
                <m:t>=0</m:t>
              </m:r>
            </m:oMath>
            <w:r w:rsidR="001509E6">
              <w:rPr>
                <w:bCs/>
              </w:rPr>
              <w:t xml:space="preserve"> , </w:t>
            </w:r>
            <w:r w:rsidR="00713B7E">
              <w:rPr>
                <w:bCs/>
              </w:rPr>
              <w:t xml:space="preserve">implies that </w:t>
            </w:r>
            <w:r w:rsidR="001509E6" w:rsidRPr="001509E6">
              <w:rPr>
                <w:bCs/>
              </w:rPr>
              <w:t>wrongly estimated intercept</w:t>
            </w:r>
            <w:r w:rsidR="001509E6">
              <w:rPr>
                <w:bCs/>
              </w:rPr>
              <w:t xml:space="preserve"> </w:t>
            </w:r>
            <w:r w:rsidR="00003262" w:rsidRPr="00003262">
              <w:rPr>
                <w:bCs/>
              </w:rPr>
              <w:t>while the other beta coefficients are not affected</w:t>
            </w:r>
            <w:r w:rsidR="00003262">
              <w:rPr>
                <w:bCs/>
              </w:rPr>
              <w:t>.</w:t>
            </w:r>
          </w:p>
          <w:p w14:paraId="1D10DB4C" w14:textId="20679F3F" w:rsidR="00B13EF6" w:rsidRPr="00647653" w:rsidRDefault="00B13EF6" w:rsidP="00003262">
            <w:pPr>
              <w:spacing w:after="160" w:line="259" w:lineRule="auto"/>
              <w:rPr>
                <w:rFonts w:ascii="Cambria Math" w:hAnsi="Cambria Math"/>
                <w:bCs/>
                <w:i/>
              </w:rPr>
            </w:pPr>
            <w:r>
              <w:rPr>
                <w:b/>
              </w:rPr>
              <w:t>2.</w:t>
            </w:r>
            <w:r w:rsidRPr="00297874">
              <w:rPr>
                <w:bCs/>
              </w:rPr>
              <w:t xml:space="preserve"> </w:t>
            </w:r>
            <w:r w:rsidR="00952195">
              <w:rPr>
                <w:bCs/>
              </w:rPr>
              <w:t xml:space="preserve">Suppose least squares is used to fit a line relating </w:t>
            </w:r>
            <w:r w:rsidR="00C1709A">
              <w:rPr>
                <w:bCs/>
              </w:rPr>
              <w:t>y and x</w:t>
            </w:r>
            <w:r w:rsidR="00932DF2">
              <w:rPr>
                <w:bCs/>
              </w:rPr>
              <w:t>, yi = b1+b2xi+ei</w:t>
            </w:r>
            <w:r w:rsidR="00B76548">
              <w:rPr>
                <w:bCs/>
              </w:rPr>
              <w:t>.</w:t>
            </w:r>
            <w:r w:rsidR="00435C18">
              <w:rPr>
                <w:bCs/>
              </w:rPr>
              <w:t xml:space="preserve"> </w:t>
            </w:r>
            <w:r w:rsidR="004B5E76">
              <w:rPr>
                <w:bCs/>
              </w:rPr>
              <w:t xml:space="preserve">Assume that in our data all the x’s </w:t>
            </w:r>
            <w:r w:rsidR="00446619">
              <w:rPr>
                <w:bCs/>
              </w:rPr>
              <w:t xml:space="preserve">are identical, so that at least </w:t>
            </w:r>
            <w:r w:rsidR="009748D5">
              <w:rPr>
                <w:bCs/>
              </w:rPr>
              <w:t xml:space="preserve">some of the x’s are different from </w:t>
            </w:r>
            <w:r w:rsidR="00A95BB3">
              <w:rPr>
                <w:bCs/>
              </w:rPr>
              <w:t xml:space="preserve">their sample mean x bar. </w:t>
            </w:r>
            <w:r w:rsidR="00A71E1C">
              <w:rPr>
                <w:bCs/>
              </w:rPr>
              <w:t xml:space="preserve">When the least square estimators “inefficient” </w:t>
            </w:r>
            <w:r w:rsidR="00697C8D">
              <w:rPr>
                <w:bCs/>
              </w:rPr>
              <w:t xml:space="preserve">of biased estimators. </w:t>
            </w:r>
            <w:r w:rsidR="00C669C4">
              <w:rPr>
                <w:bCs/>
              </w:rPr>
              <w:t>Thus,</w:t>
            </w:r>
            <w:r w:rsidR="00F16ED8">
              <w:rPr>
                <w:bCs/>
              </w:rPr>
              <w:t xml:space="preserve"> </w:t>
            </w:r>
            <w:r w:rsidR="000A14E3">
              <w:rPr>
                <w:bCs/>
              </w:rPr>
              <w:t>E</w:t>
            </w:r>
            <w:r w:rsidR="007A5AA1">
              <w:rPr>
                <w:bCs/>
              </w:rPr>
              <w:t xml:space="preserve"> </w:t>
            </w:r>
            <w:r w:rsidR="000A14E3">
              <w:rPr>
                <w:bCs/>
              </w:rPr>
              <w:t>(</w:t>
            </w:r>
            <m:oMath>
              <m:sSub>
                <m:sSubPr>
                  <m:ctrlPr>
                    <w:rPr>
                      <w:rFonts w:ascii="Cambria Math" w:hAnsi="Cambria Math"/>
                      <w:bCs/>
                      <w:i/>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≠0,  cov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bCs/>
                          <w:i/>
                        </w:rPr>
                      </m:ctrlPr>
                    </m:sSubPr>
                    <m:e>
                      <m:r>
                        <w:rPr>
                          <w:rFonts w:ascii="Cambria Math" w:hAnsi="Cambria Math"/>
                        </w:rPr>
                        <m:t>ϵ</m:t>
                      </m:r>
                    </m:e>
                    <m:sub>
                      <m:r>
                        <w:rPr>
                          <w:rFonts w:ascii="Cambria Math" w:hAnsi="Cambria Math"/>
                        </w:rPr>
                        <m:t>i</m:t>
                      </m:r>
                    </m:sub>
                  </m:sSub>
                </m:e>
              </m:d>
              <m:r>
                <w:rPr>
                  <w:rFonts w:ascii="Cambria Math" w:hAnsi="Cambria Math"/>
                </w:rPr>
                <m:t xml:space="preserve">=0, homoskedasticity-var </m:t>
              </m:r>
              <m:d>
                <m:dPr>
                  <m:ctrlPr>
                    <w:rPr>
                      <w:rFonts w:ascii="Cambria Math" w:hAnsi="Cambria Math"/>
                      <w:bCs/>
                      <w:i/>
                    </w:rPr>
                  </m:ctrlPr>
                </m:dPr>
                <m:e>
                  <m:sSub>
                    <m:sSubPr>
                      <m:ctrlPr>
                        <w:rPr>
                          <w:rFonts w:ascii="Cambria Math" w:hAnsi="Cambria Math"/>
                          <w:bCs/>
                          <w:i/>
                        </w:rPr>
                      </m:ctrlPr>
                    </m:sSubPr>
                    <m:e>
                      <m:r>
                        <w:rPr>
                          <w:rFonts w:ascii="Cambria Math" w:hAnsi="Cambria Math"/>
                        </w:rPr>
                        <m:t>ε</m:t>
                      </m:r>
                    </m:e>
                    <m:sub>
                      <m:r>
                        <w:rPr>
                          <w:rFonts w:ascii="Cambria Math" w:hAnsi="Cambria Math"/>
                        </w:rPr>
                        <m:t>i</m:t>
                      </m:r>
                    </m:sub>
                  </m:sSub>
                </m:e>
              </m:d>
              <m:r>
                <w:rPr>
                  <w:rFonts w:ascii="Cambria Math" w:hAnsi="Cambria Math"/>
                </w:rPr>
                <m:t xml:space="preserve">≠ </m:t>
              </m:r>
              <m:sSup>
                <m:sSupPr>
                  <m:ctrlPr>
                    <w:rPr>
                      <w:rFonts w:ascii="Cambria Math" w:hAnsi="Cambria Math"/>
                      <w:bCs/>
                      <w:i/>
                    </w:rPr>
                  </m:ctrlPr>
                </m:sSupPr>
                <m:e>
                  <m:r>
                    <w:rPr>
                      <w:rFonts w:ascii="Cambria Math" w:hAnsi="Cambria Math"/>
                    </w:rPr>
                    <m:t>σ</m:t>
                  </m:r>
                </m:e>
                <m:sup>
                  <m:r>
                    <w:rPr>
                      <w:rFonts w:ascii="Cambria Math" w:hAnsi="Cambria Math"/>
                    </w:rPr>
                    <m:t>2</m:t>
                  </m:r>
                </m:sup>
              </m:sSup>
            </m:oMath>
            <w:r w:rsidR="005F7CE6">
              <w:rPr>
                <w:bCs/>
              </w:rPr>
              <w:t>, a constant.</w:t>
            </w:r>
            <w:r w:rsidR="00C16349">
              <w:rPr>
                <w:bCs/>
              </w:rPr>
              <w:t xml:space="preserve"> </w:t>
            </w:r>
            <w:r w:rsidR="00C669C4">
              <w:rPr>
                <w:bCs/>
              </w:rPr>
              <w:t>Hence,</w:t>
            </w:r>
            <w:r w:rsidR="00C16349">
              <w:rPr>
                <w:bCs/>
              </w:rPr>
              <w:t xml:space="preserve"> the</w:t>
            </w:r>
            <w:r w:rsidR="00A26B8E">
              <w:rPr>
                <w:bCs/>
              </w:rPr>
              <w:t xml:space="preserve">se are the </w:t>
            </w:r>
            <w:r w:rsidR="00C16349">
              <w:rPr>
                <w:bCs/>
              </w:rPr>
              <w:t>violations of the CLRM</w:t>
            </w:r>
            <w:r w:rsidR="00226FEA">
              <w:rPr>
                <w:bCs/>
              </w:rPr>
              <w:t xml:space="preserve"> </w:t>
            </w:r>
            <w:r w:rsidR="00A26B8E">
              <w:rPr>
                <w:bCs/>
              </w:rPr>
              <w:t>assumptions.</w:t>
            </w:r>
          </w:p>
        </w:tc>
      </w:tr>
    </w:tbl>
    <w:p w14:paraId="7DA86697" w14:textId="77777777" w:rsidR="0056068E" w:rsidRDefault="0056068E" w:rsidP="0056068E">
      <w:pPr>
        <w:rPr>
          <w:b/>
        </w:rPr>
      </w:pPr>
    </w:p>
    <w:p w14:paraId="2B8A52BC" w14:textId="407499EE" w:rsidR="0056068E" w:rsidRPr="0056068E" w:rsidRDefault="0056068E" w:rsidP="0056068E">
      <w:pPr>
        <w:rPr>
          <w:b/>
        </w:rPr>
      </w:pPr>
      <w:r w:rsidRPr="0056068E">
        <w:t>Use this information to answer Q7 to Q10.</w:t>
      </w:r>
    </w:p>
    <w:p w14:paraId="09F677ED" w14:textId="77777777" w:rsidR="0056068E" w:rsidRPr="0056068E" w:rsidRDefault="0056068E" w:rsidP="0056068E">
      <w:r w:rsidRPr="0056068E">
        <w:t>A real estate agent collects a dataset comprising 88 houses and their characteristics. The house features are:</w:t>
      </w:r>
    </w:p>
    <w:p w14:paraId="4F638741" w14:textId="77777777" w:rsidR="0056068E" w:rsidRPr="0056068E" w:rsidRDefault="0056068E" w:rsidP="0056068E">
      <w:pPr>
        <w:numPr>
          <w:ilvl w:val="0"/>
          <w:numId w:val="1"/>
        </w:numPr>
        <w:rPr>
          <w:lang w:val="en-US"/>
        </w:rPr>
      </w:pPr>
      <w:r w:rsidRPr="0056068E">
        <w:rPr>
          <w:lang w:val="en-US"/>
        </w:rPr>
        <w:t>assess = the assessed value of the house ($’000)</w:t>
      </w:r>
    </w:p>
    <w:p w14:paraId="38489F62" w14:textId="77777777" w:rsidR="0056068E" w:rsidRPr="0056068E" w:rsidRDefault="0056068E" w:rsidP="0056068E">
      <w:pPr>
        <w:numPr>
          <w:ilvl w:val="0"/>
          <w:numId w:val="1"/>
        </w:numPr>
        <w:rPr>
          <w:lang w:val="en-US"/>
        </w:rPr>
      </w:pPr>
      <w:r w:rsidRPr="0056068E">
        <w:rPr>
          <w:lang w:val="en-US"/>
        </w:rPr>
        <w:t>bdrms = the number of bedrooms</w:t>
      </w:r>
    </w:p>
    <w:p w14:paraId="5517331D" w14:textId="77777777" w:rsidR="0056068E" w:rsidRPr="0056068E" w:rsidRDefault="0056068E" w:rsidP="0056068E">
      <w:pPr>
        <w:numPr>
          <w:ilvl w:val="0"/>
          <w:numId w:val="1"/>
        </w:numPr>
        <w:rPr>
          <w:lang w:val="en-US"/>
        </w:rPr>
      </w:pPr>
      <w:r w:rsidRPr="0056068E">
        <w:rPr>
          <w:lang w:val="en-US"/>
        </w:rPr>
        <w:t>colonial = a dummy which equals 1 if the house has a colonial style</w:t>
      </w:r>
    </w:p>
    <w:p w14:paraId="7610C86F" w14:textId="77777777" w:rsidR="0056068E" w:rsidRPr="0056068E" w:rsidRDefault="0056068E" w:rsidP="0056068E">
      <w:pPr>
        <w:numPr>
          <w:ilvl w:val="0"/>
          <w:numId w:val="1"/>
        </w:numPr>
        <w:rPr>
          <w:lang w:val="en-US"/>
        </w:rPr>
      </w:pPr>
      <w:r w:rsidRPr="0056068E">
        <w:rPr>
          <w:lang w:val="en-US"/>
        </w:rPr>
        <w:t>price = the price of the house ($’000)</w:t>
      </w:r>
    </w:p>
    <w:p w14:paraId="7CE62F8D" w14:textId="77777777" w:rsidR="0056068E" w:rsidRPr="0056068E" w:rsidRDefault="0056068E" w:rsidP="0056068E">
      <w:pPr>
        <w:numPr>
          <w:ilvl w:val="0"/>
          <w:numId w:val="1"/>
        </w:numPr>
        <w:rPr>
          <w:lang w:val="en-US"/>
        </w:rPr>
      </w:pPr>
      <w:r w:rsidRPr="0056068E">
        <w:rPr>
          <w:lang w:val="en-US"/>
        </w:rPr>
        <w:t>sqrft = the size of the house in square feet</w:t>
      </w:r>
    </w:p>
    <w:p w14:paraId="25BB1D59" w14:textId="43CE0241" w:rsidR="0056068E" w:rsidRDefault="0056068E" w:rsidP="0056068E">
      <w:pPr>
        <w:numPr>
          <w:ilvl w:val="0"/>
          <w:numId w:val="1"/>
        </w:numPr>
        <w:rPr>
          <w:lang w:val="en-US"/>
        </w:rPr>
      </w:pPr>
      <w:r w:rsidRPr="0056068E">
        <w:rPr>
          <w:lang w:val="en-US"/>
        </w:rPr>
        <w:t>lotsize = the size of the lot (the area where the house resides) in square feet</w:t>
      </w:r>
    </w:p>
    <w:p w14:paraId="51394444" w14:textId="77777777" w:rsidR="00CC6FEE" w:rsidRPr="0056068E" w:rsidRDefault="00CC6FEE" w:rsidP="00CC6FEE">
      <w:pPr>
        <w:rPr>
          <w:lang w:val="en-US"/>
        </w:rPr>
      </w:pPr>
    </w:p>
    <w:p w14:paraId="1C17552C" w14:textId="1EF648C4" w:rsidR="0056068E" w:rsidRDefault="0056068E" w:rsidP="0056068E">
      <w:r w:rsidRPr="0056068E">
        <w:t>The table below shows the correlation between the variables of interest.</w:t>
      </w:r>
    </w:p>
    <w:p w14:paraId="69523A61" w14:textId="77777777" w:rsidR="00ED30C8" w:rsidRPr="0056068E" w:rsidRDefault="00ED30C8" w:rsidP="0056068E"/>
    <w:tbl>
      <w:tblPr>
        <w:tblStyle w:val="TableGrid"/>
        <w:tblW w:w="0" w:type="auto"/>
        <w:tblLayout w:type="fixed"/>
        <w:tblLook w:val="0000" w:firstRow="0" w:lastRow="0" w:firstColumn="0" w:lastColumn="0" w:noHBand="0" w:noVBand="0"/>
      </w:tblPr>
      <w:tblGrid>
        <w:gridCol w:w="1311"/>
        <w:gridCol w:w="1343"/>
        <w:gridCol w:w="1342"/>
        <w:gridCol w:w="1343"/>
        <w:gridCol w:w="1342"/>
        <w:gridCol w:w="1343"/>
        <w:gridCol w:w="1342"/>
      </w:tblGrid>
      <w:tr w:rsidR="00112037" w:rsidRPr="0056068E" w14:paraId="6C2D206A" w14:textId="77777777" w:rsidTr="00112037">
        <w:trPr>
          <w:trHeight w:val="386"/>
        </w:trPr>
        <w:tc>
          <w:tcPr>
            <w:tcW w:w="1311" w:type="dxa"/>
          </w:tcPr>
          <w:p w14:paraId="462B293D" w14:textId="77777777" w:rsidR="0056068E" w:rsidRPr="0056068E" w:rsidRDefault="0056068E" w:rsidP="0056068E"/>
        </w:tc>
        <w:tc>
          <w:tcPr>
            <w:tcW w:w="1343" w:type="dxa"/>
          </w:tcPr>
          <w:p w14:paraId="00D9E21B" w14:textId="77777777" w:rsidR="0056068E" w:rsidRPr="0056068E" w:rsidRDefault="0056068E" w:rsidP="0056068E">
            <w:r w:rsidRPr="0056068E">
              <w:t>LOTSIZE</w:t>
            </w:r>
          </w:p>
        </w:tc>
        <w:tc>
          <w:tcPr>
            <w:tcW w:w="1342" w:type="dxa"/>
          </w:tcPr>
          <w:p w14:paraId="41C3CA39" w14:textId="77777777" w:rsidR="0056068E" w:rsidRPr="0056068E" w:rsidRDefault="0056068E" w:rsidP="0056068E">
            <w:r w:rsidRPr="0056068E">
              <w:t>SQRFT</w:t>
            </w:r>
          </w:p>
        </w:tc>
        <w:tc>
          <w:tcPr>
            <w:tcW w:w="1343" w:type="dxa"/>
          </w:tcPr>
          <w:p w14:paraId="0F31D131" w14:textId="77777777" w:rsidR="0056068E" w:rsidRPr="0056068E" w:rsidRDefault="0056068E" w:rsidP="0056068E">
            <w:r w:rsidRPr="0056068E">
              <w:t>PRICE</w:t>
            </w:r>
          </w:p>
        </w:tc>
        <w:tc>
          <w:tcPr>
            <w:tcW w:w="1342" w:type="dxa"/>
          </w:tcPr>
          <w:p w14:paraId="0532F3A3" w14:textId="77777777" w:rsidR="0056068E" w:rsidRPr="0056068E" w:rsidRDefault="0056068E" w:rsidP="0056068E">
            <w:r w:rsidRPr="0056068E">
              <w:t>ASSESS</w:t>
            </w:r>
          </w:p>
        </w:tc>
        <w:tc>
          <w:tcPr>
            <w:tcW w:w="1343" w:type="dxa"/>
          </w:tcPr>
          <w:p w14:paraId="0EB9557D" w14:textId="77777777" w:rsidR="0056068E" w:rsidRPr="0056068E" w:rsidRDefault="0056068E" w:rsidP="0056068E">
            <w:r w:rsidRPr="0056068E">
              <w:t>BDRMS</w:t>
            </w:r>
          </w:p>
        </w:tc>
        <w:tc>
          <w:tcPr>
            <w:tcW w:w="1342" w:type="dxa"/>
          </w:tcPr>
          <w:p w14:paraId="77114265" w14:textId="77777777" w:rsidR="0056068E" w:rsidRPr="0056068E" w:rsidRDefault="0056068E" w:rsidP="0056068E">
            <w:r w:rsidRPr="0056068E">
              <w:t>COLONIAL</w:t>
            </w:r>
          </w:p>
        </w:tc>
      </w:tr>
      <w:tr w:rsidR="0056068E" w:rsidRPr="0056068E" w14:paraId="57AA72F1" w14:textId="77777777" w:rsidTr="00112037">
        <w:trPr>
          <w:trHeight w:val="386"/>
        </w:trPr>
        <w:tc>
          <w:tcPr>
            <w:tcW w:w="1311" w:type="dxa"/>
          </w:tcPr>
          <w:p w14:paraId="1A4168F0" w14:textId="77777777" w:rsidR="0056068E" w:rsidRPr="0056068E" w:rsidRDefault="0056068E" w:rsidP="0056068E">
            <w:r w:rsidRPr="0056068E">
              <w:t>LOTSIZE</w:t>
            </w:r>
          </w:p>
        </w:tc>
        <w:tc>
          <w:tcPr>
            <w:tcW w:w="1343" w:type="dxa"/>
          </w:tcPr>
          <w:p w14:paraId="5A637E5A" w14:textId="77777777" w:rsidR="0056068E" w:rsidRPr="0056068E" w:rsidRDefault="0056068E" w:rsidP="0056068E">
            <w:r w:rsidRPr="0056068E">
              <w:t> 1.000000</w:t>
            </w:r>
          </w:p>
        </w:tc>
        <w:tc>
          <w:tcPr>
            <w:tcW w:w="1342" w:type="dxa"/>
          </w:tcPr>
          <w:p w14:paraId="35F32141" w14:textId="77777777" w:rsidR="0056068E" w:rsidRPr="0056068E" w:rsidRDefault="0056068E" w:rsidP="0056068E">
            <w:r w:rsidRPr="0056068E">
              <w:t> 0.183842</w:t>
            </w:r>
          </w:p>
        </w:tc>
        <w:tc>
          <w:tcPr>
            <w:tcW w:w="1343" w:type="dxa"/>
          </w:tcPr>
          <w:p w14:paraId="4B4F9D4B" w14:textId="77777777" w:rsidR="0056068E" w:rsidRPr="0056068E" w:rsidRDefault="0056068E" w:rsidP="0056068E">
            <w:r w:rsidRPr="0056068E">
              <w:t> 0.347124</w:t>
            </w:r>
          </w:p>
        </w:tc>
        <w:tc>
          <w:tcPr>
            <w:tcW w:w="1342" w:type="dxa"/>
          </w:tcPr>
          <w:p w14:paraId="4852288D" w14:textId="77777777" w:rsidR="0056068E" w:rsidRPr="0056068E" w:rsidRDefault="0056068E" w:rsidP="0056068E">
            <w:r w:rsidRPr="0056068E">
              <w:t> 0.328146</w:t>
            </w:r>
          </w:p>
        </w:tc>
        <w:tc>
          <w:tcPr>
            <w:tcW w:w="1343" w:type="dxa"/>
          </w:tcPr>
          <w:p w14:paraId="12EA8F0E" w14:textId="77777777" w:rsidR="0056068E" w:rsidRPr="0056068E" w:rsidRDefault="0056068E" w:rsidP="0056068E">
            <w:r w:rsidRPr="0056068E">
              <w:t> 0.136326</w:t>
            </w:r>
          </w:p>
        </w:tc>
        <w:tc>
          <w:tcPr>
            <w:tcW w:w="1342" w:type="dxa"/>
          </w:tcPr>
          <w:p w14:paraId="4B7EB9CB" w14:textId="77777777" w:rsidR="0056068E" w:rsidRPr="0056068E" w:rsidRDefault="0056068E" w:rsidP="0056068E">
            <w:r w:rsidRPr="0056068E">
              <w:t> 0.014019</w:t>
            </w:r>
          </w:p>
        </w:tc>
      </w:tr>
      <w:tr w:rsidR="00112037" w:rsidRPr="0056068E" w14:paraId="0B60DC53" w14:textId="77777777" w:rsidTr="00112037">
        <w:trPr>
          <w:trHeight w:val="386"/>
        </w:trPr>
        <w:tc>
          <w:tcPr>
            <w:tcW w:w="1311" w:type="dxa"/>
          </w:tcPr>
          <w:p w14:paraId="41086B5B" w14:textId="77777777" w:rsidR="0056068E" w:rsidRPr="0056068E" w:rsidRDefault="0056068E" w:rsidP="0056068E">
            <w:r w:rsidRPr="0056068E">
              <w:t>SQRFT</w:t>
            </w:r>
          </w:p>
        </w:tc>
        <w:tc>
          <w:tcPr>
            <w:tcW w:w="1343" w:type="dxa"/>
          </w:tcPr>
          <w:p w14:paraId="7B0B59CC" w14:textId="77777777" w:rsidR="0056068E" w:rsidRPr="0056068E" w:rsidRDefault="0056068E" w:rsidP="0056068E">
            <w:r w:rsidRPr="0056068E">
              <w:t> 0.183842</w:t>
            </w:r>
          </w:p>
        </w:tc>
        <w:tc>
          <w:tcPr>
            <w:tcW w:w="1342" w:type="dxa"/>
          </w:tcPr>
          <w:p w14:paraId="7D80DBD8" w14:textId="77777777" w:rsidR="0056068E" w:rsidRPr="0056068E" w:rsidRDefault="0056068E" w:rsidP="0056068E">
            <w:r w:rsidRPr="0056068E">
              <w:t> 1.000000</w:t>
            </w:r>
          </w:p>
        </w:tc>
        <w:tc>
          <w:tcPr>
            <w:tcW w:w="1343" w:type="dxa"/>
          </w:tcPr>
          <w:p w14:paraId="537EEDAC" w14:textId="77777777" w:rsidR="0056068E" w:rsidRPr="0056068E" w:rsidRDefault="0056068E" w:rsidP="0056068E">
            <w:r w:rsidRPr="0056068E">
              <w:t> 0.787907</w:t>
            </w:r>
          </w:p>
        </w:tc>
        <w:tc>
          <w:tcPr>
            <w:tcW w:w="1342" w:type="dxa"/>
          </w:tcPr>
          <w:p w14:paraId="4770B13B" w14:textId="77777777" w:rsidR="0056068E" w:rsidRPr="0056068E" w:rsidRDefault="0056068E" w:rsidP="0056068E">
            <w:r w:rsidRPr="0056068E">
              <w:t> 0.865634</w:t>
            </w:r>
          </w:p>
        </w:tc>
        <w:tc>
          <w:tcPr>
            <w:tcW w:w="1343" w:type="dxa"/>
          </w:tcPr>
          <w:p w14:paraId="494C04CB" w14:textId="77777777" w:rsidR="0056068E" w:rsidRPr="0056068E" w:rsidRDefault="0056068E" w:rsidP="0056068E">
            <w:r w:rsidRPr="0056068E">
              <w:t> 0.531474</w:t>
            </w:r>
          </w:p>
        </w:tc>
        <w:tc>
          <w:tcPr>
            <w:tcW w:w="1342" w:type="dxa"/>
          </w:tcPr>
          <w:p w14:paraId="0460A9DB" w14:textId="77777777" w:rsidR="0056068E" w:rsidRPr="0056068E" w:rsidRDefault="0056068E" w:rsidP="0056068E">
            <w:r w:rsidRPr="0056068E">
              <w:t> 0.065421</w:t>
            </w:r>
          </w:p>
        </w:tc>
      </w:tr>
      <w:tr w:rsidR="0056068E" w:rsidRPr="0056068E" w14:paraId="652E4714" w14:textId="77777777" w:rsidTr="00112037">
        <w:trPr>
          <w:trHeight w:val="386"/>
        </w:trPr>
        <w:tc>
          <w:tcPr>
            <w:tcW w:w="1311" w:type="dxa"/>
          </w:tcPr>
          <w:p w14:paraId="1DF1249C" w14:textId="77777777" w:rsidR="0056068E" w:rsidRPr="0056068E" w:rsidRDefault="0056068E" w:rsidP="0056068E">
            <w:r w:rsidRPr="0056068E">
              <w:t>PRICE</w:t>
            </w:r>
          </w:p>
        </w:tc>
        <w:tc>
          <w:tcPr>
            <w:tcW w:w="1343" w:type="dxa"/>
          </w:tcPr>
          <w:p w14:paraId="471640F3" w14:textId="77777777" w:rsidR="0056068E" w:rsidRPr="0056068E" w:rsidRDefault="0056068E" w:rsidP="0056068E">
            <w:r w:rsidRPr="0056068E">
              <w:t> 0.347124</w:t>
            </w:r>
          </w:p>
        </w:tc>
        <w:tc>
          <w:tcPr>
            <w:tcW w:w="1342" w:type="dxa"/>
          </w:tcPr>
          <w:p w14:paraId="3BC680AC" w14:textId="77777777" w:rsidR="0056068E" w:rsidRPr="0056068E" w:rsidRDefault="0056068E" w:rsidP="0056068E">
            <w:r w:rsidRPr="0056068E">
              <w:t> 0.787907</w:t>
            </w:r>
          </w:p>
        </w:tc>
        <w:tc>
          <w:tcPr>
            <w:tcW w:w="1343" w:type="dxa"/>
          </w:tcPr>
          <w:p w14:paraId="49430A85" w14:textId="77777777" w:rsidR="0056068E" w:rsidRPr="0056068E" w:rsidRDefault="0056068E" w:rsidP="0056068E">
            <w:r w:rsidRPr="0056068E">
              <w:t> 1.000000</w:t>
            </w:r>
          </w:p>
        </w:tc>
        <w:tc>
          <w:tcPr>
            <w:tcW w:w="1342" w:type="dxa"/>
          </w:tcPr>
          <w:p w14:paraId="2BF76776" w14:textId="77777777" w:rsidR="0056068E" w:rsidRPr="0056068E" w:rsidRDefault="0056068E" w:rsidP="0056068E">
            <w:r w:rsidRPr="0056068E">
              <w:t> 0.905279</w:t>
            </w:r>
          </w:p>
        </w:tc>
        <w:tc>
          <w:tcPr>
            <w:tcW w:w="1343" w:type="dxa"/>
          </w:tcPr>
          <w:p w14:paraId="4D48D6DC" w14:textId="77777777" w:rsidR="0056068E" w:rsidRPr="0056068E" w:rsidRDefault="0056068E" w:rsidP="0056068E">
            <w:r w:rsidRPr="0056068E">
              <w:t> 0.508084</w:t>
            </w:r>
          </w:p>
        </w:tc>
        <w:tc>
          <w:tcPr>
            <w:tcW w:w="1342" w:type="dxa"/>
          </w:tcPr>
          <w:p w14:paraId="7E678A36" w14:textId="77777777" w:rsidR="0056068E" w:rsidRPr="0056068E" w:rsidRDefault="0056068E" w:rsidP="0056068E">
            <w:r w:rsidRPr="0056068E">
              <w:t> 0.137946</w:t>
            </w:r>
          </w:p>
        </w:tc>
      </w:tr>
      <w:tr w:rsidR="00112037" w:rsidRPr="0056068E" w14:paraId="712333B5" w14:textId="77777777" w:rsidTr="00112037">
        <w:trPr>
          <w:trHeight w:val="386"/>
        </w:trPr>
        <w:tc>
          <w:tcPr>
            <w:tcW w:w="1311" w:type="dxa"/>
          </w:tcPr>
          <w:p w14:paraId="3B69C812" w14:textId="77777777" w:rsidR="0056068E" w:rsidRPr="0056068E" w:rsidRDefault="0056068E" w:rsidP="0056068E">
            <w:r w:rsidRPr="0056068E">
              <w:t>ASSESS</w:t>
            </w:r>
          </w:p>
        </w:tc>
        <w:tc>
          <w:tcPr>
            <w:tcW w:w="1343" w:type="dxa"/>
          </w:tcPr>
          <w:p w14:paraId="642D3367" w14:textId="77777777" w:rsidR="0056068E" w:rsidRPr="0056068E" w:rsidRDefault="0056068E" w:rsidP="0056068E">
            <w:r w:rsidRPr="0056068E">
              <w:t> 0.328146</w:t>
            </w:r>
          </w:p>
        </w:tc>
        <w:tc>
          <w:tcPr>
            <w:tcW w:w="1342" w:type="dxa"/>
          </w:tcPr>
          <w:p w14:paraId="3519E098" w14:textId="77777777" w:rsidR="0056068E" w:rsidRPr="0056068E" w:rsidRDefault="0056068E" w:rsidP="0056068E">
            <w:r w:rsidRPr="0056068E">
              <w:t> 0.865634</w:t>
            </w:r>
          </w:p>
        </w:tc>
        <w:tc>
          <w:tcPr>
            <w:tcW w:w="1343" w:type="dxa"/>
          </w:tcPr>
          <w:p w14:paraId="3CC9E975" w14:textId="77777777" w:rsidR="0056068E" w:rsidRPr="00670763" w:rsidRDefault="0056068E" w:rsidP="0056068E">
            <w:pPr>
              <w:rPr>
                <w:b/>
                <w:bCs/>
              </w:rPr>
            </w:pPr>
            <w:r w:rsidRPr="0056068E">
              <w:t> </w:t>
            </w:r>
            <w:r w:rsidRPr="00670763">
              <w:rPr>
                <w:b/>
                <w:bCs/>
              </w:rPr>
              <w:t>0.905279</w:t>
            </w:r>
          </w:p>
        </w:tc>
        <w:tc>
          <w:tcPr>
            <w:tcW w:w="1342" w:type="dxa"/>
          </w:tcPr>
          <w:p w14:paraId="290DF6DC" w14:textId="77777777" w:rsidR="0056068E" w:rsidRPr="0056068E" w:rsidRDefault="0056068E" w:rsidP="0056068E">
            <w:r w:rsidRPr="0056068E">
              <w:t> 1.000000</w:t>
            </w:r>
          </w:p>
        </w:tc>
        <w:tc>
          <w:tcPr>
            <w:tcW w:w="1343" w:type="dxa"/>
          </w:tcPr>
          <w:p w14:paraId="17C42918" w14:textId="77777777" w:rsidR="0056068E" w:rsidRPr="0056068E" w:rsidRDefault="0056068E" w:rsidP="0056068E">
            <w:r w:rsidRPr="0056068E">
              <w:t> 0.482474</w:t>
            </w:r>
          </w:p>
        </w:tc>
        <w:tc>
          <w:tcPr>
            <w:tcW w:w="1342" w:type="dxa"/>
          </w:tcPr>
          <w:p w14:paraId="5B694905" w14:textId="77777777" w:rsidR="0056068E" w:rsidRPr="0056068E" w:rsidRDefault="0056068E" w:rsidP="0056068E">
            <w:r w:rsidRPr="0056068E">
              <w:t> 0.082936</w:t>
            </w:r>
          </w:p>
        </w:tc>
      </w:tr>
      <w:tr w:rsidR="0056068E" w:rsidRPr="0056068E" w14:paraId="38DA0C55" w14:textId="77777777" w:rsidTr="00112037">
        <w:trPr>
          <w:trHeight w:val="386"/>
        </w:trPr>
        <w:tc>
          <w:tcPr>
            <w:tcW w:w="1311" w:type="dxa"/>
          </w:tcPr>
          <w:p w14:paraId="6E83A05C" w14:textId="77777777" w:rsidR="0056068E" w:rsidRPr="0056068E" w:rsidRDefault="0056068E" w:rsidP="0056068E">
            <w:r w:rsidRPr="0056068E">
              <w:t>BDRMS</w:t>
            </w:r>
          </w:p>
        </w:tc>
        <w:tc>
          <w:tcPr>
            <w:tcW w:w="1343" w:type="dxa"/>
          </w:tcPr>
          <w:p w14:paraId="4AABE222" w14:textId="77777777" w:rsidR="0056068E" w:rsidRPr="0056068E" w:rsidRDefault="0056068E" w:rsidP="0056068E">
            <w:r w:rsidRPr="0056068E">
              <w:t> 0.136326</w:t>
            </w:r>
          </w:p>
        </w:tc>
        <w:tc>
          <w:tcPr>
            <w:tcW w:w="1342" w:type="dxa"/>
          </w:tcPr>
          <w:p w14:paraId="3F0EFDCE" w14:textId="77777777" w:rsidR="0056068E" w:rsidRPr="0056068E" w:rsidRDefault="0056068E" w:rsidP="0056068E">
            <w:r w:rsidRPr="0056068E">
              <w:t> 0.531474</w:t>
            </w:r>
          </w:p>
        </w:tc>
        <w:tc>
          <w:tcPr>
            <w:tcW w:w="1343" w:type="dxa"/>
          </w:tcPr>
          <w:p w14:paraId="3D2B9E4E" w14:textId="77777777" w:rsidR="0056068E" w:rsidRPr="0056068E" w:rsidRDefault="0056068E" w:rsidP="0056068E">
            <w:r w:rsidRPr="0056068E">
              <w:t> 0.508084</w:t>
            </w:r>
          </w:p>
        </w:tc>
        <w:tc>
          <w:tcPr>
            <w:tcW w:w="1342" w:type="dxa"/>
          </w:tcPr>
          <w:p w14:paraId="4D64E157" w14:textId="77777777" w:rsidR="0056068E" w:rsidRPr="0056068E" w:rsidRDefault="0056068E" w:rsidP="0056068E">
            <w:r w:rsidRPr="0056068E">
              <w:t> 0.482474</w:t>
            </w:r>
          </w:p>
        </w:tc>
        <w:tc>
          <w:tcPr>
            <w:tcW w:w="1343" w:type="dxa"/>
          </w:tcPr>
          <w:p w14:paraId="322599A1" w14:textId="77777777" w:rsidR="0056068E" w:rsidRPr="0056068E" w:rsidRDefault="0056068E" w:rsidP="0056068E">
            <w:r w:rsidRPr="0056068E">
              <w:t> 1.000000</w:t>
            </w:r>
          </w:p>
        </w:tc>
        <w:tc>
          <w:tcPr>
            <w:tcW w:w="1342" w:type="dxa"/>
          </w:tcPr>
          <w:p w14:paraId="678372DA" w14:textId="77777777" w:rsidR="0056068E" w:rsidRPr="0056068E" w:rsidRDefault="0056068E" w:rsidP="0056068E">
            <w:r w:rsidRPr="0056068E">
              <w:t> 0.304575</w:t>
            </w:r>
          </w:p>
        </w:tc>
      </w:tr>
      <w:tr w:rsidR="00112037" w:rsidRPr="0056068E" w14:paraId="77CDAC08" w14:textId="77777777" w:rsidTr="00112037">
        <w:trPr>
          <w:trHeight w:val="386"/>
        </w:trPr>
        <w:tc>
          <w:tcPr>
            <w:tcW w:w="1311" w:type="dxa"/>
          </w:tcPr>
          <w:p w14:paraId="2017EB61" w14:textId="77777777" w:rsidR="0056068E" w:rsidRPr="0056068E" w:rsidRDefault="0056068E" w:rsidP="0056068E">
            <w:r w:rsidRPr="0056068E">
              <w:t>COLONIAL</w:t>
            </w:r>
          </w:p>
        </w:tc>
        <w:tc>
          <w:tcPr>
            <w:tcW w:w="1343" w:type="dxa"/>
          </w:tcPr>
          <w:p w14:paraId="50AD9B30" w14:textId="77777777" w:rsidR="0056068E" w:rsidRPr="0056068E" w:rsidRDefault="0056068E" w:rsidP="0056068E">
            <w:r w:rsidRPr="0056068E">
              <w:t> 0.014019</w:t>
            </w:r>
          </w:p>
        </w:tc>
        <w:tc>
          <w:tcPr>
            <w:tcW w:w="1342" w:type="dxa"/>
          </w:tcPr>
          <w:p w14:paraId="2F276E0F" w14:textId="77777777" w:rsidR="0056068E" w:rsidRPr="0056068E" w:rsidRDefault="0056068E" w:rsidP="0056068E">
            <w:r w:rsidRPr="0056068E">
              <w:t> 0.065421</w:t>
            </w:r>
          </w:p>
        </w:tc>
        <w:tc>
          <w:tcPr>
            <w:tcW w:w="1343" w:type="dxa"/>
          </w:tcPr>
          <w:p w14:paraId="16B60553" w14:textId="77777777" w:rsidR="0056068E" w:rsidRPr="0056068E" w:rsidRDefault="0056068E" w:rsidP="0056068E">
            <w:r w:rsidRPr="0056068E">
              <w:t> 0.137946</w:t>
            </w:r>
          </w:p>
        </w:tc>
        <w:tc>
          <w:tcPr>
            <w:tcW w:w="1342" w:type="dxa"/>
          </w:tcPr>
          <w:p w14:paraId="5FF70CC1" w14:textId="77777777" w:rsidR="0056068E" w:rsidRPr="0056068E" w:rsidRDefault="0056068E" w:rsidP="0056068E">
            <w:r w:rsidRPr="0056068E">
              <w:t> 0.082936</w:t>
            </w:r>
          </w:p>
        </w:tc>
        <w:tc>
          <w:tcPr>
            <w:tcW w:w="1343" w:type="dxa"/>
          </w:tcPr>
          <w:p w14:paraId="23B12C85" w14:textId="77777777" w:rsidR="0056068E" w:rsidRPr="0056068E" w:rsidRDefault="0056068E" w:rsidP="0056068E">
            <w:r w:rsidRPr="0056068E">
              <w:t> 0.304575</w:t>
            </w:r>
          </w:p>
        </w:tc>
        <w:tc>
          <w:tcPr>
            <w:tcW w:w="1342" w:type="dxa"/>
          </w:tcPr>
          <w:p w14:paraId="5F05AD13" w14:textId="77777777" w:rsidR="0056068E" w:rsidRPr="0056068E" w:rsidRDefault="0056068E" w:rsidP="0056068E">
            <w:r w:rsidRPr="0056068E">
              <w:t> 1.000000</w:t>
            </w:r>
          </w:p>
        </w:tc>
      </w:tr>
    </w:tbl>
    <w:p w14:paraId="284DB1F5" w14:textId="77777777" w:rsidR="0056068E" w:rsidRPr="0056068E" w:rsidRDefault="0056068E" w:rsidP="0056068E"/>
    <w:p w14:paraId="47B0D201" w14:textId="1C0631D6" w:rsidR="0056068E" w:rsidRPr="00B174E4" w:rsidRDefault="00C90528" w:rsidP="0056068E">
      <w:r>
        <w:br w:type="page"/>
      </w:r>
      <w:r w:rsidR="0056068E" w:rsidRPr="0056068E">
        <w:lastRenderedPageBreak/>
        <w:t xml:space="preserve">Q7. The agent wanted to study the relationship between house prices and their assessed values. So he plotted the two series together. GRAPH 1 shows the plot for “assess” and “price” across the 88 houses. GRAPH 2 shows the scatter plot of the two series, with each series represented on one of the axes. </w:t>
      </w:r>
    </w:p>
    <w:p w14:paraId="65754D92" w14:textId="77777777" w:rsidR="0056068E" w:rsidRPr="0056068E" w:rsidRDefault="0056068E" w:rsidP="0056068E"/>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2"/>
        <w:gridCol w:w="4090"/>
      </w:tblGrid>
      <w:tr w:rsidR="0056068E" w:rsidRPr="0056068E" w14:paraId="003B4E47" w14:textId="77777777" w:rsidTr="00226BC1">
        <w:tc>
          <w:tcPr>
            <w:tcW w:w="5486" w:type="dxa"/>
          </w:tcPr>
          <w:p w14:paraId="602DD8BE" w14:textId="77777777" w:rsidR="0056068E" w:rsidRPr="0056068E" w:rsidRDefault="0056068E" w:rsidP="0056068E">
            <w:pPr>
              <w:spacing w:after="160" w:line="259" w:lineRule="auto"/>
            </w:pPr>
            <w:r w:rsidRPr="0056068E">
              <w:t>GRAPH 1</w:t>
            </w:r>
          </w:p>
          <w:p w14:paraId="59E0D0C8" w14:textId="77777777" w:rsidR="0056068E" w:rsidRPr="0056068E" w:rsidRDefault="0056068E" w:rsidP="0056068E">
            <w:pPr>
              <w:spacing w:after="160" w:line="259" w:lineRule="auto"/>
            </w:pPr>
            <w:r w:rsidRPr="0056068E">
              <w:rPr>
                <w:rFonts w:asciiTheme="minorHAnsi" w:eastAsiaTheme="minorHAnsi" w:hAnsiTheme="minorHAnsi" w:cstheme="minorBidi"/>
                <w:sz w:val="22"/>
                <w:szCs w:val="22"/>
                <w:lang w:val="en-US" w:eastAsia="en-US"/>
              </w:rPr>
              <w:object w:dxaOrig="7260" w:dyaOrig="5146" w14:anchorId="26988E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4pt;height:187.2pt" o:ole="">
                  <v:imagedata r:id="rId8" o:title=""/>
                </v:shape>
                <o:OLEObject Type="Embed" ProgID="EViews.Workfile.2" ShapeID="_x0000_i1025" DrawAspect="Content" ObjectID="_1712664307" r:id="rId9"/>
              </w:object>
            </w:r>
          </w:p>
        </w:tc>
        <w:tc>
          <w:tcPr>
            <w:tcW w:w="4090" w:type="dxa"/>
          </w:tcPr>
          <w:p w14:paraId="20B667BE" w14:textId="77777777" w:rsidR="0056068E" w:rsidRPr="0056068E" w:rsidRDefault="0056068E" w:rsidP="0056068E">
            <w:pPr>
              <w:spacing w:after="160" w:line="259" w:lineRule="auto"/>
            </w:pPr>
            <w:r w:rsidRPr="0056068E">
              <w:t>GRAPH 2</w:t>
            </w:r>
          </w:p>
          <w:p w14:paraId="10B6AAC2" w14:textId="77777777" w:rsidR="0056068E" w:rsidRPr="0056068E" w:rsidRDefault="0056068E" w:rsidP="0056068E">
            <w:pPr>
              <w:spacing w:after="160" w:line="259" w:lineRule="auto"/>
            </w:pPr>
            <w:r w:rsidRPr="0056068E">
              <w:rPr>
                <w:rFonts w:asciiTheme="minorHAnsi" w:eastAsiaTheme="minorHAnsi" w:hAnsiTheme="minorHAnsi" w:cstheme="minorBidi"/>
                <w:sz w:val="22"/>
                <w:szCs w:val="22"/>
                <w:lang w:val="en-US" w:eastAsia="en-US"/>
              </w:rPr>
              <w:object w:dxaOrig="5206" w:dyaOrig="5085" w14:anchorId="459A5B21">
                <v:shape id="_x0000_i1026" type="#_x0000_t75" style="width:193.6pt;height:188.8pt" o:ole="">
                  <v:imagedata r:id="rId10" o:title=""/>
                </v:shape>
                <o:OLEObject Type="Embed" ProgID="EViews.Workfile.2" ShapeID="_x0000_i1026" DrawAspect="Content" ObjectID="_1712664308" r:id="rId11"/>
              </w:object>
            </w:r>
          </w:p>
          <w:p w14:paraId="4AC199EF" w14:textId="77777777" w:rsidR="0056068E" w:rsidRPr="0056068E" w:rsidRDefault="0056068E" w:rsidP="0056068E">
            <w:pPr>
              <w:spacing w:after="160" w:line="259" w:lineRule="auto"/>
            </w:pPr>
          </w:p>
        </w:tc>
      </w:tr>
    </w:tbl>
    <w:p w14:paraId="7E36B535" w14:textId="77777777" w:rsidR="0056068E" w:rsidRPr="0056068E" w:rsidRDefault="0056068E" w:rsidP="0056068E">
      <w:pPr>
        <w:rPr>
          <w:b/>
        </w:rPr>
      </w:pPr>
      <w:r w:rsidRPr="0056068E">
        <w:t xml:space="preserve">What can you infer about the relationship between the two series? </w:t>
      </w:r>
    </w:p>
    <w:tbl>
      <w:tblPr>
        <w:tblStyle w:val="TableGrid"/>
        <w:tblW w:w="0" w:type="auto"/>
        <w:tblLook w:val="04A0" w:firstRow="1" w:lastRow="0" w:firstColumn="1" w:lastColumn="0" w:noHBand="0" w:noVBand="1"/>
      </w:tblPr>
      <w:tblGrid>
        <w:gridCol w:w="9628"/>
      </w:tblGrid>
      <w:tr w:rsidR="0056068E" w:rsidRPr="0056068E" w14:paraId="5C06FB13" w14:textId="77777777" w:rsidTr="00226BC1">
        <w:tc>
          <w:tcPr>
            <w:tcW w:w="9854" w:type="dxa"/>
          </w:tcPr>
          <w:p w14:paraId="1EB35074" w14:textId="7FF6CDD5" w:rsidR="00987949" w:rsidRPr="00046DBA" w:rsidRDefault="00987949" w:rsidP="00A405AC">
            <w:r>
              <w:t xml:space="preserve">Graph 1: </w:t>
            </w:r>
            <w:r w:rsidR="00C96DBB">
              <w:t>The timer series plot shows that th</w:t>
            </w:r>
            <w:r w:rsidR="00C96DBB" w:rsidRPr="00C96DBB">
              <w:t>ese data show cyclic movements</w:t>
            </w:r>
            <w:r w:rsidR="003D5220">
              <w:t xml:space="preserve"> because t</w:t>
            </w:r>
            <w:r w:rsidR="00C96DBB" w:rsidRPr="00C96DBB">
              <w:t>he cycles do not repeat at regular intervals and do not have the same shape.</w:t>
            </w:r>
            <w:r w:rsidR="003D5220">
              <w:t xml:space="preserve"> </w:t>
            </w:r>
            <w:r w:rsidR="00425795">
              <w:t xml:space="preserve">As the </w:t>
            </w:r>
            <w:r w:rsidR="00A90045">
              <w:t xml:space="preserve">assess </w:t>
            </w:r>
            <w:r w:rsidR="003E5C6D">
              <w:t xml:space="preserve">values </w:t>
            </w:r>
            <w:r w:rsidR="00425795">
              <w:t xml:space="preserve">increases then the </w:t>
            </w:r>
            <w:r w:rsidR="00046DBA">
              <w:t>house of prices increases.</w:t>
            </w:r>
            <w:r w:rsidR="002D21F6">
              <w:t xml:space="preserve"> </w:t>
            </w:r>
            <w:r w:rsidR="005A5500">
              <w:t>Around, 40</w:t>
            </w:r>
            <w:r w:rsidR="005A5500" w:rsidRPr="005A5500">
              <w:rPr>
                <w:vertAlign w:val="superscript"/>
              </w:rPr>
              <w:t>th</w:t>
            </w:r>
            <w:r w:rsidR="005A5500">
              <w:t xml:space="preserve"> </w:t>
            </w:r>
            <w:r w:rsidR="009A3605">
              <w:t>and 72</w:t>
            </w:r>
            <w:r w:rsidR="008F3540" w:rsidRPr="005A5500">
              <w:rPr>
                <w:vertAlign w:val="superscript"/>
              </w:rPr>
              <w:t>th</w:t>
            </w:r>
            <w:r w:rsidR="005E5182">
              <w:t xml:space="preserve"> </w:t>
            </w:r>
            <w:r w:rsidR="005A5500">
              <w:t xml:space="preserve">number of observations of houses shows higher prices </w:t>
            </w:r>
            <w:r w:rsidR="00132E5D">
              <w:t>as compared to other houses.</w:t>
            </w:r>
          </w:p>
          <w:p w14:paraId="1923CEE9" w14:textId="77777777" w:rsidR="00987949" w:rsidRDefault="00987949" w:rsidP="00A405AC"/>
          <w:p w14:paraId="1AB2E4FA" w14:textId="002CF1F3" w:rsidR="0056068E" w:rsidRPr="0056068E" w:rsidRDefault="00A405AC" w:rsidP="00E96F4A">
            <w:r>
              <w:t xml:space="preserve">Graph 2: </w:t>
            </w:r>
            <w:r w:rsidR="000413ED">
              <w:t xml:space="preserve">The scatter plot </w:t>
            </w:r>
            <w:r w:rsidR="00D525EF">
              <w:t>indicates</w:t>
            </w:r>
            <w:r w:rsidR="00E62B7D">
              <w:t xml:space="preserve"> t</w:t>
            </w:r>
            <w:r w:rsidR="000413ED">
              <w:t>he relationship between</w:t>
            </w:r>
            <w:r w:rsidR="00DC4835" w:rsidRPr="00DC4835">
              <w:t xml:space="preserve"> house prices and their assessed values</w:t>
            </w:r>
            <w:r w:rsidR="009D0345">
              <w:t xml:space="preserve"> which shows </w:t>
            </w:r>
            <w:r w:rsidR="00A27DE1">
              <w:t xml:space="preserve">that </w:t>
            </w:r>
            <w:r w:rsidR="00D360B5">
              <w:t xml:space="preserve">the </w:t>
            </w:r>
            <w:r w:rsidR="0029588D">
              <w:t xml:space="preserve">plot </w:t>
            </w:r>
            <w:r w:rsidR="00406ABE">
              <w:t>seems to scatter in a</w:t>
            </w:r>
            <w:r w:rsidR="00E96F4A">
              <w:t>n</w:t>
            </w:r>
            <w:r w:rsidR="00406ABE">
              <w:t xml:space="preserve"> upward line or </w:t>
            </w:r>
            <w:r w:rsidR="00D360B5">
              <w:t>direction</w:t>
            </w:r>
            <w:r w:rsidR="00406ABE">
              <w:t xml:space="preserve">, there is a </w:t>
            </w:r>
            <w:r w:rsidR="00CA7C04">
              <w:t>positive relation</w:t>
            </w:r>
            <w:r w:rsidR="00406ABE">
              <w:t xml:space="preserve"> or strong (positive) correlation i.e., </w:t>
            </w:r>
            <w:r w:rsidR="004A68CC">
              <w:t>0.90</w:t>
            </w:r>
            <w:r w:rsidR="00E96F4A">
              <w:t>.</w:t>
            </w:r>
          </w:p>
        </w:tc>
      </w:tr>
    </w:tbl>
    <w:p w14:paraId="12DAE0D8" w14:textId="77777777" w:rsidR="0056068E" w:rsidRPr="0056068E" w:rsidRDefault="0056068E" w:rsidP="0056068E"/>
    <w:p w14:paraId="33CE1A5E" w14:textId="574974AD" w:rsidR="0056068E" w:rsidRPr="0056068E" w:rsidRDefault="0056068E" w:rsidP="0056068E">
      <w:r w:rsidRPr="0056068E">
        <w:t>Q8. The agent believes that the house’s assessed value has predictive power over the settlement price of the house. He ran a regression of ‘PRICE’ on ‘ASSESS’, and the results are shown below:</w:t>
      </w: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6068E" w:rsidRPr="0056068E" w14:paraId="40731049" w14:textId="77777777" w:rsidTr="00226BC1">
        <w:trPr>
          <w:trHeight w:val="225"/>
        </w:trPr>
        <w:tc>
          <w:tcPr>
            <w:tcW w:w="4327" w:type="dxa"/>
            <w:gridSpan w:val="3"/>
            <w:tcBorders>
              <w:top w:val="nil"/>
              <w:left w:val="nil"/>
              <w:bottom w:val="nil"/>
              <w:right w:val="nil"/>
            </w:tcBorders>
            <w:vAlign w:val="bottom"/>
          </w:tcPr>
          <w:p w14:paraId="2D12D442" w14:textId="77777777" w:rsidR="0056068E" w:rsidRPr="0056068E" w:rsidRDefault="0056068E" w:rsidP="0056068E">
            <w:r w:rsidRPr="0056068E">
              <w:t>Dependent Variable: PRICE</w:t>
            </w:r>
          </w:p>
        </w:tc>
        <w:tc>
          <w:tcPr>
            <w:tcW w:w="1208" w:type="dxa"/>
            <w:tcBorders>
              <w:top w:val="nil"/>
              <w:left w:val="nil"/>
              <w:bottom w:val="nil"/>
              <w:right w:val="nil"/>
            </w:tcBorders>
            <w:vAlign w:val="bottom"/>
          </w:tcPr>
          <w:p w14:paraId="4665C0EB" w14:textId="77777777" w:rsidR="0056068E" w:rsidRPr="0056068E" w:rsidRDefault="0056068E" w:rsidP="0056068E"/>
        </w:tc>
        <w:tc>
          <w:tcPr>
            <w:tcW w:w="997" w:type="dxa"/>
            <w:tcBorders>
              <w:top w:val="nil"/>
              <w:left w:val="nil"/>
              <w:bottom w:val="nil"/>
              <w:right w:val="nil"/>
            </w:tcBorders>
            <w:vAlign w:val="bottom"/>
          </w:tcPr>
          <w:p w14:paraId="48A6C226" w14:textId="77777777" w:rsidR="0056068E" w:rsidRPr="0056068E" w:rsidRDefault="0056068E" w:rsidP="0056068E"/>
        </w:tc>
      </w:tr>
      <w:tr w:rsidR="0056068E" w:rsidRPr="0056068E" w14:paraId="31D8C3F4" w14:textId="77777777" w:rsidTr="00226BC1">
        <w:trPr>
          <w:trHeight w:val="225"/>
        </w:trPr>
        <w:tc>
          <w:tcPr>
            <w:tcW w:w="4327" w:type="dxa"/>
            <w:gridSpan w:val="3"/>
            <w:tcBorders>
              <w:top w:val="nil"/>
              <w:left w:val="nil"/>
              <w:bottom w:val="nil"/>
              <w:right w:val="nil"/>
            </w:tcBorders>
            <w:vAlign w:val="bottom"/>
          </w:tcPr>
          <w:p w14:paraId="19448A40" w14:textId="77777777" w:rsidR="0056068E" w:rsidRPr="0056068E" w:rsidRDefault="0056068E" w:rsidP="0056068E">
            <w:r w:rsidRPr="0056068E">
              <w:t>Method: Least Squares</w:t>
            </w:r>
          </w:p>
        </w:tc>
        <w:tc>
          <w:tcPr>
            <w:tcW w:w="1208" w:type="dxa"/>
            <w:tcBorders>
              <w:top w:val="nil"/>
              <w:left w:val="nil"/>
              <w:bottom w:val="nil"/>
              <w:right w:val="nil"/>
            </w:tcBorders>
            <w:vAlign w:val="bottom"/>
          </w:tcPr>
          <w:p w14:paraId="757888E5" w14:textId="77777777" w:rsidR="0056068E" w:rsidRPr="0056068E" w:rsidRDefault="0056068E" w:rsidP="0056068E"/>
        </w:tc>
        <w:tc>
          <w:tcPr>
            <w:tcW w:w="997" w:type="dxa"/>
            <w:tcBorders>
              <w:top w:val="nil"/>
              <w:left w:val="nil"/>
              <w:bottom w:val="nil"/>
              <w:right w:val="nil"/>
            </w:tcBorders>
            <w:vAlign w:val="bottom"/>
          </w:tcPr>
          <w:p w14:paraId="2C28BC9E" w14:textId="77777777" w:rsidR="0056068E" w:rsidRPr="0056068E" w:rsidRDefault="0056068E" w:rsidP="0056068E"/>
        </w:tc>
      </w:tr>
      <w:tr w:rsidR="0056068E" w:rsidRPr="0056068E" w14:paraId="1D30FF91" w14:textId="77777777" w:rsidTr="00226BC1">
        <w:trPr>
          <w:trHeight w:val="225"/>
        </w:trPr>
        <w:tc>
          <w:tcPr>
            <w:tcW w:w="3120" w:type="dxa"/>
            <w:gridSpan w:val="2"/>
            <w:tcBorders>
              <w:top w:val="nil"/>
              <w:left w:val="nil"/>
              <w:bottom w:val="nil"/>
              <w:right w:val="nil"/>
            </w:tcBorders>
            <w:vAlign w:val="bottom"/>
          </w:tcPr>
          <w:p w14:paraId="63E23736" w14:textId="77777777" w:rsidR="0056068E" w:rsidRPr="0056068E" w:rsidRDefault="0056068E" w:rsidP="0056068E">
            <w:r w:rsidRPr="0056068E">
              <w:t>Sample: 1 88</w:t>
            </w:r>
          </w:p>
        </w:tc>
        <w:tc>
          <w:tcPr>
            <w:tcW w:w="1207" w:type="dxa"/>
            <w:tcBorders>
              <w:top w:val="nil"/>
              <w:left w:val="nil"/>
              <w:bottom w:val="nil"/>
              <w:right w:val="nil"/>
            </w:tcBorders>
            <w:vAlign w:val="bottom"/>
          </w:tcPr>
          <w:p w14:paraId="786D0F12" w14:textId="77777777" w:rsidR="0056068E" w:rsidRPr="0056068E" w:rsidRDefault="0056068E" w:rsidP="0056068E"/>
        </w:tc>
        <w:tc>
          <w:tcPr>
            <w:tcW w:w="1208" w:type="dxa"/>
            <w:tcBorders>
              <w:top w:val="nil"/>
              <w:left w:val="nil"/>
              <w:bottom w:val="nil"/>
              <w:right w:val="nil"/>
            </w:tcBorders>
            <w:vAlign w:val="bottom"/>
          </w:tcPr>
          <w:p w14:paraId="0AE81A6E" w14:textId="77777777" w:rsidR="0056068E" w:rsidRPr="0056068E" w:rsidRDefault="0056068E" w:rsidP="0056068E"/>
        </w:tc>
        <w:tc>
          <w:tcPr>
            <w:tcW w:w="997" w:type="dxa"/>
            <w:tcBorders>
              <w:top w:val="nil"/>
              <w:left w:val="nil"/>
              <w:bottom w:val="nil"/>
              <w:right w:val="nil"/>
            </w:tcBorders>
            <w:vAlign w:val="bottom"/>
          </w:tcPr>
          <w:p w14:paraId="054AAF3A" w14:textId="77777777" w:rsidR="0056068E" w:rsidRPr="0056068E" w:rsidRDefault="0056068E" w:rsidP="0056068E"/>
        </w:tc>
      </w:tr>
      <w:tr w:rsidR="0056068E" w:rsidRPr="0056068E" w14:paraId="45A1C08D" w14:textId="77777777" w:rsidTr="00226BC1">
        <w:trPr>
          <w:trHeight w:val="225"/>
        </w:trPr>
        <w:tc>
          <w:tcPr>
            <w:tcW w:w="4327" w:type="dxa"/>
            <w:gridSpan w:val="3"/>
            <w:tcBorders>
              <w:top w:val="nil"/>
              <w:left w:val="nil"/>
              <w:bottom w:val="nil"/>
              <w:right w:val="nil"/>
            </w:tcBorders>
            <w:vAlign w:val="bottom"/>
          </w:tcPr>
          <w:p w14:paraId="7BC919B1" w14:textId="77777777" w:rsidR="0056068E" w:rsidRPr="0056068E" w:rsidRDefault="0056068E" w:rsidP="0056068E">
            <w:r w:rsidRPr="0056068E">
              <w:t>Included observations: 88</w:t>
            </w:r>
          </w:p>
        </w:tc>
        <w:tc>
          <w:tcPr>
            <w:tcW w:w="1208" w:type="dxa"/>
            <w:tcBorders>
              <w:top w:val="nil"/>
              <w:left w:val="nil"/>
              <w:bottom w:val="nil"/>
              <w:right w:val="nil"/>
            </w:tcBorders>
            <w:vAlign w:val="bottom"/>
          </w:tcPr>
          <w:p w14:paraId="6CEB8818" w14:textId="77777777" w:rsidR="0056068E" w:rsidRPr="0056068E" w:rsidRDefault="0056068E" w:rsidP="0056068E"/>
        </w:tc>
        <w:tc>
          <w:tcPr>
            <w:tcW w:w="997" w:type="dxa"/>
            <w:tcBorders>
              <w:top w:val="nil"/>
              <w:left w:val="nil"/>
              <w:bottom w:val="nil"/>
              <w:right w:val="nil"/>
            </w:tcBorders>
            <w:vAlign w:val="bottom"/>
          </w:tcPr>
          <w:p w14:paraId="22D0F708" w14:textId="77777777" w:rsidR="0056068E" w:rsidRPr="0056068E" w:rsidRDefault="0056068E" w:rsidP="0056068E"/>
        </w:tc>
      </w:tr>
      <w:tr w:rsidR="0056068E" w:rsidRPr="0056068E" w14:paraId="3D608AF1" w14:textId="77777777" w:rsidTr="00226BC1">
        <w:trPr>
          <w:trHeight w:hRule="exact" w:val="90"/>
        </w:trPr>
        <w:tc>
          <w:tcPr>
            <w:tcW w:w="2017" w:type="dxa"/>
            <w:tcBorders>
              <w:top w:val="nil"/>
              <w:left w:val="nil"/>
              <w:bottom w:val="double" w:sz="6" w:space="2" w:color="auto"/>
              <w:right w:val="nil"/>
            </w:tcBorders>
            <w:vAlign w:val="bottom"/>
          </w:tcPr>
          <w:p w14:paraId="6964C879" w14:textId="77777777" w:rsidR="0056068E" w:rsidRPr="0056068E" w:rsidRDefault="0056068E" w:rsidP="0056068E"/>
        </w:tc>
        <w:tc>
          <w:tcPr>
            <w:tcW w:w="1103" w:type="dxa"/>
            <w:tcBorders>
              <w:top w:val="nil"/>
              <w:left w:val="nil"/>
              <w:bottom w:val="double" w:sz="6" w:space="2" w:color="auto"/>
              <w:right w:val="nil"/>
            </w:tcBorders>
            <w:vAlign w:val="bottom"/>
          </w:tcPr>
          <w:p w14:paraId="5A6BAF55" w14:textId="77777777" w:rsidR="0056068E" w:rsidRPr="0056068E" w:rsidRDefault="0056068E" w:rsidP="0056068E"/>
        </w:tc>
        <w:tc>
          <w:tcPr>
            <w:tcW w:w="1207" w:type="dxa"/>
            <w:tcBorders>
              <w:top w:val="nil"/>
              <w:left w:val="nil"/>
              <w:bottom w:val="double" w:sz="6" w:space="2" w:color="auto"/>
              <w:right w:val="nil"/>
            </w:tcBorders>
            <w:vAlign w:val="bottom"/>
          </w:tcPr>
          <w:p w14:paraId="703246DD" w14:textId="77777777" w:rsidR="0056068E" w:rsidRPr="0056068E" w:rsidRDefault="0056068E" w:rsidP="0056068E"/>
        </w:tc>
        <w:tc>
          <w:tcPr>
            <w:tcW w:w="1208" w:type="dxa"/>
            <w:tcBorders>
              <w:top w:val="nil"/>
              <w:left w:val="nil"/>
              <w:bottom w:val="double" w:sz="6" w:space="2" w:color="auto"/>
              <w:right w:val="nil"/>
            </w:tcBorders>
            <w:vAlign w:val="bottom"/>
          </w:tcPr>
          <w:p w14:paraId="53D57735" w14:textId="77777777" w:rsidR="0056068E" w:rsidRPr="0056068E" w:rsidRDefault="0056068E" w:rsidP="0056068E"/>
        </w:tc>
        <w:tc>
          <w:tcPr>
            <w:tcW w:w="997" w:type="dxa"/>
            <w:tcBorders>
              <w:top w:val="nil"/>
              <w:left w:val="nil"/>
              <w:bottom w:val="double" w:sz="6" w:space="2" w:color="auto"/>
              <w:right w:val="nil"/>
            </w:tcBorders>
            <w:vAlign w:val="bottom"/>
          </w:tcPr>
          <w:p w14:paraId="3F4B0DE3" w14:textId="77777777" w:rsidR="0056068E" w:rsidRPr="0056068E" w:rsidRDefault="0056068E" w:rsidP="0056068E"/>
        </w:tc>
      </w:tr>
      <w:tr w:rsidR="0056068E" w:rsidRPr="0056068E" w14:paraId="14575561" w14:textId="77777777" w:rsidTr="00226BC1">
        <w:trPr>
          <w:trHeight w:hRule="exact" w:val="135"/>
        </w:trPr>
        <w:tc>
          <w:tcPr>
            <w:tcW w:w="2017" w:type="dxa"/>
            <w:tcBorders>
              <w:top w:val="nil"/>
              <w:left w:val="nil"/>
              <w:bottom w:val="nil"/>
              <w:right w:val="nil"/>
            </w:tcBorders>
            <w:vAlign w:val="bottom"/>
          </w:tcPr>
          <w:p w14:paraId="3BBF1259" w14:textId="77777777" w:rsidR="0056068E" w:rsidRPr="0056068E" w:rsidRDefault="0056068E" w:rsidP="0056068E"/>
        </w:tc>
        <w:tc>
          <w:tcPr>
            <w:tcW w:w="1103" w:type="dxa"/>
            <w:tcBorders>
              <w:top w:val="nil"/>
              <w:left w:val="nil"/>
              <w:bottom w:val="nil"/>
              <w:right w:val="nil"/>
            </w:tcBorders>
            <w:vAlign w:val="bottom"/>
          </w:tcPr>
          <w:p w14:paraId="2C2FAF28" w14:textId="77777777" w:rsidR="0056068E" w:rsidRPr="0056068E" w:rsidRDefault="0056068E" w:rsidP="0056068E"/>
        </w:tc>
        <w:tc>
          <w:tcPr>
            <w:tcW w:w="1207" w:type="dxa"/>
            <w:tcBorders>
              <w:top w:val="nil"/>
              <w:left w:val="nil"/>
              <w:bottom w:val="nil"/>
              <w:right w:val="nil"/>
            </w:tcBorders>
            <w:vAlign w:val="bottom"/>
          </w:tcPr>
          <w:p w14:paraId="3C5F6EAB" w14:textId="77777777" w:rsidR="0056068E" w:rsidRPr="0056068E" w:rsidRDefault="0056068E" w:rsidP="0056068E"/>
        </w:tc>
        <w:tc>
          <w:tcPr>
            <w:tcW w:w="1208" w:type="dxa"/>
            <w:tcBorders>
              <w:top w:val="nil"/>
              <w:left w:val="nil"/>
              <w:bottom w:val="nil"/>
              <w:right w:val="nil"/>
            </w:tcBorders>
            <w:vAlign w:val="bottom"/>
          </w:tcPr>
          <w:p w14:paraId="3425677F" w14:textId="77777777" w:rsidR="0056068E" w:rsidRPr="0056068E" w:rsidRDefault="0056068E" w:rsidP="0056068E"/>
        </w:tc>
        <w:tc>
          <w:tcPr>
            <w:tcW w:w="997" w:type="dxa"/>
            <w:tcBorders>
              <w:top w:val="nil"/>
              <w:left w:val="nil"/>
              <w:bottom w:val="nil"/>
              <w:right w:val="nil"/>
            </w:tcBorders>
            <w:vAlign w:val="bottom"/>
          </w:tcPr>
          <w:p w14:paraId="1A0030A8" w14:textId="77777777" w:rsidR="0056068E" w:rsidRPr="0056068E" w:rsidRDefault="0056068E" w:rsidP="0056068E"/>
        </w:tc>
      </w:tr>
      <w:tr w:rsidR="0056068E" w:rsidRPr="0056068E" w14:paraId="4C2AEF63" w14:textId="77777777" w:rsidTr="00226BC1">
        <w:trPr>
          <w:trHeight w:val="225"/>
        </w:trPr>
        <w:tc>
          <w:tcPr>
            <w:tcW w:w="2017" w:type="dxa"/>
            <w:tcBorders>
              <w:top w:val="nil"/>
              <w:left w:val="nil"/>
              <w:bottom w:val="nil"/>
              <w:right w:val="nil"/>
            </w:tcBorders>
            <w:vAlign w:val="bottom"/>
          </w:tcPr>
          <w:p w14:paraId="7573347D" w14:textId="77777777" w:rsidR="0056068E" w:rsidRPr="0056068E" w:rsidRDefault="0056068E" w:rsidP="0056068E">
            <w:r w:rsidRPr="0056068E">
              <w:t>Variable</w:t>
            </w:r>
          </w:p>
        </w:tc>
        <w:tc>
          <w:tcPr>
            <w:tcW w:w="1103" w:type="dxa"/>
            <w:tcBorders>
              <w:top w:val="nil"/>
              <w:left w:val="nil"/>
              <w:bottom w:val="nil"/>
              <w:right w:val="nil"/>
            </w:tcBorders>
            <w:vAlign w:val="bottom"/>
          </w:tcPr>
          <w:p w14:paraId="5FB19FD6" w14:textId="77777777" w:rsidR="0056068E" w:rsidRPr="0056068E" w:rsidRDefault="0056068E" w:rsidP="0056068E">
            <w:r w:rsidRPr="0056068E">
              <w:t>Coefficient</w:t>
            </w:r>
          </w:p>
        </w:tc>
        <w:tc>
          <w:tcPr>
            <w:tcW w:w="1207" w:type="dxa"/>
            <w:tcBorders>
              <w:top w:val="nil"/>
              <w:left w:val="nil"/>
              <w:bottom w:val="nil"/>
              <w:right w:val="nil"/>
            </w:tcBorders>
            <w:vAlign w:val="bottom"/>
          </w:tcPr>
          <w:p w14:paraId="3C4DBB78" w14:textId="77777777" w:rsidR="0056068E" w:rsidRPr="0056068E" w:rsidRDefault="0056068E" w:rsidP="0056068E">
            <w:r w:rsidRPr="0056068E">
              <w:t>Std. Error</w:t>
            </w:r>
          </w:p>
        </w:tc>
        <w:tc>
          <w:tcPr>
            <w:tcW w:w="1208" w:type="dxa"/>
            <w:tcBorders>
              <w:top w:val="nil"/>
              <w:left w:val="nil"/>
              <w:bottom w:val="nil"/>
              <w:right w:val="nil"/>
            </w:tcBorders>
            <w:vAlign w:val="bottom"/>
          </w:tcPr>
          <w:p w14:paraId="0D1DC58F" w14:textId="77777777" w:rsidR="0056068E" w:rsidRPr="0056068E" w:rsidRDefault="0056068E" w:rsidP="0056068E">
            <w:r w:rsidRPr="0056068E">
              <w:t>t-Statistic</w:t>
            </w:r>
          </w:p>
        </w:tc>
        <w:tc>
          <w:tcPr>
            <w:tcW w:w="997" w:type="dxa"/>
            <w:tcBorders>
              <w:top w:val="nil"/>
              <w:left w:val="nil"/>
              <w:bottom w:val="nil"/>
              <w:right w:val="nil"/>
            </w:tcBorders>
            <w:vAlign w:val="bottom"/>
          </w:tcPr>
          <w:p w14:paraId="4A30C60E" w14:textId="77777777" w:rsidR="0056068E" w:rsidRPr="0056068E" w:rsidRDefault="0056068E" w:rsidP="0056068E">
            <w:r w:rsidRPr="0056068E">
              <w:t>Prob.  </w:t>
            </w:r>
          </w:p>
        </w:tc>
      </w:tr>
      <w:tr w:rsidR="0056068E" w:rsidRPr="0056068E" w14:paraId="74896D33" w14:textId="77777777" w:rsidTr="00226BC1">
        <w:trPr>
          <w:trHeight w:hRule="exact" w:val="90"/>
        </w:trPr>
        <w:tc>
          <w:tcPr>
            <w:tcW w:w="2017" w:type="dxa"/>
            <w:tcBorders>
              <w:top w:val="nil"/>
              <w:left w:val="nil"/>
              <w:bottom w:val="double" w:sz="6" w:space="2" w:color="auto"/>
              <w:right w:val="nil"/>
            </w:tcBorders>
            <w:vAlign w:val="bottom"/>
          </w:tcPr>
          <w:p w14:paraId="262E7CD0" w14:textId="77777777" w:rsidR="0056068E" w:rsidRPr="0056068E" w:rsidRDefault="0056068E" w:rsidP="0056068E"/>
        </w:tc>
        <w:tc>
          <w:tcPr>
            <w:tcW w:w="1103" w:type="dxa"/>
            <w:tcBorders>
              <w:top w:val="nil"/>
              <w:left w:val="nil"/>
              <w:bottom w:val="double" w:sz="6" w:space="2" w:color="auto"/>
              <w:right w:val="nil"/>
            </w:tcBorders>
            <w:vAlign w:val="bottom"/>
          </w:tcPr>
          <w:p w14:paraId="6076F4DA" w14:textId="77777777" w:rsidR="0056068E" w:rsidRPr="0056068E" w:rsidRDefault="0056068E" w:rsidP="0056068E"/>
        </w:tc>
        <w:tc>
          <w:tcPr>
            <w:tcW w:w="1207" w:type="dxa"/>
            <w:tcBorders>
              <w:top w:val="nil"/>
              <w:left w:val="nil"/>
              <w:bottom w:val="double" w:sz="6" w:space="2" w:color="auto"/>
              <w:right w:val="nil"/>
            </w:tcBorders>
            <w:vAlign w:val="bottom"/>
          </w:tcPr>
          <w:p w14:paraId="4E9C3F5D" w14:textId="77777777" w:rsidR="0056068E" w:rsidRPr="0056068E" w:rsidRDefault="0056068E" w:rsidP="0056068E"/>
        </w:tc>
        <w:tc>
          <w:tcPr>
            <w:tcW w:w="1208" w:type="dxa"/>
            <w:tcBorders>
              <w:top w:val="nil"/>
              <w:left w:val="nil"/>
              <w:bottom w:val="double" w:sz="6" w:space="2" w:color="auto"/>
              <w:right w:val="nil"/>
            </w:tcBorders>
            <w:vAlign w:val="bottom"/>
          </w:tcPr>
          <w:p w14:paraId="5B37A967" w14:textId="77777777" w:rsidR="0056068E" w:rsidRPr="0056068E" w:rsidRDefault="0056068E" w:rsidP="0056068E"/>
        </w:tc>
        <w:tc>
          <w:tcPr>
            <w:tcW w:w="997" w:type="dxa"/>
            <w:tcBorders>
              <w:top w:val="nil"/>
              <w:left w:val="nil"/>
              <w:bottom w:val="double" w:sz="6" w:space="2" w:color="auto"/>
              <w:right w:val="nil"/>
            </w:tcBorders>
            <w:vAlign w:val="bottom"/>
          </w:tcPr>
          <w:p w14:paraId="016AAD5D" w14:textId="77777777" w:rsidR="0056068E" w:rsidRPr="0056068E" w:rsidRDefault="0056068E" w:rsidP="0056068E"/>
        </w:tc>
      </w:tr>
      <w:tr w:rsidR="0056068E" w:rsidRPr="0056068E" w14:paraId="152001D0" w14:textId="77777777" w:rsidTr="00226BC1">
        <w:trPr>
          <w:trHeight w:hRule="exact" w:val="135"/>
        </w:trPr>
        <w:tc>
          <w:tcPr>
            <w:tcW w:w="2017" w:type="dxa"/>
            <w:tcBorders>
              <w:top w:val="nil"/>
              <w:left w:val="nil"/>
              <w:bottom w:val="nil"/>
              <w:right w:val="nil"/>
            </w:tcBorders>
            <w:vAlign w:val="bottom"/>
          </w:tcPr>
          <w:p w14:paraId="572F2202" w14:textId="77777777" w:rsidR="0056068E" w:rsidRPr="0056068E" w:rsidRDefault="0056068E" w:rsidP="0056068E"/>
        </w:tc>
        <w:tc>
          <w:tcPr>
            <w:tcW w:w="1103" w:type="dxa"/>
            <w:tcBorders>
              <w:top w:val="nil"/>
              <w:left w:val="nil"/>
              <w:bottom w:val="nil"/>
              <w:right w:val="nil"/>
            </w:tcBorders>
            <w:vAlign w:val="bottom"/>
          </w:tcPr>
          <w:p w14:paraId="46387C12" w14:textId="77777777" w:rsidR="0056068E" w:rsidRPr="0056068E" w:rsidRDefault="0056068E" w:rsidP="0056068E"/>
        </w:tc>
        <w:tc>
          <w:tcPr>
            <w:tcW w:w="1207" w:type="dxa"/>
            <w:tcBorders>
              <w:top w:val="nil"/>
              <w:left w:val="nil"/>
              <w:bottom w:val="nil"/>
              <w:right w:val="nil"/>
            </w:tcBorders>
            <w:vAlign w:val="bottom"/>
          </w:tcPr>
          <w:p w14:paraId="7FFC941B" w14:textId="77777777" w:rsidR="0056068E" w:rsidRPr="0056068E" w:rsidRDefault="0056068E" w:rsidP="0056068E"/>
        </w:tc>
        <w:tc>
          <w:tcPr>
            <w:tcW w:w="1208" w:type="dxa"/>
            <w:tcBorders>
              <w:top w:val="nil"/>
              <w:left w:val="nil"/>
              <w:bottom w:val="nil"/>
              <w:right w:val="nil"/>
            </w:tcBorders>
            <w:vAlign w:val="bottom"/>
          </w:tcPr>
          <w:p w14:paraId="17CABA49" w14:textId="77777777" w:rsidR="0056068E" w:rsidRPr="0056068E" w:rsidRDefault="0056068E" w:rsidP="0056068E"/>
        </w:tc>
        <w:tc>
          <w:tcPr>
            <w:tcW w:w="997" w:type="dxa"/>
            <w:tcBorders>
              <w:top w:val="nil"/>
              <w:left w:val="nil"/>
              <w:bottom w:val="nil"/>
              <w:right w:val="nil"/>
            </w:tcBorders>
            <w:vAlign w:val="bottom"/>
          </w:tcPr>
          <w:p w14:paraId="57593A57" w14:textId="77777777" w:rsidR="0056068E" w:rsidRPr="0056068E" w:rsidRDefault="0056068E" w:rsidP="0056068E"/>
        </w:tc>
      </w:tr>
      <w:tr w:rsidR="0056068E" w:rsidRPr="0056068E" w14:paraId="5241C3A0" w14:textId="77777777" w:rsidTr="00226BC1">
        <w:trPr>
          <w:trHeight w:val="225"/>
        </w:trPr>
        <w:tc>
          <w:tcPr>
            <w:tcW w:w="2017" w:type="dxa"/>
            <w:tcBorders>
              <w:top w:val="nil"/>
              <w:left w:val="nil"/>
              <w:bottom w:val="nil"/>
              <w:right w:val="nil"/>
            </w:tcBorders>
            <w:vAlign w:val="bottom"/>
          </w:tcPr>
          <w:p w14:paraId="07F232C0" w14:textId="77777777" w:rsidR="0056068E" w:rsidRPr="0056068E" w:rsidRDefault="0056068E" w:rsidP="0056068E">
            <w:r w:rsidRPr="0056068E">
              <w:t>ASSESS</w:t>
            </w:r>
          </w:p>
        </w:tc>
        <w:tc>
          <w:tcPr>
            <w:tcW w:w="1103" w:type="dxa"/>
            <w:tcBorders>
              <w:top w:val="nil"/>
              <w:left w:val="nil"/>
              <w:bottom w:val="nil"/>
              <w:right w:val="nil"/>
            </w:tcBorders>
            <w:vAlign w:val="bottom"/>
          </w:tcPr>
          <w:p w14:paraId="7191AD57" w14:textId="77777777" w:rsidR="0056068E" w:rsidRPr="0056068E" w:rsidRDefault="0056068E" w:rsidP="0056068E">
            <w:r w:rsidRPr="0056068E">
              <w:t>0.933507</w:t>
            </w:r>
          </w:p>
        </w:tc>
        <w:tc>
          <w:tcPr>
            <w:tcW w:w="1207" w:type="dxa"/>
            <w:tcBorders>
              <w:top w:val="nil"/>
              <w:left w:val="nil"/>
              <w:bottom w:val="nil"/>
              <w:right w:val="nil"/>
            </w:tcBorders>
            <w:vAlign w:val="bottom"/>
          </w:tcPr>
          <w:p w14:paraId="7CB3C848" w14:textId="77777777" w:rsidR="0056068E" w:rsidRPr="0056068E" w:rsidRDefault="0056068E" w:rsidP="0056068E">
            <w:r w:rsidRPr="0056068E">
              <w:t>0.014175</w:t>
            </w:r>
          </w:p>
        </w:tc>
        <w:tc>
          <w:tcPr>
            <w:tcW w:w="1208" w:type="dxa"/>
            <w:tcBorders>
              <w:top w:val="nil"/>
              <w:left w:val="nil"/>
              <w:bottom w:val="nil"/>
              <w:right w:val="nil"/>
            </w:tcBorders>
            <w:vAlign w:val="bottom"/>
          </w:tcPr>
          <w:p w14:paraId="18175EBB" w14:textId="77777777" w:rsidR="0056068E" w:rsidRPr="0056068E" w:rsidRDefault="0056068E" w:rsidP="0056068E">
            <w:r w:rsidRPr="0056068E">
              <w:t>65.85659</w:t>
            </w:r>
          </w:p>
        </w:tc>
        <w:tc>
          <w:tcPr>
            <w:tcW w:w="997" w:type="dxa"/>
            <w:tcBorders>
              <w:top w:val="nil"/>
              <w:left w:val="nil"/>
              <w:bottom w:val="nil"/>
              <w:right w:val="nil"/>
            </w:tcBorders>
            <w:vAlign w:val="bottom"/>
          </w:tcPr>
          <w:p w14:paraId="5399E70D" w14:textId="77777777" w:rsidR="0056068E" w:rsidRPr="0056068E" w:rsidRDefault="0056068E" w:rsidP="0056068E">
            <w:r w:rsidRPr="0056068E">
              <w:t>0.0000</w:t>
            </w:r>
          </w:p>
        </w:tc>
      </w:tr>
      <w:tr w:rsidR="0056068E" w:rsidRPr="0056068E" w14:paraId="1F3FCE2E" w14:textId="77777777" w:rsidTr="00226BC1">
        <w:trPr>
          <w:trHeight w:hRule="exact" w:val="90"/>
        </w:trPr>
        <w:tc>
          <w:tcPr>
            <w:tcW w:w="2017" w:type="dxa"/>
            <w:tcBorders>
              <w:top w:val="nil"/>
              <w:left w:val="nil"/>
              <w:bottom w:val="double" w:sz="6" w:space="2" w:color="auto"/>
              <w:right w:val="nil"/>
            </w:tcBorders>
            <w:vAlign w:val="bottom"/>
          </w:tcPr>
          <w:p w14:paraId="3FFAAC2A" w14:textId="77777777" w:rsidR="0056068E" w:rsidRPr="0056068E" w:rsidRDefault="0056068E" w:rsidP="0056068E"/>
        </w:tc>
        <w:tc>
          <w:tcPr>
            <w:tcW w:w="1103" w:type="dxa"/>
            <w:tcBorders>
              <w:top w:val="nil"/>
              <w:left w:val="nil"/>
              <w:bottom w:val="double" w:sz="6" w:space="2" w:color="auto"/>
              <w:right w:val="nil"/>
            </w:tcBorders>
            <w:vAlign w:val="bottom"/>
          </w:tcPr>
          <w:p w14:paraId="0EAB9556" w14:textId="77777777" w:rsidR="0056068E" w:rsidRPr="0056068E" w:rsidRDefault="0056068E" w:rsidP="0056068E"/>
        </w:tc>
        <w:tc>
          <w:tcPr>
            <w:tcW w:w="1207" w:type="dxa"/>
            <w:tcBorders>
              <w:top w:val="nil"/>
              <w:left w:val="nil"/>
              <w:bottom w:val="double" w:sz="6" w:space="2" w:color="auto"/>
              <w:right w:val="nil"/>
            </w:tcBorders>
            <w:vAlign w:val="bottom"/>
          </w:tcPr>
          <w:p w14:paraId="678CC20E" w14:textId="77777777" w:rsidR="0056068E" w:rsidRPr="0056068E" w:rsidRDefault="0056068E" w:rsidP="0056068E"/>
        </w:tc>
        <w:tc>
          <w:tcPr>
            <w:tcW w:w="1208" w:type="dxa"/>
            <w:tcBorders>
              <w:top w:val="nil"/>
              <w:left w:val="nil"/>
              <w:bottom w:val="double" w:sz="6" w:space="2" w:color="auto"/>
              <w:right w:val="nil"/>
            </w:tcBorders>
            <w:vAlign w:val="bottom"/>
          </w:tcPr>
          <w:p w14:paraId="1DFD8DAC" w14:textId="77777777" w:rsidR="0056068E" w:rsidRPr="0056068E" w:rsidRDefault="0056068E" w:rsidP="0056068E"/>
        </w:tc>
        <w:tc>
          <w:tcPr>
            <w:tcW w:w="997" w:type="dxa"/>
            <w:tcBorders>
              <w:top w:val="nil"/>
              <w:left w:val="nil"/>
              <w:bottom w:val="double" w:sz="6" w:space="2" w:color="auto"/>
              <w:right w:val="nil"/>
            </w:tcBorders>
            <w:vAlign w:val="bottom"/>
          </w:tcPr>
          <w:p w14:paraId="2330B942" w14:textId="77777777" w:rsidR="0056068E" w:rsidRPr="0056068E" w:rsidRDefault="0056068E" w:rsidP="0056068E"/>
        </w:tc>
      </w:tr>
      <w:tr w:rsidR="0056068E" w:rsidRPr="0056068E" w14:paraId="464D8320" w14:textId="77777777" w:rsidTr="00226BC1">
        <w:trPr>
          <w:trHeight w:hRule="exact" w:val="135"/>
        </w:trPr>
        <w:tc>
          <w:tcPr>
            <w:tcW w:w="2017" w:type="dxa"/>
            <w:tcBorders>
              <w:top w:val="nil"/>
              <w:left w:val="nil"/>
              <w:bottom w:val="nil"/>
              <w:right w:val="nil"/>
            </w:tcBorders>
            <w:vAlign w:val="bottom"/>
          </w:tcPr>
          <w:p w14:paraId="6DD56CD6" w14:textId="77777777" w:rsidR="0056068E" w:rsidRPr="0056068E" w:rsidRDefault="0056068E" w:rsidP="0056068E"/>
        </w:tc>
        <w:tc>
          <w:tcPr>
            <w:tcW w:w="1103" w:type="dxa"/>
            <w:tcBorders>
              <w:top w:val="nil"/>
              <w:left w:val="nil"/>
              <w:bottom w:val="nil"/>
              <w:right w:val="nil"/>
            </w:tcBorders>
            <w:vAlign w:val="bottom"/>
          </w:tcPr>
          <w:p w14:paraId="2FBD3B70" w14:textId="77777777" w:rsidR="0056068E" w:rsidRPr="0056068E" w:rsidRDefault="0056068E" w:rsidP="0056068E"/>
        </w:tc>
        <w:tc>
          <w:tcPr>
            <w:tcW w:w="1207" w:type="dxa"/>
            <w:tcBorders>
              <w:top w:val="nil"/>
              <w:left w:val="nil"/>
              <w:bottom w:val="nil"/>
              <w:right w:val="nil"/>
            </w:tcBorders>
            <w:vAlign w:val="bottom"/>
          </w:tcPr>
          <w:p w14:paraId="099E0E88" w14:textId="77777777" w:rsidR="0056068E" w:rsidRPr="0056068E" w:rsidRDefault="0056068E" w:rsidP="0056068E"/>
        </w:tc>
        <w:tc>
          <w:tcPr>
            <w:tcW w:w="1208" w:type="dxa"/>
            <w:tcBorders>
              <w:top w:val="nil"/>
              <w:left w:val="nil"/>
              <w:bottom w:val="nil"/>
              <w:right w:val="nil"/>
            </w:tcBorders>
            <w:vAlign w:val="bottom"/>
          </w:tcPr>
          <w:p w14:paraId="0FA03EE4" w14:textId="77777777" w:rsidR="0056068E" w:rsidRPr="0056068E" w:rsidRDefault="0056068E" w:rsidP="0056068E"/>
        </w:tc>
        <w:tc>
          <w:tcPr>
            <w:tcW w:w="997" w:type="dxa"/>
            <w:tcBorders>
              <w:top w:val="nil"/>
              <w:left w:val="nil"/>
              <w:bottom w:val="nil"/>
              <w:right w:val="nil"/>
            </w:tcBorders>
            <w:vAlign w:val="bottom"/>
          </w:tcPr>
          <w:p w14:paraId="11996F3F" w14:textId="77777777" w:rsidR="0056068E" w:rsidRPr="0056068E" w:rsidRDefault="0056068E" w:rsidP="0056068E"/>
        </w:tc>
      </w:tr>
      <w:tr w:rsidR="0056068E" w:rsidRPr="0056068E" w14:paraId="7BA8CA69" w14:textId="77777777" w:rsidTr="00226BC1">
        <w:trPr>
          <w:trHeight w:val="225"/>
        </w:trPr>
        <w:tc>
          <w:tcPr>
            <w:tcW w:w="2017" w:type="dxa"/>
            <w:tcBorders>
              <w:top w:val="nil"/>
              <w:left w:val="nil"/>
              <w:bottom w:val="nil"/>
              <w:right w:val="nil"/>
            </w:tcBorders>
            <w:vAlign w:val="bottom"/>
          </w:tcPr>
          <w:p w14:paraId="26AC4828" w14:textId="77777777" w:rsidR="0056068E" w:rsidRPr="0056068E" w:rsidRDefault="0056068E" w:rsidP="0056068E">
            <w:r w:rsidRPr="0056068E">
              <w:t>R-squared</w:t>
            </w:r>
          </w:p>
        </w:tc>
        <w:tc>
          <w:tcPr>
            <w:tcW w:w="1103" w:type="dxa"/>
            <w:tcBorders>
              <w:top w:val="nil"/>
              <w:left w:val="nil"/>
              <w:bottom w:val="nil"/>
              <w:right w:val="nil"/>
            </w:tcBorders>
            <w:vAlign w:val="bottom"/>
          </w:tcPr>
          <w:p w14:paraId="3A58DEBA" w14:textId="77777777" w:rsidR="0056068E" w:rsidRPr="0056068E" w:rsidRDefault="0056068E" w:rsidP="0056068E">
            <w:r w:rsidRPr="0056068E">
              <w:t>0.817871</w:t>
            </w:r>
          </w:p>
        </w:tc>
        <w:tc>
          <w:tcPr>
            <w:tcW w:w="2415" w:type="dxa"/>
            <w:gridSpan w:val="2"/>
            <w:tcBorders>
              <w:top w:val="nil"/>
              <w:left w:val="nil"/>
              <w:bottom w:val="nil"/>
              <w:right w:val="nil"/>
            </w:tcBorders>
            <w:vAlign w:val="bottom"/>
          </w:tcPr>
          <w:p w14:paraId="7E65683F" w14:textId="77777777" w:rsidR="0056068E" w:rsidRPr="0056068E" w:rsidRDefault="0056068E" w:rsidP="0056068E">
            <w:r w:rsidRPr="0056068E">
              <w:t>    Mean dependent var</w:t>
            </w:r>
          </w:p>
        </w:tc>
        <w:tc>
          <w:tcPr>
            <w:tcW w:w="997" w:type="dxa"/>
            <w:tcBorders>
              <w:top w:val="nil"/>
              <w:left w:val="nil"/>
              <w:bottom w:val="nil"/>
              <w:right w:val="nil"/>
            </w:tcBorders>
            <w:vAlign w:val="bottom"/>
          </w:tcPr>
          <w:p w14:paraId="135D418F" w14:textId="77777777" w:rsidR="0056068E" w:rsidRPr="0056068E" w:rsidRDefault="0056068E" w:rsidP="0056068E">
            <w:r w:rsidRPr="0056068E">
              <w:t>293.5460</w:t>
            </w:r>
          </w:p>
        </w:tc>
      </w:tr>
      <w:tr w:rsidR="0056068E" w:rsidRPr="0056068E" w14:paraId="2604BD5A" w14:textId="77777777" w:rsidTr="00226BC1">
        <w:trPr>
          <w:trHeight w:val="225"/>
        </w:trPr>
        <w:tc>
          <w:tcPr>
            <w:tcW w:w="2017" w:type="dxa"/>
            <w:tcBorders>
              <w:top w:val="nil"/>
              <w:left w:val="nil"/>
              <w:bottom w:val="nil"/>
              <w:right w:val="nil"/>
            </w:tcBorders>
            <w:vAlign w:val="bottom"/>
          </w:tcPr>
          <w:p w14:paraId="156A1895" w14:textId="77777777" w:rsidR="0056068E" w:rsidRPr="0056068E" w:rsidRDefault="0056068E" w:rsidP="0056068E">
            <w:r w:rsidRPr="0056068E">
              <w:t>Adjusted R-squared</w:t>
            </w:r>
          </w:p>
        </w:tc>
        <w:tc>
          <w:tcPr>
            <w:tcW w:w="1103" w:type="dxa"/>
            <w:tcBorders>
              <w:top w:val="nil"/>
              <w:left w:val="nil"/>
              <w:bottom w:val="nil"/>
              <w:right w:val="nil"/>
            </w:tcBorders>
            <w:vAlign w:val="bottom"/>
          </w:tcPr>
          <w:p w14:paraId="223DB81D" w14:textId="77777777" w:rsidR="0056068E" w:rsidRPr="0056068E" w:rsidRDefault="0056068E" w:rsidP="0056068E">
            <w:r w:rsidRPr="0056068E">
              <w:t>0.817871</w:t>
            </w:r>
          </w:p>
        </w:tc>
        <w:tc>
          <w:tcPr>
            <w:tcW w:w="2415" w:type="dxa"/>
            <w:gridSpan w:val="2"/>
            <w:tcBorders>
              <w:top w:val="nil"/>
              <w:left w:val="nil"/>
              <w:bottom w:val="nil"/>
              <w:right w:val="nil"/>
            </w:tcBorders>
            <w:vAlign w:val="bottom"/>
          </w:tcPr>
          <w:p w14:paraId="34CCFBEA" w14:textId="77777777" w:rsidR="0056068E" w:rsidRPr="0056068E" w:rsidRDefault="0056068E" w:rsidP="0056068E">
            <w:r w:rsidRPr="0056068E">
              <w:t>    S.D. dependent var</w:t>
            </w:r>
          </w:p>
        </w:tc>
        <w:tc>
          <w:tcPr>
            <w:tcW w:w="997" w:type="dxa"/>
            <w:tcBorders>
              <w:top w:val="nil"/>
              <w:left w:val="nil"/>
              <w:bottom w:val="nil"/>
              <w:right w:val="nil"/>
            </w:tcBorders>
            <w:vAlign w:val="bottom"/>
          </w:tcPr>
          <w:p w14:paraId="36E90F82" w14:textId="77777777" w:rsidR="0056068E" w:rsidRPr="0056068E" w:rsidRDefault="0056068E" w:rsidP="0056068E">
            <w:r w:rsidRPr="0056068E">
              <w:t>102.7134</w:t>
            </w:r>
          </w:p>
        </w:tc>
      </w:tr>
      <w:tr w:rsidR="0056068E" w:rsidRPr="0056068E" w14:paraId="6E24491F" w14:textId="77777777" w:rsidTr="00226BC1">
        <w:trPr>
          <w:trHeight w:val="225"/>
        </w:trPr>
        <w:tc>
          <w:tcPr>
            <w:tcW w:w="2017" w:type="dxa"/>
            <w:tcBorders>
              <w:top w:val="nil"/>
              <w:left w:val="nil"/>
              <w:bottom w:val="nil"/>
              <w:right w:val="nil"/>
            </w:tcBorders>
            <w:vAlign w:val="bottom"/>
          </w:tcPr>
          <w:p w14:paraId="1EE0F858" w14:textId="77777777" w:rsidR="0056068E" w:rsidRPr="0056068E" w:rsidRDefault="0056068E" w:rsidP="0056068E">
            <w:r w:rsidRPr="0056068E">
              <w:lastRenderedPageBreak/>
              <w:t>S.E. of regression</w:t>
            </w:r>
          </w:p>
        </w:tc>
        <w:tc>
          <w:tcPr>
            <w:tcW w:w="1103" w:type="dxa"/>
            <w:tcBorders>
              <w:top w:val="nil"/>
              <w:left w:val="nil"/>
              <w:bottom w:val="nil"/>
              <w:right w:val="nil"/>
            </w:tcBorders>
            <w:vAlign w:val="bottom"/>
          </w:tcPr>
          <w:p w14:paraId="37A408DC" w14:textId="77777777" w:rsidR="0056068E" w:rsidRPr="0056068E" w:rsidRDefault="0056068E" w:rsidP="0056068E">
            <w:r w:rsidRPr="0056068E">
              <w:t>43.83456</w:t>
            </w:r>
          </w:p>
        </w:tc>
        <w:tc>
          <w:tcPr>
            <w:tcW w:w="2415" w:type="dxa"/>
            <w:gridSpan w:val="2"/>
            <w:tcBorders>
              <w:top w:val="nil"/>
              <w:left w:val="nil"/>
              <w:bottom w:val="nil"/>
              <w:right w:val="nil"/>
            </w:tcBorders>
            <w:vAlign w:val="bottom"/>
          </w:tcPr>
          <w:p w14:paraId="2AF49EF0" w14:textId="77777777" w:rsidR="0056068E" w:rsidRPr="0056068E" w:rsidRDefault="0056068E" w:rsidP="0056068E">
            <w:r w:rsidRPr="0056068E">
              <w:t>    Akaike info criterion</w:t>
            </w:r>
          </w:p>
        </w:tc>
        <w:tc>
          <w:tcPr>
            <w:tcW w:w="997" w:type="dxa"/>
            <w:tcBorders>
              <w:top w:val="nil"/>
              <w:left w:val="nil"/>
              <w:bottom w:val="nil"/>
              <w:right w:val="nil"/>
            </w:tcBorders>
            <w:vAlign w:val="bottom"/>
          </w:tcPr>
          <w:p w14:paraId="05822DD0" w14:textId="77777777" w:rsidR="0056068E" w:rsidRPr="0056068E" w:rsidRDefault="0056068E" w:rsidP="0056068E">
            <w:r w:rsidRPr="0056068E">
              <w:t>10.41002</w:t>
            </w:r>
          </w:p>
        </w:tc>
      </w:tr>
      <w:tr w:rsidR="0056068E" w:rsidRPr="0056068E" w14:paraId="123B318D" w14:textId="77777777" w:rsidTr="00226BC1">
        <w:trPr>
          <w:trHeight w:val="225"/>
        </w:trPr>
        <w:tc>
          <w:tcPr>
            <w:tcW w:w="2017" w:type="dxa"/>
            <w:tcBorders>
              <w:top w:val="nil"/>
              <w:left w:val="nil"/>
              <w:bottom w:val="nil"/>
              <w:right w:val="nil"/>
            </w:tcBorders>
            <w:vAlign w:val="bottom"/>
          </w:tcPr>
          <w:p w14:paraId="01160BD3" w14:textId="414C9C86" w:rsidR="0056068E" w:rsidRPr="0056068E" w:rsidRDefault="0056068E" w:rsidP="0056068E">
            <w:r w:rsidRPr="0056068E">
              <w:t>Sum squared resid</w:t>
            </w:r>
            <w:r w:rsidR="002D7C28">
              <w:t>ual</w:t>
            </w:r>
          </w:p>
        </w:tc>
        <w:tc>
          <w:tcPr>
            <w:tcW w:w="1103" w:type="dxa"/>
            <w:tcBorders>
              <w:top w:val="nil"/>
              <w:left w:val="nil"/>
              <w:bottom w:val="nil"/>
              <w:right w:val="nil"/>
            </w:tcBorders>
            <w:vAlign w:val="bottom"/>
          </w:tcPr>
          <w:p w14:paraId="45D03DF2" w14:textId="77777777" w:rsidR="0056068E" w:rsidRPr="0056068E" w:rsidRDefault="0056068E" w:rsidP="0056068E">
            <w:r w:rsidRPr="0056068E">
              <w:t>167167.8</w:t>
            </w:r>
          </w:p>
        </w:tc>
        <w:tc>
          <w:tcPr>
            <w:tcW w:w="2415" w:type="dxa"/>
            <w:gridSpan w:val="2"/>
            <w:tcBorders>
              <w:top w:val="nil"/>
              <w:left w:val="nil"/>
              <w:bottom w:val="nil"/>
              <w:right w:val="nil"/>
            </w:tcBorders>
            <w:vAlign w:val="bottom"/>
          </w:tcPr>
          <w:p w14:paraId="60E551C4" w14:textId="77777777" w:rsidR="0056068E" w:rsidRPr="0056068E" w:rsidRDefault="0056068E" w:rsidP="0056068E">
            <w:r w:rsidRPr="0056068E">
              <w:t>    Schwarz criterion</w:t>
            </w:r>
          </w:p>
        </w:tc>
        <w:tc>
          <w:tcPr>
            <w:tcW w:w="997" w:type="dxa"/>
            <w:tcBorders>
              <w:top w:val="nil"/>
              <w:left w:val="nil"/>
              <w:bottom w:val="nil"/>
              <w:right w:val="nil"/>
            </w:tcBorders>
            <w:vAlign w:val="bottom"/>
          </w:tcPr>
          <w:p w14:paraId="587EC43D" w14:textId="77777777" w:rsidR="0056068E" w:rsidRPr="0056068E" w:rsidRDefault="0056068E" w:rsidP="0056068E">
            <w:r w:rsidRPr="0056068E">
              <w:t>10.43817</w:t>
            </w:r>
          </w:p>
        </w:tc>
      </w:tr>
      <w:tr w:rsidR="0056068E" w:rsidRPr="0056068E" w14:paraId="007BAD92" w14:textId="77777777" w:rsidTr="00226BC1">
        <w:trPr>
          <w:trHeight w:val="225"/>
        </w:trPr>
        <w:tc>
          <w:tcPr>
            <w:tcW w:w="2017" w:type="dxa"/>
            <w:tcBorders>
              <w:top w:val="nil"/>
              <w:left w:val="nil"/>
              <w:bottom w:val="nil"/>
              <w:right w:val="nil"/>
            </w:tcBorders>
            <w:vAlign w:val="bottom"/>
          </w:tcPr>
          <w:p w14:paraId="03E8BC74" w14:textId="77777777" w:rsidR="0056068E" w:rsidRPr="0056068E" w:rsidRDefault="0056068E" w:rsidP="0056068E">
            <w:r w:rsidRPr="0056068E">
              <w:t>Log likelihood</w:t>
            </w:r>
          </w:p>
        </w:tc>
        <w:tc>
          <w:tcPr>
            <w:tcW w:w="1103" w:type="dxa"/>
            <w:tcBorders>
              <w:top w:val="nil"/>
              <w:left w:val="nil"/>
              <w:bottom w:val="nil"/>
              <w:right w:val="nil"/>
            </w:tcBorders>
            <w:vAlign w:val="bottom"/>
          </w:tcPr>
          <w:p w14:paraId="12925388" w14:textId="77777777" w:rsidR="0056068E" w:rsidRPr="0056068E" w:rsidRDefault="0056068E" w:rsidP="0056068E">
            <w:r w:rsidRPr="0056068E">
              <w:t>-457.0409</w:t>
            </w:r>
          </w:p>
        </w:tc>
        <w:tc>
          <w:tcPr>
            <w:tcW w:w="2415" w:type="dxa"/>
            <w:gridSpan w:val="2"/>
            <w:tcBorders>
              <w:top w:val="nil"/>
              <w:left w:val="nil"/>
              <w:bottom w:val="nil"/>
              <w:right w:val="nil"/>
            </w:tcBorders>
            <w:vAlign w:val="bottom"/>
          </w:tcPr>
          <w:p w14:paraId="129B5463" w14:textId="77777777" w:rsidR="0056068E" w:rsidRPr="0056068E" w:rsidRDefault="0056068E" w:rsidP="0056068E">
            <w:r w:rsidRPr="0056068E">
              <w:t>    Hannan-Quinn criterion.</w:t>
            </w:r>
          </w:p>
        </w:tc>
        <w:tc>
          <w:tcPr>
            <w:tcW w:w="997" w:type="dxa"/>
            <w:tcBorders>
              <w:top w:val="nil"/>
              <w:left w:val="nil"/>
              <w:bottom w:val="nil"/>
              <w:right w:val="nil"/>
            </w:tcBorders>
            <w:vAlign w:val="bottom"/>
          </w:tcPr>
          <w:p w14:paraId="6C01147B" w14:textId="77777777" w:rsidR="0056068E" w:rsidRPr="0056068E" w:rsidRDefault="0056068E" w:rsidP="0056068E">
            <w:r w:rsidRPr="0056068E">
              <w:t>10.42136</w:t>
            </w:r>
          </w:p>
        </w:tc>
      </w:tr>
      <w:tr w:rsidR="0056068E" w:rsidRPr="0056068E" w14:paraId="5BD2F184" w14:textId="77777777" w:rsidTr="00226BC1">
        <w:trPr>
          <w:trHeight w:val="225"/>
        </w:trPr>
        <w:tc>
          <w:tcPr>
            <w:tcW w:w="2017" w:type="dxa"/>
            <w:tcBorders>
              <w:top w:val="nil"/>
              <w:left w:val="nil"/>
              <w:bottom w:val="nil"/>
              <w:right w:val="nil"/>
            </w:tcBorders>
            <w:vAlign w:val="bottom"/>
          </w:tcPr>
          <w:p w14:paraId="23BE6952" w14:textId="77777777" w:rsidR="0056068E" w:rsidRPr="0056068E" w:rsidRDefault="0056068E" w:rsidP="0056068E">
            <w:r w:rsidRPr="0056068E">
              <w:t>Durbin-Watson stat</w:t>
            </w:r>
          </w:p>
        </w:tc>
        <w:tc>
          <w:tcPr>
            <w:tcW w:w="1103" w:type="dxa"/>
            <w:tcBorders>
              <w:top w:val="nil"/>
              <w:left w:val="nil"/>
              <w:bottom w:val="nil"/>
              <w:right w:val="nil"/>
            </w:tcBorders>
            <w:vAlign w:val="bottom"/>
          </w:tcPr>
          <w:p w14:paraId="5ADB39DE" w14:textId="77777777" w:rsidR="0056068E" w:rsidRPr="0056068E" w:rsidRDefault="0056068E" w:rsidP="0056068E">
            <w:r w:rsidRPr="0056068E">
              <w:t>1.943617</w:t>
            </w:r>
          </w:p>
        </w:tc>
        <w:tc>
          <w:tcPr>
            <w:tcW w:w="1207" w:type="dxa"/>
            <w:tcBorders>
              <w:top w:val="nil"/>
              <w:left w:val="nil"/>
              <w:bottom w:val="nil"/>
              <w:right w:val="nil"/>
            </w:tcBorders>
            <w:vAlign w:val="bottom"/>
          </w:tcPr>
          <w:p w14:paraId="2747DF24" w14:textId="77777777" w:rsidR="0056068E" w:rsidRPr="0056068E" w:rsidRDefault="0056068E" w:rsidP="0056068E"/>
        </w:tc>
        <w:tc>
          <w:tcPr>
            <w:tcW w:w="1208" w:type="dxa"/>
            <w:tcBorders>
              <w:top w:val="nil"/>
              <w:left w:val="nil"/>
              <w:bottom w:val="nil"/>
              <w:right w:val="nil"/>
            </w:tcBorders>
            <w:vAlign w:val="bottom"/>
          </w:tcPr>
          <w:p w14:paraId="0B483003" w14:textId="77777777" w:rsidR="0056068E" w:rsidRPr="0056068E" w:rsidRDefault="0056068E" w:rsidP="0056068E"/>
        </w:tc>
        <w:tc>
          <w:tcPr>
            <w:tcW w:w="997" w:type="dxa"/>
            <w:tcBorders>
              <w:top w:val="nil"/>
              <w:left w:val="nil"/>
              <w:bottom w:val="nil"/>
              <w:right w:val="nil"/>
            </w:tcBorders>
            <w:vAlign w:val="bottom"/>
          </w:tcPr>
          <w:p w14:paraId="6B66A4F3" w14:textId="77777777" w:rsidR="0056068E" w:rsidRPr="0056068E" w:rsidRDefault="0056068E" w:rsidP="0056068E"/>
        </w:tc>
      </w:tr>
      <w:tr w:rsidR="0056068E" w:rsidRPr="0056068E" w14:paraId="1E25E73E" w14:textId="77777777" w:rsidTr="00226BC1">
        <w:trPr>
          <w:trHeight w:hRule="exact" w:val="90"/>
        </w:trPr>
        <w:tc>
          <w:tcPr>
            <w:tcW w:w="2017" w:type="dxa"/>
            <w:tcBorders>
              <w:top w:val="nil"/>
              <w:left w:val="nil"/>
              <w:bottom w:val="double" w:sz="6" w:space="0" w:color="auto"/>
              <w:right w:val="nil"/>
            </w:tcBorders>
            <w:vAlign w:val="bottom"/>
          </w:tcPr>
          <w:p w14:paraId="46883CE1" w14:textId="77777777" w:rsidR="0056068E" w:rsidRPr="0056068E" w:rsidRDefault="0056068E" w:rsidP="0056068E"/>
        </w:tc>
        <w:tc>
          <w:tcPr>
            <w:tcW w:w="1103" w:type="dxa"/>
            <w:tcBorders>
              <w:top w:val="nil"/>
              <w:left w:val="nil"/>
              <w:bottom w:val="double" w:sz="6" w:space="0" w:color="auto"/>
              <w:right w:val="nil"/>
            </w:tcBorders>
            <w:vAlign w:val="bottom"/>
          </w:tcPr>
          <w:p w14:paraId="73945B1A" w14:textId="77777777" w:rsidR="0056068E" w:rsidRPr="0056068E" w:rsidRDefault="0056068E" w:rsidP="0056068E"/>
        </w:tc>
        <w:tc>
          <w:tcPr>
            <w:tcW w:w="1207" w:type="dxa"/>
            <w:tcBorders>
              <w:top w:val="nil"/>
              <w:left w:val="nil"/>
              <w:bottom w:val="double" w:sz="6" w:space="0" w:color="auto"/>
              <w:right w:val="nil"/>
            </w:tcBorders>
            <w:vAlign w:val="bottom"/>
          </w:tcPr>
          <w:p w14:paraId="1D77ECB5" w14:textId="77777777" w:rsidR="0056068E" w:rsidRPr="0056068E" w:rsidRDefault="0056068E" w:rsidP="0056068E"/>
        </w:tc>
        <w:tc>
          <w:tcPr>
            <w:tcW w:w="1208" w:type="dxa"/>
            <w:tcBorders>
              <w:top w:val="nil"/>
              <w:left w:val="nil"/>
              <w:bottom w:val="double" w:sz="6" w:space="0" w:color="auto"/>
              <w:right w:val="nil"/>
            </w:tcBorders>
            <w:vAlign w:val="bottom"/>
          </w:tcPr>
          <w:p w14:paraId="1CC0A3C3" w14:textId="77777777" w:rsidR="0056068E" w:rsidRPr="0056068E" w:rsidRDefault="0056068E" w:rsidP="0056068E"/>
        </w:tc>
        <w:tc>
          <w:tcPr>
            <w:tcW w:w="997" w:type="dxa"/>
            <w:tcBorders>
              <w:top w:val="nil"/>
              <w:left w:val="nil"/>
              <w:bottom w:val="double" w:sz="6" w:space="0" w:color="auto"/>
              <w:right w:val="nil"/>
            </w:tcBorders>
            <w:vAlign w:val="bottom"/>
          </w:tcPr>
          <w:p w14:paraId="255738AC" w14:textId="77777777" w:rsidR="0056068E" w:rsidRPr="0056068E" w:rsidRDefault="0056068E" w:rsidP="0056068E"/>
        </w:tc>
      </w:tr>
      <w:tr w:rsidR="0056068E" w:rsidRPr="0056068E" w14:paraId="7FEF9522" w14:textId="77777777" w:rsidTr="00226BC1">
        <w:trPr>
          <w:trHeight w:hRule="exact" w:val="135"/>
        </w:trPr>
        <w:tc>
          <w:tcPr>
            <w:tcW w:w="2017" w:type="dxa"/>
            <w:tcBorders>
              <w:top w:val="nil"/>
              <w:left w:val="nil"/>
              <w:bottom w:val="nil"/>
              <w:right w:val="nil"/>
            </w:tcBorders>
            <w:vAlign w:val="bottom"/>
          </w:tcPr>
          <w:p w14:paraId="2F24F750" w14:textId="77777777" w:rsidR="0056068E" w:rsidRPr="0056068E" w:rsidRDefault="0056068E" w:rsidP="0056068E"/>
        </w:tc>
        <w:tc>
          <w:tcPr>
            <w:tcW w:w="1103" w:type="dxa"/>
            <w:tcBorders>
              <w:top w:val="nil"/>
              <w:left w:val="nil"/>
              <w:bottom w:val="nil"/>
              <w:right w:val="nil"/>
            </w:tcBorders>
            <w:vAlign w:val="bottom"/>
          </w:tcPr>
          <w:p w14:paraId="38307DF9" w14:textId="77777777" w:rsidR="0056068E" w:rsidRPr="0056068E" w:rsidRDefault="0056068E" w:rsidP="0056068E"/>
        </w:tc>
        <w:tc>
          <w:tcPr>
            <w:tcW w:w="1207" w:type="dxa"/>
            <w:tcBorders>
              <w:top w:val="nil"/>
              <w:left w:val="nil"/>
              <w:bottom w:val="nil"/>
              <w:right w:val="nil"/>
            </w:tcBorders>
            <w:vAlign w:val="bottom"/>
          </w:tcPr>
          <w:p w14:paraId="375D7EFE" w14:textId="77777777" w:rsidR="0056068E" w:rsidRPr="0056068E" w:rsidRDefault="0056068E" w:rsidP="0056068E"/>
        </w:tc>
        <w:tc>
          <w:tcPr>
            <w:tcW w:w="1208" w:type="dxa"/>
            <w:tcBorders>
              <w:top w:val="nil"/>
              <w:left w:val="nil"/>
              <w:bottom w:val="nil"/>
              <w:right w:val="nil"/>
            </w:tcBorders>
            <w:vAlign w:val="bottom"/>
          </w:tcPr>
          <w:p w14:paraId="18DD9F55" w14:textId="77777777" w:rsidR="0056068E" w:rsidRPr="0056068E" w:rsidRDefault="0056068E" w:rsidP="0056068E"/>
        </w:tc>
        <w:tc>
          <w:tcPr>
            <w:tcW w:w="997" w:type="dxa"/>
            <w:tcBorders>
              <w:top w:val="nil"/>
              <w:left w:val="nil"/>
              <w:bottom w:val="nil"/>
              <w:right w:val="nil"/>
            </w:tcBorders>
            <w:vAlign w:val="bottom"/>
          </w:tcPr>
          <w:p w14:paraId="0936372E" w14:textId="77777777" w:rsidR="0056068E" w:rsidRPr="0056068E" w:rsidRDefault="0056068E" w:rsidP="0056068E"/>
        </w:tc>
      </w:tr>
    </w:tbl>
    <w:p w14:paraId="253926C0" w14:textId="77777777" w:rsidR="0056068E" w:rsidRPr="0056068E" w:rsidRDefault="0056068E" w:rsidP="0056068E">
      <w:r w:rsidRPr="0056068E">
        <w:br/>
        <w:t xml:space="preserve">What can be inferred from this regression result about the average price of houses based on their assessed values? </w:t>
      </w:r>
    </w:p>
    <w:tbl>
      <w:tblPr>
        <w:tblStyle w:val="TableGrid"/>
        <w:tblW w:w="9738" w:type="dxa"/>
        <w:tblLook w:val="04A0" w:firstRow="1" w:lastRow="0" w:firstColumn="1" w:lastColumn="0" w:noHBand="0" w:noVBand="1"/>
      </w:tblPr>
      <w:tblGrid>
        <w:gridCol w:w="9738"/>
      </w:tblGrid>
      <w:tr w:rsidR="0056068E" w:rsidRPr="0056068E" w14:paraId="09DAEBF4" w14:textId="77777777" w:rsidTr="008707F9">
        <w:trPr>
          <w:trHeight w:val="1404"/>
        </w:trPr>
        <w:tc>
          <w:tcPr>
            <w:tcW w:w="9738" w:type="dxa"/>
          </w:tcPr>
          <w:p w14:paraId="1EFA0FEC" w14:textId="77777777" w:rsidR="001D6988" w:rsidRDefault="00BB0265" w:rsidP="001D6988">
            <w:pPr>
              <w:spacing w:after="160" w:line="259" w:lineRule="auto"/>
              <w:rPr>
                <w:bCs/>
              </w:rPr>
            </w:pPr>
            <w:r>
              <w:rPr>
                <w:bCs/>
              </w:rPr>
              <w:t xml:space="preserve">The dependent variable in the model is price and independent variables is </w:t>
            </w:r>
            <w:r w:rsidR="00024F6D">
              <w:rPr>
                <w:bCs/>
              </w:rPr>
              <w:t>assess.</w:t>
            </w:r>
            <w:r w:rsidR="00B34191">
              <w:rPr>
                <w:bCs/>
              </w:rPr>
              <w:t xml:space="preserve"> The </w:t>
            </w:r>
            <w:r w:rsidR="000E4A11">
              <w:rPr>
                <w:bCs/>
              </w:rPr>
              <w:t xml:space="preserve">slope </w:t>
            </w:r>
            <w:r w:rsidR="00B34191">
              <w:rPr>
                <w:bCs/>
              </w:rPr>
              <w:t xml:space="preserve">coefficient of the </w:t>
            </w:r>
            <w:r w:rsidR="00EA73CF">
              <w:rPr>
                <w:bCs/>
              </w:rPr>
              <w:t xml:space="preserve">assess is </w:t>
            </w:r>
            <w:r w:rsidR="009264F1">
              <w:rPr>
                <w:bCs/>
              </w:rPr>
              <w:t xml:space="preserve">positive </w:t>
            </w:r>
            <w:r w:rsidR="00EA73CF">
              <w:rPr>
                <w:bCs/>
              </w:rPr>
              <w:t>0.93</w:t>
            </w:r>
            <w:r w:rsidR="009264F1">
              <w:rPr>
                <w:bCs/>
              </w:rPr>
              <w:t xml:space="preserve">, so the interpretation is that </w:t>
            </w:r>
            <w:r w:rsidR="00EF325E">
              <w:rPr>
                <w:bCs/>
              </w:rPr>
              <w:t>for each increase of 1</w:t>
            </w:r>
            <w:r w:rsidR="00310D37">
              <w:rPr>
                <w:bCs/>
              </w:rPr>
              <w:t xml:space="preserve">$ in </w:t>
            </w:r>
            <w:r w:rsidR="00CE1289" w:rsidRPr="00CE1289">
              <w:rPr>
                <w:bCs/>
              </w:rPr>
              <w:t>assessed value of the house</w:t>
            </w:r>
            <w:r w:rsidR="00CE1289">
              <w:rPr>
                <w:bCs/>
              </w:rPr>
              <w:t xml:space="preserve">, then the value of price is estimated </w:t>
            </w:r>
            <w:r w:rsidR="00B214C4">
              <w:rPr>
                <w:bCs/>
              </w:rPr>
              <w:t xml:space="preserve">to increase by </w:t>
            </w:r>
            <w:r w:rsidR="0046511A">
              <w:rPr>
                <w:bCs/>
              </w:rPr>
              <w:t>$</w:t>
            </w:r>
            <w:r w:rsidR="00DC19D0">
              <w:rPr>
                <w:bCs/>
              </w:rPr>
              <w:t>0.93</w:t>
            </w:r>
            <w:r w:rsidR="0046511A">
              <w:rPr>
                <w:bCs/>
              </w:rPr>
              <w:t>.</w:t>
            </w:r>
          </w:p>
          <w:p w14:paraId="53414402" w14:textId="0499E530" w:rsidR="00AC70D5" w:rsidRPr="00BB0265" w:rsidRDefault="00AC70D5" w:rsidP="001D6988">
            <w:pPr>
              <w:spacing w:after="160" w:line="259" w:lineRule="auto"/>
              <w:rPr>
                <w:bCs/>
              </w:rPr>
            </w:pPr>
            <w:r>
              <w:rPr>
                <w:bCs/>
              </w:rPr>
              <w:t xml:space="preserve">The R square of the model is 0.81 or 81% </w:t>
            </w:r>
            <w:r w:rsidR="00324F78">
              <w:rPr>
                <w:bCs/>
              </w:rPr>
              <w:t>of the variation in the dependent variable (price) can be explained by the variation in the independent variable (assess).</w:t>
            </w:r>
            <w:r w:rsidR="008741D5">
              <w:rPr>
                <w:bCs/>
              </w:rPr>
              <w:t xml:space="preserve"> Thus, the model is good-fit </w:t>
            </w:r>
            <w:r w:rsidR="0035083D">
              <w:rPr>
                <w:bCs/>
              </w:rPr>
              <w:t xml:space="preserve">and appropriately explains </w:t>
            </w:r>
            <w:r w:rsidR="00221077">
              <w:rPr>
                <w:bCs/>
              </w:rPr>
              <w:t xml:space="preserve">observed </w:t>
            </w:r>
            <w:r w:rsidR="004155F2">
              <w:rPr>
                <w:bCs/>
              </w:rPr>
              <w:t>data.</w:t>
            </w:r>
          </w:p>
        </w:tc>
      </w:tr>
    </w:tbl>
    <w:p w14:paraId="2E9AA058" w14:textId="77777777" w:rsidR="0056068E" w:rsidRPr="0056068E" w:rsidRDefault="0056068E" w:rsidP="0056068E">
      <w:pPr>
        <w:rPr>
          <w:b/>
        </w:rPr>
      </w:pPr>
    </w:p>
    <w:p w14:paraId="31B56B9D" w14:textId="5748B04F" w:rsidR="0056068E" w:rsidRPr="0056068E" w:rsidRDefault="0056068E" w:rsidP="0056068E">
      <w:r w:rsidRPr="0056068E">
        <w:t>Q9. The agent obtained the descriptive statistic of the resulting residuals from the above regression in Q8. Based on the descriptive statistics, it can be seen that one of the assumptions of the classical linear regression model is violated.</w:t>
      </w:r>
    </w:p>
    <w:p w14:paraId="17EE3430" w14:textId="77777777" w:rsidR="0056068E" w:rsidRPr="0056068E" w:rsidRDefault="0056068E" w:rsidP="0056068E">
      <w:r w:rsidRPr="0056068E">
        <w:object w:dxaOrig="9616" w:dyaOrig="4245" w14:anchorId="4DA6D68E">
          <v:shape id="_x0000_i1027" type="#_x0000_t75" style="width:411.2pt;height:182.4pt" o:ole="">
            <v:imagedata r:id="rId12" o:title=""/>
          </v:shape>
          <o:OLEObject Type="Embed" ProgID="EViews.Workfile.2" ShapeID="_x0000_i1027" DrawAspect="Content" ObjectID="_1712664309" r:id="rId13"/>
        </w:object>
      </w:r>
      <w:r w:rsidRPr="0056068E">
        <w:t xml:space="preserve"> </w:t>
      </w:r>
    </w:p>
    <w:p w14:paraId="2854DA39" w14:textId="77777777" w:rsidR="0056068E" w:rsidRPr="0056068E" w:rsidRDefault="0056068E" w:rsidP="0056068E">
      <w:r w:rsidRPr="0056068E">
        <w:t>State the assumption that is violated. Explain your answer.</w:t>
      </w:r>
    </w:p>
    <w:tbl>
      <w:tblPr>
        <w:tblStyle w:val="TableGrid"/>
        <w:tblW w:w="0" w:type="auto"/>
        <w:tblLook w:val="04A0" w:firstRow="1" w:lastRow="0" w:firstColumn="1" w:lastColumn="0" w:noHBand="0" w:noVBand="1"/>
      </w:tblPr>
      <w:tblGrid>
        <w:gridCol w:w="9628"/>
      </w:tblGrid>
      <w:tr w:rsidR="0056068E" w:rsidRPr="0056068E" w14:paraId="44B82D06" w14:textId="77777777" w:rsidTr="00226BC1">
        <w:tc>
          <w:tcPr>
            <w:tcW w:w="9854" w:type="dxa"/>
          </w:tcPr>
          <w:p w14:paraId="27C4D1FA" w14:textId="76D9202C" w:rsidR="0056068E" w:rsidRPr="0056068E" w:rsidRDefault="00D979D1" w:rsidP="0056068E">
            <w:pPr>
              <w:spacing w:after="160" w:line="259" w:lineRule="auto"/>
            </w:pPr>
            <w:r>
              <w:t xml:space="preserve">The detection of autocorrelation in the regression model. So, that the assumption is violated. The </w:t>
            </w:r>
            <w:r w:rsidR="00632963">
              <w:t xml:space="preserve">Durbin-Watson test value is </w:t>
            </w:r>
            <w:r w:rsidR="00E779A1">
              <w:t>1.94</w:t>
            </w:r>
            <w:r w:rsidR="008F7C5C">
              <w:t xml:space="preserve"> which </w:t>
            </w:r>
            <w:r w:rsidR="00963BD4">
              <w:t>indicates that the positive autocorrelation</w:t>
            </w:r>
            <w:r w:rsidR="00B73E0B">
              <w:t xml:space="preserve"> because the value is less than 2.</w:t>
            </w:r>
          </w:p>
        </w:tc>
      </w:tr>
    </w:tbl>
    <w:p w14:paraId="68A42AC6" w14:textId="77777777" w:rsidR="0056068E" w:rsidRPr="0056068E" w:rsidRDefault="0056068E" w:rsidP="0056068E"/>
    <w:p w14:paraId="000FEAE4" w14:textId="287BCE04" w:rsidR="0056068E" w:rsidRPr="0056068E" w:rsidRDefault="0056068E" w:rsidP="0056068E">
      <w:r w:rsidRPr="0056068E">
        <w:t>Q10. How would you change the regression model to ensure that the assumption in Q9 is not violated?</w:t>
      </w:r>
    </w:p>
    <w:tbl>
      <w:tblPr>
        <w:tblStyle w:val="TableGrid"/>
        <w:tblW w:w="0" w:type="auto"/>
        <w:tblLook w:val="04A0" w:firstRow="1" w:lastRow="0" w:firstColumn="1" w:lastColumn="0" w:noHBand="0" w:noVBand="1"/>
      </w:tblPr>
      <w:tblGrid>
        <w:gridCol w:w="9628"/>
      </w:tblGrid>
      <w:tr w:rsidR="0056068E" w:rsidRPr="0056068E" w14:paraId="2FFFA736" w14:textId="77777777" w:rsidTr="00226BC1">
        <w:tc>
          <w:tcPr>
            <w:tcW w:w="9854" w:type="dxa"/>
          </w:tcPr>
          <w:p w14:paraId="3DC3EFB8" w14:textId="574D4D42" w:rsidR="00831F33" w:rsidRPr="00613A7A" w:rsidRDefault="00831F33" w:rsidP="0056068E">
            <w:pPr>
              <w:spacing w:after="160" w:line="259" w:lineRule="auto"/>
              <w:rPr>
                <w:sz w:val="18"/>
                <w:szCs w:val="18"/>
              </w:rPr>
            </w:pPr>
            <w:r w:rsidRPr="00613A7A">
              <w:rPr>
                <w:sz w:val="18"/>
                <w:szCs w:val="18"/>
              </w:rPr>
              <w:t>A</w:t>
            </w:r>
            <w:r w:rsidRPr="00613A7A">
              <w:rPr>
                <w:sz w:val="18"/>
                <w:szCs w:val="18"/>
              </w:rPr>
              <w:t>n AR1 model can be included to reduce the effects of this autocorrelation.</w:t>
            </w:r>
            <w:r w:rsidR="00A71BF6" w:rsidRPr="00613A7A">
              <w:rPr>
                <w:sz w:val="18"/>
                <w:szCs w:val="18"/>
              </w:rPr>
              <w:t xml:space="preserve"> </w:t>
            </w:r>
            <w:r w:rsidR="007D42B6" w:rsidRPr="00613A7A">
              <w:rPr>
                <w:sz w:val="18"/>
                <w:szCs w:val="18"/>
              </w:rPr>
              <w:t>The autoregressive process of order p or AR(p) is defined by the equation</w:t>
            </w:r>
          </w:p>
          <w:p w14:paraId="1D3CF2FA" w14:textId="464228FA" w:rsidR="00214F81" w:rsidRPr="00613A7A" w:rsidRDefault="00214F81" w:rsidP="0056068E">
            <w:pPr>
              <w:spacing w:after="160" w:line="259" w:lineRule="auto"/>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j</m:t>
                        </m:r>
                      </m:sub>
                    </m:sSub>
                    <m:r>
                      <w:rPr>
                        <w:rFonts w:ascii="Cambria Math" w:hAnsi="Cambria Math"/>
                        <w:sz w:val="18"/>
                        <w:szCs w:val="18"/>
                      </w:rPr>
                      <m:t>X</m:t>
                    </m:r>
                    <m:r>
                      <w:rPr>
                        <w:rFonts w:ascii="Cambria Math" w:hAnsi="Cambria Math"/>
                        <w:sz w:val="18"/>
                        <w:szCs w:val="18"/>
                      </w:rPr>
                      <w:softHyphen/>
                    </m:r>
                    <m:sSub>
                      <m:sSubPr>
                        <m:ctrlPr>
                          <w:rPr>
                            <w:rFonts w:ascii="Cambria Math" w:hAnsi="Cambria Math"/>
                            <w:i/>
                            <w:sz w:val="18"/>
                            <w:szCs w:val="18"/>
                          </w:rPr>
                        </m:ctrlPr>
                      </m:sSubPr>
                      <m:e>
                        <m:r>
                          <w:rPr>
                            <w:rFonts w:ascii="Cambria Math" w:hAnsi="Cambria Math"/>
                            <w:sz w:val="18"/>
                            <w:szCs w:val="18"/>
                          </w:rPr>
                          <w:softHyphen/>
                        </m:r>
                      </m:e>
                      <m:sub>
                        <m:r>
                          <w:rPr>
                            <w:rFonts w:ascii="Cambria Math" w:hAnsi="Cambria Math"/>
                            <w:sz w:val="18"/>
                            <w:szCs w:val="18"/>
                          </w:rPr>
                          <m:t>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t</m:t>
                        </m:r>
                      </m:sub>
                    </m:sSub>
                  </m:e>
                </m:nary>
              </m:oMath>
            </m:oMathPara>
          </w:p>
          <w:p w14:paraId="732AD596" w14:textId="2535BE1C" w:rsidR="00FF7CE4" w:rsidRPr="00613A7A" w:rsidRDefault="009F5019" w:rsidP="0056068E">
            <w:pPr>
              <w:spacing w:after="160" w:line="259" w:lineRule="auto"/>
              <w:rPr>
                <w:sz w:val="18"/>
                <w:szCs w:val="18"/>
              </w:rPr>
            </w:pPr>
            <w:r w:rsidRPr="00613A7A">
              <w:rPr>
                <w:sz w:val="18"/>
                <w:szCs w:val="18"/>
              </w:rPr>
              <w:t xml:space="preserve">Where </w:t>
            </w:r>
            <m:oMath>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t</m:t>
                  </m:r>
                </m:sub>
              </m:sSub>
              <m:r>
                <w:rPr>
                  <w:rFonts w:ascii="Cambria Math" w:hAnsi="Cambria Math"/>
                  <w:sz w:val="18"/>
                  <w:szCs w:val="18"/>
                </w:rPr>
                <m:t>~N(0,</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t>
              </m:r>
            </m:oMath>
          </w:p>
          <w:p w14:paraId="19CB0AE5" w14:textId="47284741" w:rsidR="009F5019" w:rsidRPr="00613A7A" w:rsidRDefault="004D57A4" w:rsidP="0056068E">
            <w:pPr>
              <w:spacing w:after="160" w:line="259" w:lineRule="auto"/>
              <w:rPr>
                <w:sz w:val="18"/>
                <w:szCs w:val="18"/>
              </w:rPr>
            </w:pPr>
            <m:oMath>
              <m:r>
                <w:rPr>
                  <w:rFonts w:ascii="Cambria Math" w:hAnsi="Cambria Math"/>
                  <w:sz w:val="18"/>
                  <w:szCs w:val="18"/>
                </w:rPr>
                <w:lastRenderedPageBreak/>
                <m:t>∅</m:t>
              </m:r>
              <m:r>
                <w:rPr>
                  <w:rFonts w:ascii="Cambria Math" w:hAnsi="Cambria Math"/>
                  <w:sz w:val="18"/>
                  <w:szCs w:val="18"/>
                </w:rPr>
                <m:t xml:space="preserve">= </m:t>
              </m:r>
              <m:r>
                <w:rPr>
                  <w:rFonts w:ascii="Cambria Math" w:hAnsi="Cambria Math"/>
                  <w:sz w:val="18"/>
                  <w:szCs w:val="18"/>
                </w:rPr>
                <m:t>∅</m:t>
              </m:r>
              <m:r>
                <w:rPr>
                  <w:rFonts w:ascii="Cambria Math" w:hAnsi="Cambria Math"/>
                  <w:sz w:val="18"/>
                  <w:szCs w:val="18"/>
                </w:rPr>
                <m:t xml:space="preserve">1, </m:t>
              </m:r>
              <m:r>
                <w:rPr>
                  <w:rFonts w:ascii="Cambria Math" w:hAnsi="Cambria Math"/>
                  <w:sz w:val="18"/>
                  <w:szCs w:val="18"/>
                </w:rPr>
                <m:t>∅</m:t>
              </m:r>
              <m:r>
                <w:rPr>
                  <w:rFonts w:ascii="Cambria Math" w:hAnsi="Cambria Math"/>
                  <w:sz w:val="18"/>
                  <w:szCs w:val="18"/>
                </w:rPr>
                <m:t>2,….</m:t>
              </m:r>
              <m:r>
                <w:rPr>
                  <w:rFonts w:ascii="Cambria Math" w:hAnsi="Cambria Math"/>
                  <w:sz w:val="18"/>
                  <w:szCs w:val="18"/>
                </w:rPr>
                <m:t>∅</m:t>
              </m:r>
              <m:r>
                <w:rPr>
                  <w:rFonts w:ascii="Cambria Math" w:hAnsi="Cambria Math"/>
                  <w:sz w:val="18"/>
                  <w:szCs w:val="18"/>
                </w:rPr>
                <m:t>p</m:t>
              </m:r>
            </m:oMath>
            <w:r w:rsidR="00BE385C" w:rsidRPr="00613A7A">
              <w:rPr>
                <w:sz w:val="18"/>
                <w:szCs w:val="18"/>
              </w:rPr>
              <w:t xml:space="preserve">, is the vector of model coefficients and p </w:t>
            </w:r>
            <w:r w:rsidR="009C1DE4" w:rsidRPr="00613A7A">
              <w:rPr>
                <w:sz w:val="18"/>
                <w:szCs w:val="18"/>
              </w:rPr>
              <w:t>non-negative integer.</w:t>
            </w:r>
          </w:p>
          <w:p w14:paraId="6F425A0F" w14:textId="37ACE03B" w:rsidR="00F60260" w:rsidRPr="00613A7A" w:rsidRDefault="00537385" w:rsidP="0056068E">
            <w:pPr>
              <w:spacing w:after="160" w:line="259" w:lineRule="auto"/>
              <w:rPr>
                <w:sz w:val="18"/>
                <w:szCs w:val="18"/>
              </w:rPr>
            </w:pPr>
            <w:r w:rsidRPr="00613A7A">
              <w:rPr>
                <w:sz w:val="18"/>
                <w:szCs w:val="18"/>
              </w:rPr>
              <w:t>The AR model establishes that a realization at time t is a linear combination of the p previous realization plus some noise term.</w:t>
            </w:r>
          </w:p>
          <w:p w14:paraId="7081F738" w14:textId="573E2AE7" w:rsidR="00FF7CE4" w:rsidRDefault="005418B6" w:rsidP="0056068E">
            <w:pPr>
              <w:spacing w:after="160" w:line="259" w:lineRule="auto"/>
              <w:rPr>
                <w:sz w:val="18"/>
                <w:szCs w:val="18"/>
              </w:rPr>
            </w:pPr>
            <w:r w:rsidRPr="00613A7A">
              <w:rPr>
                <w:sz w:val="18"/>
                <w:szCs w:val="18"/>
              </w:rPr>
              <w:t>For p =</w:t>
            </w:r>
            <w:r w:rsidR="001561C0">
              <w:rPr>
                <w:sz w:val="18"/>
                <w:szCs w:val="18"/>
              </w:rPr>
              <w:t xml:space="preserve"> </w:t>
            </w:r>
            <w:r w:rsidRPr="00613A7A">
              <w:rPr>
                <w:sz w:val="18"/>
                <w:szCs w:val="18"/>
              </w:rPr>
              <w:t>0, Xt =</w:t>
            </w:r>
            <w:r w:rsidR="002047D4">
              <w:rPr>
                <w:sz w:val="18"/>
                <w:szCs w:val="18"/>
              </w:rPr>
              <w:t xml:space="preserve"> </w:t>
            </w:r>
            <w:r w:rsidRPr="00613A7A">
              <w:rPr>
                <w:sz w:val="18"/>
                <w:szCs w:val="18"/>
              </w:rPr>
              <w:t>ωt and there is no autoregression term.</w:t>
            </w:r>
          </w:p>
          <w:p w14:paraId="5256C0FD" w14:textId="318E55B6" w:rsidR="005F5ED1" w:rsidRDefault="004F23F2" w:rsidP="0056068E">
            <w:pPr>
              <w:spacing w:after="160" w:line="259" w:lineRule="auto"/>
              <w:rPr>
                <w:sz w:val="18"/>
                <w:szCs w:val="18"/>
              </w:rPr>
            </w:pPr>
            <w:r>
              <w:rPr>
                <w:sz w:val="18"/>
                <w:szCs w:val="18"/>
              </w:rPr>
              <w:t xml:space="preserve">Now, the </w:t>
            </w:r>
            <w:r w:rsidR="00BC1B88">
              <w:rPr>
                <w:sz w:val="18"/>
                <w:szCs w:val="18"/>
              </w:rPr>
              <w:t xml:space="preserve">modified </w:t>
            </w:r>
            <w:r>
              <w:rPr>
                <w:sz w:val="18"/>
                <w:szCs w:val="18"/>
              </w:rPr>
              <w:t xml:space="preserve">linear regression model is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t</m:t>
                  </m:r>
                </m:sub>
              </m:sSub>
              <m:r>
                <w:rPr>
                  <w:rFonts w:ascii="Cambria Math" w:hAnsi="Cambria Math"/>
                  <w:sz w:val="18"/>
                  <w:szCs w:val="18"/>
                </w:rPr>
                <m:t>, t=1,2,…,n</m:t>
              </m:r>
            </m:oMath>
          </w:p>
          <w:p w14:paraId="2EA5F6F3" w14:textId="3308DBB2" w:rsidR="004F23F2" w:rsidRPr="00E16419" w:rsidRDefault="004F23F2" w:rsidP="0056068E">
            <w:pPr>
              <w:spacing w:after="160" w:line="259" w:lineRule="auto"/>
              <w:rPr>
                <w:rFonts w:ascii="Cambria Math" w:hAnsi="Cambria Math"/>
                <w:i/>
                <w:sz w:val="18"/>
                <w:szCs w:val="18"/>
              </w:rPr>
            </w:pPr>
            <w:r>
              <w:rPr>
                <w:sz w:val="18"/>
                <w:szCs w:val="18"/>
              </w:rPr>
              <w:t xml:space="preserve">Where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t</m:t>
                  </m:r>
                </m:sub>
              </m:sSub>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 xml:space="preserve">t-1 </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t</m:t>
                  </m:r>
                </m:sub>
              </m:sSub>
            </m:oMath>
            <w:r>
              <w:rPr>
                <w:sz w:val="18"/>
                <w:szCs w:val="18"/>
              </w:rPr>
              <w:t xml:space="preserve"> </w:t>
            </w:r>
            <w:r w:rsidR="00395222">
              <w:rPr>
                <w:sz w:val="18"/>
                <w:szCs w:val="18"/>
              </w:rPr>
              <w:t xml:space="preserve">and |p| &lt; 1, </w:t>
            </w:r>
            <m:oMath>
              <m:sSub>
                <m:sSubPr>
                  <m:ctrlPr>
                    <w:rPr>
                      <w:rFonts w:ascii="Cambria Math" w:hAnsi="Cambria Math"/>
                      <w:i/>
                      <w:sz w:val="18"/>
                      <w:szCs w:val="18"/>
                    </w:rPr>
                  </m:ctrlPr>
                </m:sSubPr>
                <m:e>
                  <m:r>
                    <w:rPr>
                      <w:rFonts w:ascii="Cambria Math" w:hAnsi="Cambria Math"/>
                      <w:sz w:val="18"/>
                      <w:szCs w:val="18"/>
                    </w:rPr>
                    <m:t>E(</m:t>
                  </m:r>
                  <m:r>
                    <w:rPr>
                      <w:rFonts w:ascii="Cambria Math" w:hAnsi="Cambria Math"/>
                      <w:sz w:val="18"/>
                      <w:szCs w:val="18"/>
                    </w:rPr>
                    <m:t>ϵ</m:t>
                  </m:r>
                </m:e>
                <m:sub>
                  <m:r>
                    <w:rPr>
                      <w:rFonts w:ascii="Cambria Math" w:hAnsi="Cambria Math"/>
                      <w:sz w:val="18"/>
                      <w:szCs w:val="18"/>
                    </w:rPr>
                    <m:t>t</m:t>
                  </m:r>
                </m:sub>
              </m:sSub>
              <m:r>
                <w:rPr>
                  <w:rFonts w:ascii="Cambria Math" w:hAnsi="Cambria Math"/>
                  <w:sz w:val="18"/>
                  <w:szCs w:val="18"/>
                </w:rPr>
                <m:t>)=0</m:t>
              </m:r>
              <m:r>
                <w:rPr>
                  <w:rFonts w:ascii="Cambria Math" w:hAnsi="Cambria Math"/>
                  <w:sz w:val="18"/>
                  <w:szCs w:val="18"/>
                </w:rPr>
                <m:t>.</m:t>
              </m:r>
            </m:oMath>
          </w:p>
        </w:tc>
      </w:tr>
    </w:tbl>
    <w:p w14:paraId="30BC6C3A" w14:textId="77777777" w:rsidR="0056068E" w:rsidRDefault="0056068E"/>
    <w:sectPr w:rsidR="0056068E" w:rsidSect="00830C5A">
      <w:footerReference w:type="default" r:id="rId14"/>
      <w:pgSz w:w="11906" w:h="16838" w:code="9"/>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52E90" w14:textId="77777777" w:rsidR="009F06A1" w:rsidRDefault="009F06A1" w:rsidP="0056068E">
      <w:pPr>
        <w:spacing w:after="0" w:line="240" w:lineRule="auto"/>
      </w:pPr>
      <w:r>
        <w:separator/>
      </w:r>
    </w:p>
  </w:endnote>
  <w:endnote w:type="continuationSeparator" w:id="0">
    <w:p w14:paraId="16B19A8E" w14:textId="77777777" w:rsidR="009F06A1" w:rsidRDefault="009F06A1" w:rsidP="0056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3198" w14:textId="77777777" w:rsidR="006E4991" w:rsidRDefault="009F06A1" w:rsidP="00830C5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99656" w14:textId="77777777" w:rsidR="009F06A1" w:rsidRDefault="009F06A1" w:rsidP="0056068E">
      <w:pPr>
        <w:spacing w:after="0" w:line="240" w:lineRule="auto"/>
      </w:pPr>
      <w:r>
        <w:separator/>
      </w:r>
    </w:p>
  </w:footnote>
  <w:footnote w:type="continuationSeparator" w:id="0">
    <w:p w14:paraId="20B918C8" w14:textId="77777777" w:rsidR="009F06A1" w:rsidRDefault="009F06A1" w:rsidP="00560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27862"/>
    <w:multiLevelType w:val="hybridMultilevel"/>
    <w:tmpl w:val="12C43062"/>
    <w:lvl w:ilvl="0" w:tplc="CE4E21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1A67F9"/>
    <w:multiLevelType w:val="hybridMultilevel"/>
    <w:tmpl w:val="EEF8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663319">
    <w:abstractNumId w:val="1"/>
  </w:num>
  <w:num w:numId="2" w16cid:durableId="110769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8E"/>
    <w:rsid w:val="000020F5"/>
    <w:rsid w:val="00003262"/>
    <w:rsid w:val="0000435A"/>
    <w:rsid w:val="00005092"/>
    <w:rsid w:val="00007832"/>
    <w:rsid w:val="00010888"/>
    <w:rsid w:val="00015DAD"/>
    <w:rsid w:val="00021119"/>
    <w:rsid w:val="00024F6D"/>
    <w:rsid w:val="00026032"/>
    <w:rsid w:val="00031D74"/>
    <w:rsid w:val="00032537"/>
    <w:rsid w:val="000413ED"/>
    <w:rsid w:val="00045623"/>
    <w:rsid w:val="00046DBA"/>
    <w:rsid w:val="00063A67"/>
    <w:rsid w:val="00066922"/>
    <w:rsid w:val="00070F27"/>
    <w:rsid w:val="000710D4"/>
    <w:rsid w:val="000776A7"/>
    <w:rsid w:val="00080889"/>
    <w:rsid w:val="00080B5A"/>
    <w:rsid w:val="000973A2"/>
    <w:rsid w:val="000A14E3"/>
    <w:rsid w:val="000C3A35"/>
    <w:rsid w:val="000C7B06"/>
    <w:rsid w:val="000E3B6F"/>
    <w:rsid w:val="000E4A11"/>
    <w:rsid w:val="000F1511"/>
    <w:rsid w:val="000F6126"/>
    <w:rsid w:val="00103085"/>
    <w:rsid w:val="00105811"/>
    <w:rsid w:val="00112037"/>
    <w:rsid w:val="0012099D"/>
    <w:rsid w:val="00127A99"/>
    <w:rsid w:val="00132E5D"/>
    <w:rsid w:val="00133EB7"/>
    <w:rsid w:val="0013589F"/>
    <w:rsid w:val="0014098A"/>
    <w:rsid w:val="001509E6"/>
    <w:rsid w:val="00154FDF"/>
    <w:rsid w:val="001561C0"/>
    <w:rsid w:val="00163DAA"/>
    <w:rsid w:val="001645F4"/>
    <w:rsid w:val="00164DC8"/>
    <w:rsid w:val="001746E7"/>
    <w:rsid w:val="00180B62"/>
    <w:rsid w:val="00181B26"/>
    <w:rsid w:val="00182A31"/>
    <w:rsid w:val="00186F39"/>
    <w:rsid w:val="00190FE8"/>
    <w:rsid w:val="001A13DE"/>
    <w:rsid w:val="001A39CF"/>
    <w:rsid w:val="001A5C37"/>
    <w:rsid w:val="001B2C0C"/>
    <w:rsid w:val="001B419D"/>
    <w:rsid w:val="001B7E59"/>
    <w:rsid w:val="001C701B"/>
    <w:rsid w:val="001D002E"/>
    <w:rsid w:val="001D5E8D"/>
    <w:rsid w:val="001D6988"/>
    <w:rsid w:val="001E7E17"/>
    <w:rsid w:val="001F18D3"/>
    <w:rsid w:val="002001B8"/>
    <w:rsid w:val="00201C1D"/>
    <w:rsid w:val="002047D4"/>
    <w:rsid w:val="00213108"/>
    <w:rsid w:val="00214F81"/>
    <w:rsid w:val="00217C69"/>
    <w:rsid w:val="00221077"/>
    <w:rsid w:val="00226FEA"/>
    <w:rsid w:val="002307E9"/>
    <w:rsid w:val="00237517"/>
    <w:rsid w:val="00240492"/>
    <w:rsid w:val="0024391D"/>
    <w:rsid w:val="00244FCE"/>
    <w:rsid w:val="00247209"/>
    <w:rsid w:val="0024748A"/>
    <w:rsid w:val="00247909"/>
    <w:rsid w:val="002543B7"/>
    <w:rsid w:val="00260142"/>
    <w:rsid w:val="002628A2"/>
    <w:rsid w:val="00263967"/>
    <w:rsid w:val="00271E82"/>
    <w:rsid w:val="00271F3B"/>
    <w:rsid w:val="00284FD0"/>
    <w:rsid w:val="0029038F"/>
    <w:rsid w:val="0029310C"/>
    <w:rsid w:val="0029588D"/>
    <w:rsid w:val="002968A1"/>
    <w:rsid w:val="00297874"/>
    <w:rsid w:val="002A04F1"/>
    <w:rsid w:val="002A27E6"/>
    <w:rsid w:val="002B6810"/>
    <w:rsid w:val="002D21F6"/>
    <w:rsid w:val="002D33BD"/>
    <w:rsid w:val="002D6217"/>
    <w:rsid w:val="002D7C28"/>
    <w:rsid w:val="002E0040"/>
    <w:rsid w:val="002E3C3C"/>
    <w:rsid w:val="002E47FF"/>
    <w:rsid w:val="002E7D42"/>
    <w:rsid w:val="002E7D6F"/>
    <w:rsid w:val="002F42AD"/>
    <w:rsid w:val="002F42FD"/>
    <w:rsid w:val="002F5577"/>
    <w:rsid w:val="00310D37"/>
    <w:rsid w:val="00313ECD"/>
    <w:rsid w:val="0031433E"/>
    <w:rsid w:val="00315B26"/>
    <w:rsid w:val="00317E4D"/>
    <w:rsid w:val="00320D34"/>
    <w:rsid w:val="00324F78"/>
    <w:rsid w:val="0033073D"/>
    <w:rsid w:val="00336596"/>
    <w:rsid w:val="00340423"/>
    <w:rsid w:val="003439F7"/>
    <w:rsid w:val="00344688"/>
    <w:rsid w:val="0034684D"/>
    <w:rsid w:val="00350052"/>
    <w:rsid w:val="00350411"/>
    <w:rsid w:val="0035083D"/>
    <w:rsid w:val="003510B9"/>
    <w:rsid w:val="003573A2"/>
    <w:rsid w:val="00363A83"/>
    <w:rsid w:val="0037032A"/>
    <w:rsid w:val="00375FEE"/>
    <w:rsid w:val="0038076F"/>
    <w:rsid w:val="00391199"/>
    <w:rsid w:val="00392BE3"/>
    <w:rsid w:val="003942C5"/>
    <w:rsid w:val="0039512C"/>
    <w:rsid w:val="00395222"/>
    <w:rsid w:val="003A517A"/>
    <w:rsid w:val="003A6095"/>
    <w:rsid w:val="003D4316"/>
    <w:rsid w:val="003D5220"/>
    <w:rsid w:val="003D6CCE"/>
    <w:rsid w:val="003E09A1"/>
    <w:rsid w:val="003E5C6D"/>
    <w:rsid w:val="003F1896"/>
    <w:rsid w:val="003F2B35"/>
    <w:rsid w:val="00402BD3"/>
    <w:rsid w:val="00404A36"/>
    <w:rsid w:val="00406ABE"/>
    <w:rsid w:val="00411B6C"/>
    <w:rsid w:val="004146D5"/>
    <w:rsid w:val="004155F2"/>
    <w:rsid w:val="004156A3"/>
    <w:rsid w:val="00425795"/>
    <w:rsid w:val="004275BC"/>
    <w:rsid w:val="00435C18"/>
    <w:rsid w:val="004362D3"/>
    <w:rsid w:val="00446553"/>
    <w:rsid w:val="00446619"/>
    <w:rsid w:val="00450568"/>
    <w:rsid w:val="00453261"/>
    <w:rsid w:val="00453E6F"/>
    <w:rsid w:val="004545E1"/>
    <w:rsid w:val="00455111"/>
    <w:rsid w:val="00455293"/>
    <w:rsid w:val="004559D4"/>
    <w:rsid w:val="00455A4B"/>
    <w:rsid w:val="00462F24"/>
    <w:rsid w:val="0046511A"/>
    <w:rsid w:val="0047672F"/>
    <w:rsid w:val="00487448"/>
    <w:rsid w:val="004912E7"/>
    <w:rsid w:val="00492369"/>
    <w:rsid w:val="00493EAE"/>
    <w:rsid w:val="00496C4B"/>
    <w:rsid w:val="004A43DB"/>
    <w:rsid w:val="004A5CF4"/>
    <w:rsid w:val="004A68CC"/>
    <w:rsid w:val="004A7B8F"/>
    <w:rsid w:val="004B5E76"/>
    <w:rsid w:val="004C2DC1"/>
    <w:rsid w:val="004C3242"/>
    <w:rsid w:val="004D0D70"/>
    <w:rsid w:val="004D1C03"/>
    <w:rsid w:val="004D57A4"/>
    <w:rsid w:val="004F1609"/>
    <w:rsid w:val="004F23F2"/>
    <w:rsid w:val="00511646"/>
    <w:rsid w:val="00517408"/>
    <w:rsid w:val="0052118D"/>
    <w:rsid w:val="00527394"/>
    <w:rsid w:val="00527488"/>
    <w:rsid w:val="0053305F"/>
    <w:rsid w:val="005340C2"/>
    <w:rsid w:val="00536D89"/>
    <w:rsid w:val="00537385"/>
    <w:rsid w:val="005418B6"/>
    <w:rsid w:val="00543A39"/>
    <w:rsid w:val="005528C6"/>
    <w:rsid w:val="0056068E"/>
    <w:rsid w:val="005654A2"/>
    <w:rsid w:val="00571E92"/>
    <w:rsid w:val="00572907"/>
    <w:rsid w:val="00581E61"/>
    <w:rsid w:val="00583B5B"/>
    <w:rsid w:val="00590874"/>
    <w:rsid w:val="00590E91"/>
    <w:rsid w:val="0059310C"/>
    <w:rsid w:val="00593AA9"/>
    <w:rsid w:val="00595743"/>
    <w:rsid w:val="005A1352"/>
    <w:rsid w:val="005A29DC"/>
    <w:rsid w:val="005A5500"/>
    <w:rsid w:val="005B63EE"/>
    <w:rsid w:val="005C3B76"/>
    <w:rsid w:val="005E14BB"/>
    <w:rsid w:val="005E2D39"/>
    <w:rsid w:val="005E5182"/>
    <w:rsid w:val="005F2446"/>
    <w:rsid w:val="005F4262"/>
    <w:rsid w:val="005F4F42"/>
    <w:rsid w:val="005F52B4"/>
    <w:rsid w:val="005F5ED1"/>
    <w:rsid w:val="005F66A0"/>
    <w:rsid w:val="005F7CE6"/>
    <w:rsid w:val="00600D25"/>
    <w:rsid w:val="00604563"/>
    <w:rsid w:val="00605FC4"/>
    <w:rsid w:val="00611145"/>
    <w:rsid w:val="00613A7A"/>
    <w:rsid w:val="00615377"/>
    <w:rsid w:val="00615D49"/>
    <w:rsid w:val="0062229A"/>
    <w:rsid w:val="00630B0D"/>
    <w:rsid w:val="00632963"/>
    <w:rsid w:val="0063301B"/>
    <w:rsid w:val="006338D8"/>
    <w:rsid w:val="00636FAC"/>
    <w:rsid w:val="00641401"/>
    <w:rsid w:val="00643A77"/>
    <w:rsid w:val="00643EBC"/>
    <w:rsid w:val="0064537B"/>
    <w:rsid w:val="00647653"/>
    <w:rsid w:val="00650468"/>
    <w:rsid w:val="00650AE2"/>
    <w:rsid w:val="006543B0"/>
    <w:rsid w:val="00656CBC"/>
    <w:rsid w:val="006677B2"/>
    <w:rsid w:val="00670763"/>
    <w:rsid w:val="00673AD6"/>
    <w:rsid w:val="0067773B"/>
    <w:rsid w:val="006808AE"/>
    <w:rsid w:val="006812A3"/>
    <w:rsid w:val="00682922"/>
    <w:rsid w:val="00682A9E"/>
    <w:rsid w:val="00683660"/>
    <w:rsid w:val="0068582E"/>
    <w:rsid w:val="00694645"/>
    <w:rsid w:val="00695ACF"/>
    <w:rsid w:val="00697C8D"/>
    <w:rsid w:val="006A009E"/>
    <w:rsid w:val="006A188A"/>
    <w:rsid w:val="006A5B2E"/>
    <w:rsid w:val="006A5BC2"/>
    <w:rsid w:val="006B5299"/>
    <w:rsid w:val="006B71D3"/>
    <w:rsid w:val="006C1C93"/>
    <w:rsid w:val="006D07B6"/>
    <w:rsid w:val="006E7598"/>
    <w:rsid w:val="006F5BF3"/>
    <w:rsid w:val="007114AD"/>
    <w:rsid w:val="00713B7E"/>
    <w:rsid w:val="0071501E"/>
    <w:rsid w:val="00717FAF"/>
    <w:rsid w:val="007426B4"/>
    <w:rsid w:val="007442F0"/>
    <w:rsid w:val="0074604D"/>
    <w:rsid w:val="007503EA"/>
    <w:rsid w:val="007505A7"/>
    <w:rsid w:val="0075344A"/>
    <w:rsid w:val="0075577E"/>
    <w:rsid w:val="007616D9"/>
    <w:rsid w:val="00762090"/>
    <w:rsid w:val="0076548D"/>
    <w:rsid w:val="007728E0"/>
    <w:rsid w:val="00791091"/>
    <w:rsid w:val="007915AD"/>
    <w:rsid w:val="007A5AA1"/>
    <w:rsid w:val="007B00D0"/>
    <w:rsid w:val="007C43F1"/>
    <w:rsid w:val="007C5F0F"/>
    <w:rsid w:val="007D42B6"/>
    <w:rsid w:val="007D61E9"/>
    <w:rsid w:val="007E3246"/>
    <w:rsid w:val="007E5B9A"/>
    <w:rsid w:val="007F3129"/>
    <w:rsid w:val="007F5D9F"/>
    <w:rsid w:val="00802E60"/>
    <w:rsid w:val="008055EC"/>
    <w:rsid w:val="00825241"/>
    <w:rsid w:val="00825A39"/>
    <w:rsid w:val="0082738B"/>
    <w:rsid w:val="00831470"/>
    <w:rsid w:val="00831D1D"/>
    <w:rsid w:val="00831F33"/>
    <w:rsid w:val="0083501C"/>
    <w:rsid w:val="00843043"/>
    <w:rsid w:val="008457A1"/>
    <w:rsid w:val="00846B30"/>
    <w:rsid w:val="0087047F"/>
    <w:rsid w:val="008707F9"/>
    <w:rsid w:val="00870C88"/>
    <w:rsid w:val="00873B75"/>
    <w:rsid w:val="008741D5"/>
    <w:rsid w:val="00875CA2"/>
    <w:rsid w:val="00891526"/>
    <w:rsid w:val="0089206B"/>
    <w:rsid w:val="00892D90"/>
    <w:rsid w:val="00893E8B"/>
    <w:rsid w:val="00894439"/>
    <w:rsid w:val="00897542"/>
    <w:rsid w:val="008A00F4"/>
    <w:rsid w:val="008A0D0E"/>
    <w:rsid w:val="008A0DC3"/>
    <w:rsid w:val="008A1661"/>
    <w:rsid w:val="008A53B2"/>
    <w:rsid w:val="008B3B6C"/>
    <w:rsid w:val="008B49DF"/>
    <w:rsid w:val="008B5F1D"/>
    <w:rsid w:val="008C21D8"/>
    <w:rsid w:val="008C2A0B"/>
    <w:rsid w:val="008D494E"/>
    <w:rsid w:val="008D5427"/>
    <w:rsid w:val="008E3665"/>
    <w:rsid w:val="008F3540"/>
    <w:rsid w:val="008F3FA9"/>
    <w:rsid w:val="008F79D9"/>
    <w:rsid w:val="008F7C5C"/>
    <w:rsid w:val="009072B4"/>
    <w:rsid w:val="00912750"/>
    <w:rsid w:val="009154C3"/>
    <w:rsid w:val="0092281B"/>
    <w:rsid w:val="00924B10"/>
    <w:rsid w:val="009264F1"/>
    <w:rsid w:val="009319CB"/>
    <w:rsid w:val="00932DF2"/>
    <w:rsid w:val="00934D2B"/>
    <w:rsid w:val="00934EDA"/>
    <w:rsid w:val="0094557D"/>
    <w:rsid w:val="00945A5E"/>
    <w:rsid w:val="00952195"/>
    <w:rsid w:val="00955762"/>
    <w:rsid w:val="0095634E"/>
    <w:rsid w:val="0095774F"/>
    <w:rsid w:val="0096353C"/>
    <w:rsid w:val="00963BD4"/>
    <w:rsid w:val="00972AC0"/>
    <w:rsid w:val="009748D5"/>
    <w:rsid w:val="009755EA"/>
    <w:rsid w:val="00987949"/>
    <w:rsid w:val="009925C3"/>
    <w:rsid w:val="009A126B"/>
    <w:rsid w:val="009A2E68"/>
    <w:rsid w:val="009A3605"/>
    <w:rsid w:val="009A3CB8"/>
    <w:rsid w:val="009B184E"/>
    <w:rsid w:val="009B77F7"/>
    <w:rsid w:val="009C078D"/>
    <w:rsid w:val="009C1DE4"/>
    <w:rsid w:val="009C4BF3"/>
    <w:rsid w:val="009C4EEC"/>
    <w:rsid w:val="009C5874"/>
    <w:rsid w:val="009C6D83"/>
    <w:rsid w:val="009C7C30"/>
    <w:rsid w:val="009D0345"/>
    <w:rsid w:val="009D3E7B"/>
    <w:rsid w:val="009D7C3E"/>
    <w:rsid w:val="009E1970"/>
    <w:rsid w:val="009F06A1"/>
    <w:rsid w:val="009F0FD3"/>
    <w:rsid w:val="009F5019"/>
    <w:rsid w:val="00A1627C"/>
    <w:rsid w:val="00A226AF"/>
    <w:rsid w:val="00A23AA0"/>
    <w:rsid w:val="00A26B8E"/>
    <w:rsid w:val="00A27DE1"/>
    <w:rsid w:val="00A36B90"/>
    <w:rsid w:val="00A405AC"/>
    <w:rsid w:val="00A41B4A"/>
    <w:rsid w:val="00A423C4"/>
    <w:rsid w:val="00A67248"/>
    <w:rsid w:val="00A71BF6"/>
    <w:rsid w:val="00A71E1C"/>
    <w:rsid w:val="00A7628C"/>
    <w:rsid w:val="00A8383B"/>
    <w:rsid w:val="00A83B2B"/>
    <w:rsid w:val="00A90045"/>
    <w:rsid w:val="00A95BB3"/>
    <w:rsid w:val="00AA38FB"/>
    <w:rsid w:val="00AB210A"/>
    <w:rsid w:val="00AC1A56"/>
    <w:rsid w:val="00AC1D52"/>
    <w:rsid w:val="00AC2D5C"/>
    <w:rsid w:val="00AC43CE"/>
    <w:rsid w:val="00AC70D5"/>
    <w:rsid w:val="00AD6881"/>
    <w:rsid w:val="00AD6E47"/>
    <w:rsid w:val="00AE7AE6"/>
    <w:rsid w:val="00AF4309"/>
    <w:rsid w:val="00B004FF"/>
    <w:rsid w:val="00B0372A"/>
    <w:rsid w:val="00B06A06"/>
    <w:rsid w:val="00B10537"/>
    <w:rsid w:val="00B118A4"/>
    <w:rsid w:val="00B13EF6"/>
    <w:rsid w:val="00B14CD3"/>
    <w:rsid w:val="00B15C4A"/>
    <w:rsid w:val="00B174E4"/>
    <w:rsid w:val="00B17E38"/>
    <w:rsid w:val="00B214C4"/>
    <w:rsid w:val="00B2677A"/>
    <w:rsid w:val="00B3202F"/>
    <w:rsid w:val="00B34191"/>
    <w:rsid w:val="00B36810"/>
    <w:rsid w:val="00B36867"/>
    <w:rsid w:val="00B528DC"/>
    <w:rsid w:val="00B730E3"/>
    <w:rsid w:val="00B73E0B"/>
    <w:rsid w:val="00B76548"/>
    <w:rsid w:val="00B76923"/>
    <w:rsid w:val="00B85818"/>
    <w:rsid w:val="00BA02C3"/>
    <w:rsid w:val="00BA08F4"/>
    <w:rsid w:val="00BA52A6"/>
    <w:rsid w:val="00BA7470"/>
    <w:rsid w:val="00BB0265"/>
    <w:rsid w:val="00BB18B9"/>
    <w:rsid w:val="00BB38FD"/>
    <w:rsid w:val="00BB6714"/>
    <w:rsid w:val="00BC1B88"/>
    <w:rsid w:val="00BC6019"/>
    <w:rsid w:val="00BC63DC"/>
    <w:rsid w:val="00BD0340"/>
    <w:rsid w:val="00BD1E43"/>
    <w:rsid w:val="00BD2944"/>
    <w:rsid w:val="00BD3320"/>
    <w:rsid w:val="00BE2177"/>
    <w:rsid w:val="00BE385C"/>
    <w:rsid w:val="00BE5995"/>
    <w:rsid w:val="00BF605A"/>
    <w:rsid w:val="00BF7060"/>
    <w:rsid w:val="00C02216"/>
    <w:rsid w:val="00C07A41"/>
    <w:rsid w:val="00C16349"/>
    <w:rsid w:val="00C1709A"/>
    <w:rsid w:val="00C2183E"/>
    <w:rsid w:val="00C26FC2"/>
    <w:rsid w:val="00C308EE"/>
    <w:rsid w:val="00C349DF"/>
    <w:rsid w:val="00C361C3"/>
    <w:rsid w:val="00C3654D"/>
    <w:rsid w:val="00C47F42"/>
    <w:rsid w:val="00C5361F"/>
    <w:rsid w:val="00C56BE3"/>
    <w:rsid w:val="00C62901"/>
    <w:rsid w:val="00C64933"/>
    <w:rsid w:val="00C669C4"/>
    <w:rsid w:val="00C66BAE"/>
    <w:rsid w:val="00C72B51"/>
    <w:rsid w:val="00C75426"/>
    <w:rsid w:val="00C76A89"/>
    <w:rsid w:val="00C82A45"/>
    <w:rsid w:val="00C8318B"/>
    <w:rsid w:val="00C834E4"/>
    <w:rsid w:val="00C90528"/>
    <w:rsid w:val="00C91262"/>
    <w:rsid w:val="00C94CC9"/>
    <w:rsid w:val="00C96DBB"/>
    <w:rsid w:val="00CA21DD"/>
    <w:rsid w:val="00CA7C04"/>
    <w:rsid w:val="00CC0206"/>
    <w:rsid w:val="00CC6FEE"/>
    <w:rsid w:val="00CD1AA3"/>
    <w:rsid w:val="00CD6AED"/>
    <w:rsid w:val="00CE1289"/>
    <w:rsid w:val="00CE279B"/>
    <w:rsid w:val="00CF0177"/>
    <w:rsid w:val="00CF30EB"/>
    <w:rsid w:val="00CF583D"/>
    <w:rsid w:val="00D02339"/>
    <w:rsid w:val="00D06C76"/>
    <w:rsid w:val="00D06EED"/>
    <w:rsid w:val="00D14CCE"/>
    <w:rsid w:val="00D178D7"/>
    <w:rsid w:val="00D21F97"/>
    <w:rsid w:val="00D25B13"/>
    <w:rsid w:val="00D33AFD"/>
    <w:rsid w:val="00D34899"/>
    <w:rsid w:val="00D360B5"/>
    <w:rsid w:val="00D379B8"/>
    <w:rsid w:val="00D40A32"/>
    <w:rsid w:val="00D45477"/>
    <w:rsid w:val="00D455BC"/>
    <w:rsid w:val="00D525EF"/>
    <w:rsid w:val="00D535BC"/>
    <w:rsid w:val="00D5416C"/>
    <w:rsid w:val="00D62E6C"/>
    <w:rsid w:val="00D62F99"/>
    <w:rsid w:val="00D6755B"/>
    <w:rsid w:val="00D76F09"/>
    <w:rsid w:val="00D801E7"/>
    <w:rsid w:val="00D869FC"/>
    <w:rsid w:val="00D945B8"/>
    <w:rsid w:val="00D979D1"/>
    <w:rsid w:val="00DA30B8"/>
    <w:rsid w:val="00DB0320"/>
    <w:rsid w:val="00DB2327"/>
    <w:rsid w:val="00DB3EC4"/>
    <w:rsid w:val="00DC19D0"/>
    <w:rsid w:val="00DC4835"/>
    <w:rsid w:val="00DC67C2"/>
    <w:rsid w:val="00DD2C2F"/>
    <w:rsid w:val="00DD69BD"/>
    <w:rsid w:val="00DF0B8F"/>
    <w:rsid w:val="00E10968"/>
    <w:rsid w:val="00E1112A"/>
    <w:rsid w:val="00E144CF"/>
    <w:rsid w:val="00E16419"/>
    <w:rsid w:val="00E23EF7"/>
    <w:rsid w:val="00E25B78"/>
    <w:rsid w:val="00E26563"/>
    <w:rsid w:val="00E310C7"/>
    <w:rsid w:val="00E33724"/>
    <w:rsid w:val="00E40434"/>
    <w:rsid w:val="00E40BA0"/>
    <w:rsid w:val="00E51BD4"/>
    <w:rsid w:val="00E53C91"/>
    <w:rsid w:val="00E62B7D"/>
    <w:rsid w:val="00E7150E"/>
    <w:rsid w:val="00E716CF"/>
    <w:rsid w:val="00E73393"/>
    <w:rsid w:val="00E75489"/>
    <w:rsid w:val="00E769E1"/>
    <w:rsid w:val="00E779A1"/>
    <w:rsid w:val="00E80F22"/>
    <w:rsid w:val="00E87697"/>
    <w:rsid w:val="00E94500"/>
    <w:rsid w:val="00E962DE"/>
    <w:rsid w:val="00E96F4A"/>
    <w:rsid w:val="00EA73CF"/>
    <w:rsid w:val="00EB0F4D"/>
    <w:rsid w:val="00EB373F"/>
    <w:rsid w:val="00EC6324"/>
    <w:rsid w:val="00ED30C8"/>
    <w:rsid w:val="00ED4FAE"/>
    <w:rsid w:val="00EE1CD8"/>
    <w:rsid w:val="00EE3883"/>
    <w:rsid w:val="00EF0010"/>
    <w:rsid w:val="00EF325E"/>
    <w:rsid w:val="00F0168E"/>
    <w:rsid w:val="00F02987"/>
    <w:rsid w:val="00F142D4"/>
    <w:rsid w:val="00F16ED8"/>
    <w:rsid w:val="00F1784A"/>
    <w:rsid w:val="00F20DBA"/>
    <w:rsid w:val="00F23F15"/>
    <w:rsid w:val="00F27CA0"/>
    <w:rsid w:val="00F3027C"/>
    <w:rsid w:val="00F3720C"/>
    <w:rsid w:val="00F4463D"/>
    <w:rsid w:val="00F52666"/>
    <w:rsid w:val="00F55762"/>
    <w:rsid w:val="00F60260"/>
    <w:rsid w:val="00F63654"/>
    <w:rsid w:val="00F64897"/>
    <w:rsid w:val="00F71DCE"/>
    <w:rsid w:val="00F92DC5"/>
    <w:rsid w:val="00F94410"/>
    <w:rsid w:val="00F94C80"/>
    <w:rsid w:val="00FA35AC"/>
    <w:rsid w:val="00FB0971"/>
    <w:rsid w:val="00FB4D18"/>
    <w:rsid w:val="00FB562E"/>
    <w:rsid w:val="00FC38C0"/>
    <w:rsid w:val="00FC4C27"/>
    <w:rsid w:val="00FC62A8"/>
    <w:rsid w:val="00FD2B01"/>
    <w:rsid w:val="00FE44FC"/>
    <w:rsid w:val="00FE6683"/>
    <w:rsid w:val="00FF1FED"/>
    <w:rsid w:val="00FF5F7B"/>
    <w:rsid w:val="00FF7A47"/>
    <w:rsid w:val="00FF7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C326"/>
  <w15:chartTrackingRefBased/>
  <w15:docId w15:val="{AB8FCCA4-9AEA-4932-923E-D4789403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60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68E"/>
  </w:style>
  <w:style w:type="paragraph" w:styleId="Header">
    <w:name w:val="header"/>
    <w:basedOn w:val="Normal"/>
    <w:link w:val="HeaderChar"/>
    <w:uiPriority w:val="99"/>
    <w:unhideWhenUsed/>
    <w:rsid w:val="0056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68E"/>
  </w:style>
  <w:style w:type="table" w:styleId="TableGrid">
    <w:name w:val="Table Grid"/>
    <w:basedOn w:val="TableNormal"/>
    <w:uiPriority w:val="59"/>
    <w:rsid w:val="0056068E"/>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3B7"/>
    <w:pPr>
      <w:ind w:left="720"/>
      <w:contextualSpacing/>
    </w:pPr>
  </w:style>
  <w:style w:type="character" w:styleId="PlaceholderText">
    <w:name w:val="Placeholder Text"/>
    <w:basedOn w:val="DefaultParagraphFont"/>
    <w:uiPriority w:val="99"/>
    <w:semiHidden/>
    <w:rsid w:val="009A2E68"/>
    <w:rPr>
      <w:color w:val="808080"/>
    </w:rPr>
  </w:style>
  <w:style w:type="table" w:styleId="TableGridLight">
    <w:name w:val="Grid Table Light"/>
    <w:basedOn w:val="TableNormal"/>
    <w:uiPriority w:val="40"/>
    <w:rsid w:val="001120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20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120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20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20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7A2752-866D-4FEA-905E-52B5B102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Aavas Lamichhane</dc:creator>
  <cp:keywords/>
  <dc:description/>
  <cp:lastModifiedBy>laptop 07</cp:lastModifiedBy>
  <cp:revision>716</cp:revision>
  <dcterms:created xsi:type="dcterms:W3CDTF">2021-09-14T12:20:00Z</dcterms:created>
  <dcterms:modified xsi:type="dcterms:W3CDTF">2022-04-28T09:36:00Z</dcterms:modified>
</cp:coreProperties>
</file>