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t xml:space="preserve"/>
      </w:r>
    </w:p>
    <w:p>
      <w:pPr>
        <w:spacing w:after="60"/>
        <w:jc w:val="center"/>
      </w:pPr>
      <w:r>
        <w:rPr>
          <w:rFonts w:ascii="Arial" w:cs="Arial" w:eastAsia="Arial" w:hAnsi="Arial"/>
          <w:b/>
          <w:bCs/>
          <w:color w:val="2E6FB7"/>
          <w:sz w:val="24"/>
          <w:szCs w:val="24"/>
        </w:rPr>
        <w:t xml:space="preserve">Document 0 of 6</w:t>
      </w:r>
    </w:p>
    <w:p>
      <w:pPr>
        <w:spacing w:after="100"/>
        <w:jc w:val="center"/>
      </w:pPr>
      <w:r>
        <w:rPr>
          <w:rFonts w:ascii="Arial" w:cs="Arial" w:eastAsia="Arial" w:hAnsi="Arial"/>
          <w:b/>
          <w:bCs/>
          <w:color w:val="1F3A5F"/>
          <w:sz w:val="56"/>
          <w:szCs w:val="56"/>
        </w:rPr>
        <w:t xml:space="preserve">Master Index</w:t>
      </w:r>
    </w:p>
    <w:p>
      <w:pPr>
        <w:spacing w:after="300"/>
        <w:jc w:val="center"/>
      </w:pPr>
      <w:r>
        <w:rPr>
          <w:rFonts w:ascii="Arial" w:cs="Arial" w:eastAsia="Arial" w:hAnsi="Arial"/>
          <w:color w:val="2E6FB7"/>
          <w:sz w:val="28"/>
          <w:szCs w:val="28"/>
        </w:rPr>
        <w:t xml:space="preserve">Start Here — Build Documentation Package</w:t>
      </w:r>
    </w:p>
    <w:p>
      <w:pPr>
        <w:spacing w:after="500"/>
        <w:jc w:val="center"/>
      </w:pPr>
      <w:r>
        <w:rPr>
          <w:rFonts w:ascii="Arial" w:cs="Arial" w:eastAsia="Arial" w:hAnsi="Arial"/>
          <w:color w:val="5F5E5A"/>
          <w:sz w:val="20"/>
          <w:szCs w:val="20"/>
        </w:rPr>
        <w:t xml:space="preserve">The map to all documents — read this first</w:t>
      </w:r>
    </w:p>
    <w:p>
      <w:pPr>
        <w:spacing w:after="60"/>
        <w:jc w:val="center"/>
      </w:pPr>
      <w:r>
        <w:rPr>
          <w:rFonts w:ascii="Arial" w:cs="Arial" w:eastAsia="Arial" w:hAnsi="Arial"/>
          <w:color w:val="5F5E5A"/>
          <w:sz w:val="18"/>
          <w:szCs w:val="18"/>
        </w:rPr>
        <w:t xml:space="preserve">BioCore Platform — Build Documentation Package</w:t>
      </w:r>
    </w:p>
    <w:p>
      <w:pPr>
        <w:jc w:val="center"/>
      </w:pPr>
      <w:r>
        <w:rPr>
          <w:rFonts w:ascii="Arial" w:cs="Arial" w:eastAsia="Arial" w:hAnsi="Arial"/>
          <w:color w:val="5F5E5A"/>
          <w:sz w:val="18"/>
          <w:szCs w:val="18"/>
        </w:rPr>
        <w:t xml:space="preserve">Stack: FastAPI · Next.js · PostgreSQL · Milvus · MinIO · Redis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A5F" w:val="clear"/>
            <w:tcMar>
              <w:top w:type="dxa" w:w="160"/>
              <w:left w:type="dxa" w:w="200"/>
              <w:bottom w:type="dxa" w:w="160"/>
              <w:right w:type="dxa" w:w="200"/>
            </w:tcMar>
          </w:tcPr>
          <w:p>
            <w:r>
              <w:rPr>
                <w:rFonts w:ascii="Arial" w:cs="Arial" w:eastAsia="Arial" w:hAnsi="Arial"/>
                <w:b/>
                <w:bCs/>
                <w:color w:val="9FC0E8"/>
                <w:sz w:val="20"/>
                <w:szCs w:val="20"/>
              </w:rPr>
              <w:t xml:space="preserve">Overview</w:t>
            </w:r>
          </w:p>
          <w:p>
            <w:pPr>
              <w:spacing w:before="40"/>
            </w:pPr>
            <w:r>
              <w:rPr>
                <w:rFonts w:ascii="Arial" w:cs="Arial" w:eastAsia="Arial" w:hAnsi="Arial"/>
                <w:b/>
                <w:bCs/>
                <w:color w:val="FFFFFF"/>
                <w:sz w:val="30"/>
                <w:szCs w:val="30"/>
              </w:rPr>
              <w:t xml:space="preserve">The Documentation Package</w:t>
            </w:r>
          </w:p>
        </w:tc>
      </w:tr>
    </w:tbl>
    <w:p>
      <w:pPr>
        <w:spacing w:after="160"/>
      </w:pPr>
      <w:r>
        <w:t xml:space="preserve"/>
      </w:r>
    </w:p>
    <w:p>
      <w:pPr>
        <w:pStyle w:val="Heading1"/>
      </w:pPr>
      <w:r>
        <w:t xml:space="preserve">1. What this package is</w:t>
      </w:r>
    </w:p>
    <w:p>
      <w:pPr>
        <w:spacing w:after="120" w:line="276"/>
      </w:pPr>
      <w:r>
        <w:t xml:space="preserve">This is the complete, self-contained build documentation for the BioCore face authentication platform. It is written so that a freelance development company can build the entire product without needing to come back with questions. It is split into seven documents (this index plus six references) so each can be handed to the right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1F3A5F" w:sz="18"/>
              <w:bottom w:val="single" w:color="D6E4F0" w:sz="1"/>
              <w:right w:val="single" w:color="D6E4F0" w:sz="1"/>
            </w:tcBorders>
            <w:shd w:fill="D6E4F0" w:val="clear"/>
            <w:tcMar>
              <w:top w:type="dxa" w:w="140"/>
              <w:left w:type="dxa" w:w="180"/>
              <w:bottom w:type="dxa" w:w="140"/>
              <w:right w:type="dxa" w:w="180"/>
            </w:tcMar>
          </w:tcPr>
          <w:p>
            <w:pPr>
              <w:spacing w:after="80"/>
            </w:pPr>
            <w:r>
              <w:rPr>
                <w:rFonts w:ascii="Arial" w:cs="Arial" w:eastAsia="Arial" w:hAnsi="Arial"/>
                <w:b/>
                <w:bCs/>
                <w:color w:val="1F3A5F"/>
                <w:sz w:val="21"/>
                <w:szCs w:val="21"/>
              </w:rPr>
              <w:t xml:space="preserve">Read in this order</w:t>
            </w:r>
          </w:p>
          <w:p>
            <w:pPr>
              <w:spacing w:after="60" w:line="264"/>
            </w:pPr>
            <w:r>
              <w:rPr>
                <w:rFonts w:ascii="Arial" w:cs="Arial" w:eastAsia="Arial" w:hAnsi="Arial"/>
                <w:color w:val="2C2C2A"/>
                <w:sz w:val="20"/>
                <w:szCs w:val="20"/>
              </w:rPr>
              <w:t xml:space="preserve">1. This Master Index — understand the package and the product at a glance.</w:t>
            </w:r>
          </w:p>
          <w:p>
            <w:pPr>
              <w:spacing w:after="60" w:line="264"/>
            </w:pPr>
            <w:r>
              <w:rPr>
                <w:rFonts w:ascii="Arial" w:cs="Arial" w:eastAsia="Arial" w:hAnsi="Arial"/>
                <w:color w:val="2C2C2A"/>
                <w:sz w:val="20"/>
                <w:szCs w:val="20"/>
              </w:rPr>
              <w:t xml:space="preserve">2. System &amp; Operations Documentation — what the product is and how it behaves.</w:t>
            </w:r>
          </w:p>
          <w:p>
            <w:pPr>
              <w:spacing w:after="60" w:line="264"/>
            </w:pPr>
            <w:r>
              <w:rPr>
                <w:rFonts w:ascii="Arial" w:cs="Arial" w:eastAsia="Arial" w:hAnsi="Arial"/>
                <w:color w:val="2C2C2A"/>
                <w:sz w:val="20"/>
                <w:szCs w:val="20"/>
              </w:rPr>
              <w:t xml:space="preserve">3. API Reference — the contract between frontend and backend.</w:t>
            </w:r>
          </w:p>
          <w:p>
            <w:pPr>
              <w:spacing w:after="60" w:line="264"/>
            </w:pPr>
            <w:r>
              <w:rPr>
                <w:rFonts w:ascii="Arial" w:cs="Arial" w:eastAsia="Arial" w:hAnsi="Arial"/>
                <w:color w:val="2C2C2A"/>
                <w:sz w:val="20"/>
                <w:szCs w:val="20"/>
              </w:rPr>
              <w:t xml:space="preserve">4. Database Schema — the data foundation.</w:t>
            </w:r>
          </w:p>
          <w:p>
            <w:pPr>
              <w:spacing w:after="60" w:line="264"/>
            </w:pPr>
            <w:r>
              <w:rPr>
                <w:rFonts w:ascii="Arial" w:cs="Arial" w:eastAsia="Arial" w:hAnsi="Arial"/>
                <w:color w:val="2C2C2A"/>
                <w:sz w:val="20"/>
                <w:szCs w:val="20"/>
              </w:rPr>
              <w:t xml:space="preserve">5. Screen Specifications — the frontend build guide.</w:t>
            </w:r>
          </w:p>
          <w:p>
            <w:pPr>
              <w:spacing w:after="60" w:line="264"/>
            </w:pPr>
            <w:r>
              <w:rPr>
                <w:rFonts w:ascii="Arial" w:cs="Arial" w:eastAsia="Arial" w:hAnsi="Arial"/>
                <w:color w:val="2C2C2A"/>
                <w:sz w:val="20"/>
                <w:szCs w:val="20"/>
              </w:rPr>
              <w:t xml:space="preserve">6. Integration &amp; Infrastructure — ZepIris, deployment, security.</w:t>
            </w:r>
          </w:p>
          <w:p>
            <w:pPr>
              <w:spacing w:after="0" w:line="264"/>
            </w:pPr>
            <w:r>
              <w:rPr>
                <w:rFonts w:ascii="Arial" w:cs="Arial" w:eastAsia="Arial" w:hAnsi="Arial"/>
                <w:color w:val="2C2C2A"/>
                <w:sz w:val="20"/>
                <w:szCs w:val="20"/>
              </w:rPr>
              <w:t xml:space="preserve">7. Build Plan &amp; Acceptance — sequencing and definition of done.</w:t>
            </w:r>
          </w:p>
        </w:tc>
      </w:tr>
    </w:tbl>
    <w:p>
      <w:pPr>
        <w:spacing w:after="120"/>
      </w:pPr>
      <w:r>
        <w:t xml:space="preserve"/>
      </w:r>
    </w:p>
    <w:p>
      <w:pPr>
        <w:pStyle w:val="Heading1"/>
      </w:pPr>
      <w:r>
        <w:t xml:space="preserve">2. The seven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2360"/>
        <w:gridCol w:w="3400"/>
      </w:tblGrid>
      <w:tr>
        <w:trPr>
          <w:tblHeader/>
        </w:trPr>
        <w:tc>
          <w:tcPr>
            <w:tcW w:type="dxa" w:w="5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31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Document</w:t>
            </w:r>
          </w:p>
        </w:tc>
        <w:tc>
          <w:tcPr>
            <w:tcW w:type="dxa" w:w="236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For whom</w:t>
            </w:r>
          </w:p>
        </w:tc>
        <w:tc>
          <w:tcPr>
            <w:tcW w:type="dxa" w:w="3400"/>
            <w:tcBorders>
              <w:top w:val="single" w:color="C9D2DD" w:sz="1"/>
              <w:left w:val="single" w:color="C9D2DD" w:sz="1"/>
              <w:bottom w:val="single" w:color="C9D2DD" w:sz="1"/>
              <w:right w:val="single" w:color="C9D2DD" w:sz="1"/>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Answers</w:t>
            </w:r>
          </w:p>
        </w:tc>
      </w:tr>
      <w:tr>
        <w:tc>
          <w:tcPr>
            <w:tcW w:type="dxa" w:w="5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w:t>
            </w:r>
          </w:p>
        </w:tc>
        <w:tc>
          <w:tcPr>
            <w:tcW w:type="dxa" w:w="31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System &amp; Operations Documentation</w:t>
            </w:r>
          </w:p>
        </w:tc>
        <w:tc>
          <w:tcPr>
            <w:tcW w:type="dxa" w:w="23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Everyone</w:t>
            </w:r>
          </w:p>
        </w:tc>
        <w:tc>
          <w:tcPr>
            <w:tcW w:type="dxa" w:w="3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What is it? How does it work? Verticals, onboarding, zones, badges.</w:t>
            </w:r>
          </w:p>
        </w:tc>
      </w:tr>
      <w:tr>
        <w:tc>
          <w:tcPr>
            <w:tcW w:type="dxa" w:w="5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1</w:t>
            </w:r>
          </w:p>
        </w:tc>
        <w:tc>
          <w:tcPr>
            <w:tcW w:type="dxa" w:w="31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API Reference</w:t>
            </w:r>
          </w:p>
        </w:tc>
        <w:tc>
          <w:tcPr>
            <w:tcW w:type="dxa" w:w="23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Backend + frontend devs</w:t>
            </w:r>
          </w:p>
        </w:tc>
        <w:tc>
          <w:tcPr>
            <w:tcW w:type="dxa" w:w="34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Every endpoint, request, response, error.</w:t>
            </w:r>
          </w:p>
        </w:tc>
      </w:tr>
      <w:tr>
        <w:tc>
          <w:tcPr>
            <w:tcW w:type="dxa" w:w="5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2</w:t>
            </w:r>
          </w:p>
        </w:tc>
        <w:tc>
          <w:tcPr>
            <w:tcW w:type="dxa" w:w="31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Database Schema</w:t>
            </w:r>
          </w:p>
        </w:tc>
        <w:tc>
          <w:tcPr>
            <w:tcW w:type="dxa" w:w="23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Backend devs</w:t>
            </w:r>
          </w:p>
        </w:tc>
        <w:tc>
          <w:tcPr>
            <w:tcW w:type="dxa" w:w="3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Every table, column, key, index; all four stores.</w:t>
            </w:r>
          </w:p>
        </w:tc>
      </w:tr>
      <w:tr>
        <w:tc>
          <w:tcPr>
            <w:tcW w:type="dxa" w:w="5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3</w:t>
            </w:r>
          </w:p>
        </w:tc>
        <w:tc>
          <w:tcPr>
            <w:tcW w:type="dxa" w:w="31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Screen Specifications</w:t>
            </w:r>
          </w:p>
        </w:tc>
        <w:tc>
          <w:tcPr>
            <w:tcW w:type="dxa" w:w="23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Frontend devs + designer</w:t>
            </w:r>
          </w:p>
        </w:tc>
        <w:tc>
          <w:tcPr>
            <w:tcW w:type="dxa" w:w="34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Every screen, component, state, API call.</w:t>
            </w:r>
          </w:p>
        </w:tc>
      </w:tr>
      <w:tr>
        <w:tc>
          <w:tcPr>
            <w:tcW w:type="dxa" w:w="5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4</w:t>
            </w:r>
          </w:p>
        </w:tc>
        <w:tc>
          <w:tcPr>
            <w:tcW w:type="dxa" w:w="31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Integration &amp; Infrastructure</w:t>
            </w:r>
          </w:p>
        </w:tc>
        <w:tc>
          <w:tcPr>
            <w:tcW w:type="dxa" w:w="236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Backend + DevOps</w:t>
            </w:r>
          </w:p>
        </w:tc>
        <w:tc>
          <w:tcPr>
            <w:tcW w:type="dxa" w:w="3400"/>
            <w:tcBorders>
              <w:top w:val="single" w:color="C9D2DD" w:sz="1"/>
              <w:left w:val="single" w:color="C9D2DD" w:sz="1"/>
              <w:bottom w:val="single" w:color="C9D2DD" w:sz="1"/>
              <w:right w:val="single" w:color="C9D2DD" w:sz="1"/>
            </w:tcBorders>
            <w:shd w:fill="FFFFFF" w:val="clear"/>
            <w:tcMar>
              <w:top w:type="dxa" w:w="70"/>
              <w:left w:type="dxa" w:w="120"/>
              <w:bottom w:type="dxa" w:w="70"/>
              <w:right w:type="dxa" w:w="120"/>
            </w:tcMar>
            <w:vAlign w:val="center"/>
          </w:tcPr>
          <w:p>
            <w:r>
              <w:rPr>
                <w:rFonts w:ascii="Arial" w:cs="Arial" w:eastAsia="Arial" w:hAnsi="Arial"/>
                <w:color w:val="2C2C2A"/>
                <w:sz w:val="18"/>
                <w:szCs w:val="18"/>
              </w:rPr>
              <w:t xml:space="preserve">ZepIris, Docker, deployment, security.</w:t>
            </w:r>
          </w:p>
        </w:tc>
      </w:tr>
      <w:tr>
        <w:tc>
          <w:tcPr>
            <w:tcW w:type="dxa" w:w="5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5</w:t>
            </w:r>
          </w:p>
        </w:tc>
        <w:tc>
          <w:tcPr>
            <w:tcW w:type="dxa" w:w="31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Build Plan &amp; Acceptance</w:t>
            </w:r>
          </w:p>
        </w:tc>
        <w:tc>
          <w:tcPr>
            <w:tcW w:type="dxa" w:w="236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PM + client</w:t>
            </w:r>
          </w:p>
        </w:tc>
        <w:tc>
          <w:tcPr>
            <w:tcW w:type="dxa" w:w="3400"/>
            <w:tcBorders>
              <w:top w:val="single" w:color="C9D2DD" w:sz="1"/>
              <w:left w:val="single" w:color="C9D2DD" w:sz="1"/>
              <w:bottom w:val="single" w:color="C9D2DD" w:sz="1"/>
              <w:right w:val="single" w:color="C9D2DD" w:sz="1"/>
            </w:tcBorders>
            <w:shd w:fill="F0EFEA" w:val="clear"/>
            <w:tcMar>
              <w:top w:type="dxa" w:w="70"/>
              <w:left w:type="dxa" w:w="120"/>
              <w:bottom w:type="dxa" w:w="70"/>
              <w:right w:type="dxa" w:w="120"/>
            </w:tcMar>
            <w:vAlign w:val="center"/>
          </w:tcPr>
          <w:p>
            <w:r>
              <w:rPr>
                <w:rFonts w:ascii="Arial" w:cs="Arial" w:eastAsia="Arial" w:hAnsi="Arial"/>
                <w:color w:val="2C2C2A"/>
                <w:sz w:val="18"/>
                <w:szCs w:val="18"/>
              </w:rPr>
              <w:t xml:space="preserve">Phasing, milestones, definition of done.</w:t>
            </w:r>
          </w:p>
        </w:tc>
      </w:tr>
    </w:tbl>
    <w:p>
      <w:r>
        <w:br w:type="page"/>
      </w:r>
    </w:p>
    <w:p>
      <w:pPr>
        <w:pStyle w:val="Heading1"/>
      </w:pPr>
      <w:r>
        <w:t xml:space="preserve">3. The product in 60 seconds</w:t>
      </w:r>
    </w:p>
    <w:p>
      <w:pPr>
        <w:spacing w:after="120" w:line="276"/>
      </w:pPr>
      <w:r>
        <w:t xml:space="preserve">For anyone picking up this package cold, here is the whole product in one page.</w:t>
      </w:r>
    </w:p>
    <w:p>
      <w:pPr>
        <w:pStyle w:val="ListParagraph"/>
        <w:numPr>
          <w:ilvl w:val="0"/>
          <w:numId w:val="2"/>
        </w:numPr>
        <w:spacing w:after="60" w:line="264"/>
      </w:pPr>
      <w:r>
        <w:rPr>
          <w:b/>
          <w:bCs/>
        </w:rPr>
        <w:t xml:space="preserve">What it is: </w:t>
      </w:r>
      <w:r>
        <w:t xml:space="preserve">a web-based face authentication and attendance platform built on the open-source ZepIris engine. No mobile app.</w:t>
      </w:r>
    </w:p>
    <w:p>
      <w:pPr>
        <w:pStyle w:val="ListParagraph"/>
        <w:numPr>
          <w:ilvl w:val="0"/>
          <w:numId w:val="2"/>
        </w:numPr>
        <w:spacing w:after="60" w:line="264"/>
      </w:pPr>
      <w:r>
        <w:rPr>
          <w:b/>
          <w:bCs/>
        </w:rPr>
        <w:t xml:space="preserve">Core flow: </w:t>
      </w:r>
      <w:r>
        <w:t xml:space="preserve">people enroll their face once, then check in/out by looking at a shared kiosk camera. Admins watch and configure from a web dashboard.</w:t>
      </w:r>
    </w:p>
    <w:p>
      <w:pPr>
        <w:pStyle w:val="ListParagraph"/>
        <w:numPr>
          <w:ilvl w:val="0"/>
          <w:numId w:val="2"/>
        </w:numPr>
        <w:spacing w:after="60" w:line="264"/>
      </w:pPr>
      <w:r>
        <w:rPr>
          <w:b/>
          <w:bCs/>
        </w:rPr>
        <w:t xml:space="preserve">Three actors: </w:t>
      </w:r>
      <w:r>
        <w:t xml:space="preserve">the person (enrolls + checks in), the kiosk (a shared terminal), the admin (monitors + configures).</w:t>
      </w:r>
    </w:p>
    <w:p>
      <w:pPr>
        <w:pStyle w:val="ListParagraph"/>
        <w:numPr>
          <w:ilvl w:val="0"/>
          <w:numId w:val="2"/>
        </w:numPr>
        <w:spacing w:after="60" w:line="264"/>
      </w:pPr>
      <w:r>
        <w:rPr>
          <w:b/>
          <w:bCs/>
        </w:rPr>
        <w:t xml:space="preserve">12 user types, </w:t>
      </w:r>
      <w:r>
        <w:t xml:space="preserve">from super admin down to visitor and the kiosk device itself.</w:t>
      </w:r>
    </w:p>
    <w:p>
      <w:pPr>
        <w:pStyle w:val="ListParagraph"/>
        <w:numPr>
          <w:ilvl w:val="0"/>
          <w:numId w:val="2"/>
        </w:numPr>
        <w:spacing w:after="60" w:line="264"/>
      </w:pPr>
      <w:r>
        <w:rPr>
          <w:b/>
          <w:bCs/>
        </w:rPr>
        <w:t xml:space="preserve">Multi-tenant: </w:t>
      </w:r>
      <w:r>
        <w:t xml:space="preserve">one platform serves many isolated client organisations.</w:t>
      </w:r>
    </w:p>
    <w:p>
      <w:pPr>
        <w:pStyle w:val="ListParagraph"/>
        <w:numPr>
          <w:ilvl w:val="0"/>
          <w:numId w:val="2"/>
        </w:numPr>
        <w:spacing w:after="60" w:line="264"/>
      </w:pPr>
      <w:r>
        <w:rPr>
          <w:b/>
          <w:bCs/>
        </w:rPr>
        <w:t xml:space="preserve">14 verticals: </w:t>
      </w:r>
      <w:r>
        <w:t xml:space="preserve">office, school, hotel, factory, hospital, gym, events, and more — same backend, different config.</w:t>
      </w:r>
    </w:p>
    <w:p>
      <w:pPr>
        <w:pStyle w:val="ListParagraph"/>
        <w:numPr>
          <w:ilvl w:val="0"/>
          <w:numId w:val="2"/>
        </w:numPr>
        <w:spacing w:after="60" w:line="264"/>
      </w:pPr>
      <w:r>
        <w:rPr>
          <w:b/>
          <w:bCs/>
        </w:rPr>
        <w:t xml:space="preserve">Stack: </w:t>
      </w:r>
      <w:r>
        <w:t xml:space="preserve">FastAPI backend, Next.js frontend, PostgreSQL + Milvus + MinIO + Redis, Docker.</w:t>
      </w:r>
    </w:p>
    <w:p>
      <w:pPr>
        <w:pStyle w:val="ListParagraph"/>
        <w:numPr>
          <w:ilvl w:val="0"/>
          <w:numId w:val="2"/>
        </w:numPr>
        <w:spacing w:after="60" w:line="264"/>
      </w:pPr>
      <w:r>
        <w:rPr>
          <w:b/>
          <w:bCs/>
        </w:rPr>
        <w:t xml:space="preserve">Compliance: </w:t>
      </w:r>
      <w:r>
        <w:t xml:space="preserve">DPDP Act 2026 enforced in the system itself — consent, audit, erasure, localisation.</w:t>
      </w:r>
    </w:p>
    <w:p>
      <w:pPr>
        <w:pStyle w:val="ListParagraph"/>
        <w:numPr>
          <w:ilvl w:val="0"/>
          <w:numId w:val="2"/>
        </w:numPr>
        <w:spacing w:after="60" w:line="264"/>
      </w:pPr>
      <w:r>
        <w:rPr>
          <w:b/>
          <w:bCs/>
        </w:rPr>
        <w:t xml:space="preserve">Deployment: </w:t>
      </w:r>
      <w:r>
        <w:t xml:space="preserve">on-premise, India-region cloud, or hybrid.</w:t>
      </w:r>
    </w:p>
    <w:p>
      <w:pPr>
        <w:spacing w:after="120"/>
      </w:pPr>
      <w:r>
        <w:t xml:space="preserve"/>
      </w:r>
    </w:p>
    <w:p>
      <w:pPr>
        <w:pStyle w:val="Heading1"/>
      </w:pPr>
      <w:r>
        <w:t xml:space="preserve">4. The non-negotiables</w:t>
      </w:r>
    </w:p>
    <w:p>
      <w:pPr>
        <w:spacing w:after="120" w:line="276"/>
      </w:pPr>
      <w:r>
        <w:t xml:space="preserve">Whatever else changes during the build, these must hold. They appear throughout the package and are repeated here so they are never missed.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9" w:sz="1"/>
              <w:left w:val="single" w:color="A32D2D" w:sz="18"/>
              <w:bottom w:val="single" w:color="FBE9E9" w:sz="1"/>
              <w:right w:val="single" w:color="FBE9E9" w:sz="1"/>
            </w:tcBorders>
            <w:shd w:fill="FBE9E9" w:val="clear"/>
            <w:tcMar>
              <w:top w:type="dxa" w:w="140"/>
              <w:left w:type="dxa" w:w="180"/>
              <w:bottom w:type="dxa" w:w="140"/>
              <w:right w:type="dxa" w:w="180"/>
            </w:tcMar>
          </w:tcPr>
          <w:p>
            <w:pPr>
              <w:spacing w:after="80"/>
            </w:pPr>
            <w:r>
              <w:rPr>
                <w:rFonts w:ascii="Arial" w:cs="Arial" w:eastAsia="Arial" w:hAnsi="Arial"/>
                <w:b/>
                <w:bCs/>
                <w:color w:val="A32D2D"/>
                <w:sz w:val="21"/>
                <w:szCs w:val="21"/>
              </w:rPr>
              <w:t xml:space="preserve">Hard rules</w:t>
            </w:r>
          </w:p>
          <w:p>
            <w:pPr>
              <w:spacing w:after="60" w:line="264"/>
            </w:pPr>
            <w:r>
              <w:rPr>
                <w:rFonts w:ascii="Arial" w:cs="Arial" w:eastAsia="Arial" w:hAnsi="Arial"/>
                <w:color w:val="2C2C2A"/>
                <w:sz w:val="20"/>
                <w:szCs w:val="20"/>
              </w:rPr>
              <w:t xml:space="preserve">Tenant isolation: no query may ever cross tenant boundaries. Enforced in DB and app.</w:t>
            </w:r>
          </w:p>
          <w:p>
            <w:pPr>
              <w:spacing w:after="60" w:line="264"/>
            </w:pPr>
            <w:r>
              <w:rPr>
                <w:rFonts w:ascii="Arial" w:cs="Arial" w:eastAsia="Arial" w:hAnsi="Arial"/>
                <w:color w:val="2C2C2A"/>
                <w:sz w:val="20"/>
                <w:szCs w:val="20"/>
              </w:rPr>
              <w:t xml:space="preserve">Consent first: no face is captured before consent is recorded.</w:t>
            </w:r>
          </w:p>
          <w:p>
            <w:pPr>
              <w:spacing w:after="60" w:line="264"/>
            </w:pPr>
            <w:r>
              <w:rPr>
                <w:rFonts w:ascii="Arial" w:cs="Arial" w:eastAsia="Arial" w:hAnsi="Arial"/>
                <w:color w:val="2C2C2A"/>
                <w:sz w:val="20"/>
                <w:szCs w:val="20"/>
              </w:rPr>
              <w:t xml:space="preserve">Data localisation: all data stays in India.</w:t>
            </w:r>
          </w:p>
          <w:p>
            <w:pPr>
              <w:spacing w:after="60" w:line="264"/>
            </w:pPr>
            <w:r>
              <w:rPr>
                <w:rFonts w:ascii="Arial" w:cs="Arial" w:eastAsia="Arial" w:hAnsi="Arial"/>
                <w:color w:val="2C2C2A"/>
                <w:sz w:val="20"/>
                <w:szCs w:val="20"/>
              </w:rPr>
              <w:t xml:space="preserve">Erasure is complete: deletion cascades across all four stores and is verified.</w:t>
            </w:r>
          </w:p>
          <w:p>
            <w:pPr>
              <w:spacing w:after="60" w:line="264"/>
            </w:pPr>
            <w:r>
              <w:rPr>
                <w:rFonts w:ascii="Arial" w:cs="Arial" w:eastAsia="Arial" w:hAnsi="Arial"/>
                <w:color w:val="2C2C2A"/>
                <w:sz w:val="20"/>
                <w:szCs w:val="20"/>
              </w:rPr>
              <w:t xml:space="preserve">Audit everything: every face search, enroll, and delete is logged immutably.</w:t>
            </w:r>
          </w:p>
          <w:p>
            <w:pPr>
              <w:spacing w:after="0" w:line="264"/>
            </w:pPr>
            <w:r>
              <w:rPr>
                <w:rFonts w:ascii="Arial" w:cs="Arial" w:eastAsia="Arial" w:hAnsi="Arial"/>
                <w:color w:val="2C2C2A"/>
                <w:sz w:val="20"/>
                <w:szCs w:val="20"/>
              </w:rPr>
              <w:t xml:space="preserve">Web security: TLS 1.3, HttpOnly SameSite cookies, CSRF, 2FA for admins.</w:t>
            </w:r>
          </w:p>
        </w:tc>
      </w:tr>
    </w:tbl>
    <w:p>
      <w:pPr>
        <w:spacing w:after="120"/>
      </w:pPr>
      <w:r>
        <w:t xml:space="preserve"/>
      </w:r>
    </w:p>
    <w:p>
      <w:pPr>
        <w:pStyle w:val="Heading1"/>
      </w:pPr>
      <w:r>
        <w:t xml:space="preserve">5. What is out of scope</w:t>
      </w:r>
    </w:p>
    <w:p>
      <w:pPr>
        <w:spacing w:after="120" w:line="276"/>
      </w:pPr>
      <w:r>
        <w:t xml:space="preserve">Be clear with the freelancer about what NOT to build. These require regulatory approval or specialist partners and are not part of this package:</w:t>
      </w:r>
    </w:p>
    <w:p>
      <w:pPr>
        <w:pStyle w:val="ListParagraph"/>
        <w:numPr>
          <w:ilvl w:val="0"/>
          <w:numId w:val="2"/>
        </w:numPr>
        <w:spacing w:after="60" w:line="264"/>
      </w:pPr>
      <w:r>
        <w:t xml:space="preserve">Bank KYC / RBI-certified identity (needs RBI licence + UIDAI).</w:t>
      </w:r>
    </w:p>
    <w:p>
      <w:pPr>
        <w:pStyle w:val="ListParagraph"/>
        <w:numPr>
          <w:ilvl w:val="0"/>
          <w:numId w:val="2"/>
        </w:numPr>
        <w:spacing w:after="60" w:line="264"/>
      </w:pPr>
      <w:r>
        <w:t xml:space="preserve">Airport passenger boarding (needs BCAS/DGCA approval).</w:t>
      </w:r>
    </w:p>
    <w:p>
      <w:pPr>
        <w:pStyle w:val="ListParagraph"/>
        <w:numPr>
          <w:ilvl w:val="0"/>
          <w:numId w:val="2"/>
        </w:numPr>
        <w:spacing w:after="60" w:line="264"/>
      </w:pPr>
      <w:r>
        <w:t xml:space="preserve">Military classified access (needs MoD certification).</w:t>
      </w:r>
    </w:p>
    <w:p>
      <w:pPr>
        <w:pStyle w:val="ListParagraph"/>
        <w:numPr>
          <w:ilvl w:val="0"/>
          <w:numId w:val="2"/>
        </w:numPr>
        <w:spacing w:after="60" w:line="264"/>
      </w:pPr>
      <w:r>
        <w:t xml:space="preserve">Prison real-time continuous tracking (specialist build).</w:t>
      </w:r>
    </w:p>
    <w:p>
      <w:pPr>
        <w:spacing w:after="120" w:line="276"/>
      </w:pPr>
      <w:r>
        <w:t xml:space="preserve">The platform can still serve staff attendance in all these settings — just not the regulated, citizen-facing identity functions.</w:t>
      </w:r>
    </w:p>
    <w:p>
      <w:r>
        <w:br w:type="page"/>
      </w:r>
    </w:p>
    <w:p>
      <w:pPr>
        <w:spacing w:before="300"/>
        <w:jc w:val="center"/>
      </w:pPr>
      <w:r>
        <w:rPr>
          <w:rFonts w:ascii="Arial" w:cs="Arial" w:eastAsia="Arial" w:hAnsi="Arial"/>
          <w:b/>
          <w:bCs/>
          <w:color w:val="1F3A5F"/>
          <w:sz w:val="22"/>
          <w:szCs w:val="22"/>
        </w:rPr>
        <w:t xml:space="preserve">Begin with the System &amp; Operations Documentation</w:t>
      </w:r>
    </w:p>
    <w:p>
      <w:pPr>
        <w:jc w:val="center"/>
      </w:pPr>
      <w:r>
        <w:rPr>
          <w:rFonts w:ascii="Arial" w:cs="Arial" w:eastAsia="Arial" w:hAnsi="Arial"/>
          <w:color w:val="5F5E5A"/>
          <w:sz w:val="18"/>
          <w:szCs w:val="18"/>
        </w:rPr>
        <w:t xml:space="preserve">BioCore Platform — Build Documentation Package —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D" w:sz="4" w:space="4"/>
      </w:pBdr>
      <w:tabs>
        <w:tab w:val="right" w:pos="9360"/>
      </w:tabs>
    </w:pPr>
    <w:r>
      <w:rPr>
        <w:rFonts w:ascii="Arial" w:cs="Arial" w:eastAsia="Arial" w:hAnsi="Arial"/>
        <w:color w:val="5F5E5A"/>
        <w:sz w:val="16"/>
        <w:szCs w:val="16"/>
      </w:rPr>
      <w:t xml:space="preserve">Build documentation — v1.0</w:t>
    </w:r>
    <w:r>
      <w:rPr>
        <w:rFonts w:ascii="Arial" w:cs="Arial" w:eastAsia="Arial" w:hAnsi="Arial"/>
        <w:color w:val="5F5E5A"/>
        <w:sz w:val="16"/>
        <w:szCs w:val="16"/>
      </w:rPr>
      <w:t xml:space="preserve">	Page </w:t>
    </w:r>
    <w:r>
      <w:rPr>
        <w:rFonts w:ascii="Arial" w:cs="Arial" w:eastAsia="Arial" w:hAnsi="Arial"/>
        <w:color w:val="5F5E5A"/>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of </w:t>
    </w:r>
    <w:r>
      <w:rPr>
        <w:rFonts w:ascii="Arial" w:cs="Arial" w:eastAsia="Arial" w:hAnsi="Arial"/>
        <w:color w:val="5F5E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D" w:sz="4" w:space="4"/>
      </w:pBdr>
      <w:tabs>
        <w:tab w:val="right" w:pos="9360"/>
      </w:tabs>
    </w:pPr>
    <w:r>
      <w:rPr>
        <w:rFonts w:ascii="Arial" w:cs="Arial" w:eastAsia="Arial" w:hAnsi="Arial"/>
        <w:b/>
        <w:bCs/>
        <w:color w:val="1F3A5F"/>
        <w:sz w:val="16"/>
        <w:szCs w:val="16"/>
      </w:rPr>
      <w:t xml:space="preserve">BioCore Platform</w:t>
    </w:r>
    <w:r>
      <w:rPr>
        <w:rFonts w:ascii="Arial" w:cs="Arial" w:eastAsia="Arial" w:hAnsi="Arial"/>
        <w:color w:val="5F5E5A"/>
        <w:sz w:val="16"/>
        <w:szCs w:val="16"/>
      </w:rPr>
      <w:t xml:space="preserve">	Master Index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6FB7"/>
      <w:sz w:val="25"/>
      <w:szCs w:val="25"/>
    </w:rPr>
  </w:style>
  <w:style w:type="paragraph" w:styleId="Heading3">
    <w:name w:val="Heading 3"/>
    <w:basedOn w:val="Normal"/>
    <w:next w:val="Normal"/>
    <w:qFormat/>
    <w:pPr>
      <w:spacing w:after="80" w:before="160"/>
      <w:outlineLvl w:val="2"/>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BioCore Master Index</dc:title>
  <dc:creator>BioCore Platform</dc:creator>
  <cp:lastModifiedBy>Un-named</cp:lastModifiedBy>
  <cp:revision>1</cp:revision>
  <dcterms:created xsi:type="dcterms:W3CDTF">2026-06-15T05:38:06.664Z</dcterms:created>
  <dcterms:modified xsi:type="dcterms:W3CDTF">2026-06-15T05:38:06.664Z</dcterms:modified>
</cp:coreProperties>
</file>

<file path=docProps/custom.xml><?xml version="1.0" encoding="utf-8"?>
<Properties xmlns="http://schemas.openxmlformats.org/officeDocument/2006/custom-properties" xmlns:vt="http://schemas.openxmlformats.org/officeDocument/2006/docPropsVTypes"/>
</file>