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FB7"/>
          <w:sz w:val="24"/>
          <w:szCs w:val="24"/>
        </w:rPr>
        <w:t xml:space="preserve">Document 4 of 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Integration &amp; Infrastructure</w:t>
      </w:r>
    </w:p>
    <w:p>
      <w:pPr>
        <w:spacing w:after="300"/>
        <w:jc w:val="center"/>
      </w:pPr>
      <w:r>
        <w:rPr>
          <w:rFonts w:ascii="Arial" w:cs="Arial" w:eastAsia="Arial" w:hAnsi="Arial"/>
          <w:color w:val="2E6FB7"/>
          <w:sz w:val="28"/>
          <w:szCs w:val="28"/>
        </w:rPr>
        <w:t xml:space="preserve">ZepIris, Deployment, DevOps &amp; Security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How to wire up the ML engine and run the whole stack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BioCore Platform — Build Documentation Package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Stack: FastAPI · Next.js · PostgreSQL · Milvus · MinIO · Redis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ZepIris Integration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ZepIris integration</w:t>
      </w:r>
    </w:p>
    <w:p>
      <w:pPr>
        <w:spacing w:after="120" w:line="276"/>
      </w:pPr>
      <w:r>
        <w:t xml:space="preserve">ZepIris is the open-source face authentication engine at the core. It runs as two services (a main API and an ML inference service) and the platform's own face-auth service calls it. This section explains how to deploy and call it.</w:t>
      </w:r>
    </w:p>
    <w:p>
      <w:pPr>
        <w:pStyle w:val="Heading2"/>
      </w:pPr>
      <w:r>
        <w:t xml:space="preserve">1.1 What ZepIris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Face embedding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InsightFace buffalo_l</w:t>
            </w:r>
          </w:p>
        </w:tc>
        <w:tc>
          <w:tcPr>
            <w:tcW w:type="dxa" w:w="3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Turning a face into a 512-number vector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Milvus (COSINE)</w:t>
            </w:r>
          </w:p>
        </w:tc>
        <w:tc>
          <w:tcPr>
            <w:tcW w:type="dxa" w:w="3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1-to-N identity matching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Spoof detection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MobileNetV3</w:t>
            </w:r>
          </w:p>
        </w:tc>
        <w:tc>
          <w:tcPr>
            <w:tcW w:type="dxa" w:w="3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Liveness — reject photos/screens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Blur detection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ResNet18</w:t>
            </w:r>
          </w:p>
        </w:tc>
        <w:tc>
          <w:tcPr>
            <w:tcW w:type="dxa" w:w="3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Image quality gate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Nudity detection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MobileNetV2</w:t>
            </w:r>
          </w:p>
        </w:tc>
        <w:tc>
          <w:tcPr>
            <w:tcW w:type="dxa" w:w="3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Content safety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1.2 Service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ZepIris Main API        :8000   ← platform calls this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ZepIris ML Inference    :8001   ← internal, called by 8000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Milvus                  :19530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MinIO                   :9000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The platform's face-auth service calls ZepIris :8000 over the internal network.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1.3 Enroll &amp; search calls</w:t>
      </w:r>
    </w:p>
    <w:p>
      <w:pPr>
        <w:spacing w:after="120" w:line="276"/>
      </w:pPr>
      <w:r>
        <w:t xml:space="preserve">The platform wraps these ZepIris calls inside its own /faces/enroll and /faces/search endpoints (see API Reference). The raw ZepIris calls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Enroll: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:8000/v1/faces/insert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"collection": "faces_&lt;tenant&gt;", "id": "&lt;face_id&gt;", "image": "&lt;base64&gt;"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Search: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:8000/v1/faces/search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"collection": "faces_&lt;tenant&gt;", "image": "&lt;base64&gt;", "top_k": 5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Returns: [{ id, score }, ...] sorted by score desc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8A5A0B" w:sz="18"/>
              <w:bottom w:val="single" w:color="FaeeDA" w:sz="1"/>
              <w:right w:val="single" w:color="FaeeDA" w:sz="1"/>
            </w:tcBorders>
            <w:shd w:fill="Faee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B"/>
                <w:sz w:val="21"/>
                <w:szCs w:val="21"/>
              </w:rPr>
              <w:t xml:space="preserve">Threshold tuning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Default match threshold is 0.5. Above it = match.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 attendance, 0.5 is a good balance. For high-security zones, raise to 0.65–0.7.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Lower thresholds = more false accepts; higher = more false rejects. Make it per-zone configurable.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Always run blur + spoof checks BEFORE accepting a match.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1.4 Per-tenant collections</w:t>
      </w:r>
    </w:p>
    <w:p>
      <w:pPr>
        <w:spacing w:after="120" w:line="276"/>
      </w:pPr>
      <w:r>
        <w:t xml:space="preserve">Each tenant gets its own Milvus collections (faces_&lt;tenant&gt; and blacklist_&lt;tenant&gt;). This guarantees a search never crosses tenant boundaries — the isolation rule extends into the vector database.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Deployment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Deployment</w:t>
      </w:r>
    </w:p>
    <w:p>
      <w:pPr>
        <w:spacing w:after="120" w:line="276"/>
      </w:pPr>
      <w:r>
        <w:t xml:space="preserve">The platform ships as Docker containers orchestrated by Docker Compose (small/on-prem) or Kubernetes (cloud/scale). The same images run in both.</w:t>
      </w:r>
    </w:p>
    <w:p>
      <w:pPr>
        <w:pStyle w:val="Heading2"/>
      </w:pPr>
      <w:r>
        <w:t xml:space="preserve">2.1 The container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gateway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nginx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Reverse proxy, SSL, routing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node (Next.js)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The web app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api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python (FastAPI)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microservices (or split)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zepiris-main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zepiris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Face API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zepiris-ml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zepiris-ml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ML inference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postgres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postgres:16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Relational DB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milvus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milvusdb/milvus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Vector DB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minio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minio/minio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Object storage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redis:7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Cache + sessions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rabbitmq</w:t>
            </w:r>
          </w:p>
        </w:tc>
        <w:tc>
          <w:tcPr>
            <w:tcW w:type="dxa" w:w="2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rabbitmq:3</w:t>
            </w:r>
          </w:p>
        </w:tc>
        <w:tc>
          <w:tcPr>
            <w:tcW w:type="dxa" w:w="4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Async event bus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Three deployment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60"/>
        <w:gridCol w:w="4100"/>
      </w:tblGrid>
      <w:tr>
        <w:trPr>
          <w:tblHeader/>
        </w:trP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runs</w:t>
            </w:r>
          </w:p>
        </w:tc>
        <w:tc>
          <w:tcPr>
            <w:tcW w:type="dxa" w:w="4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On-premise</w:t>
            </w:r>
          </w:p>
        </w:tc>
        <w:tc>
          <w:tcPr>
            <w:tcW w:type="dxa" w:w="3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Client's own server</w:t>
            </w:r>
          </w:p>
        </w:tc>
        <w:tc>
          <w:tcPr>
            <w:tcW w:type="dxa" w:w="4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must never leave site (default for privacy)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Cloud (SaaS)</w:t>
            </w:r>
          </w:p>
        </w:tc>
        <w:tc>
          <w:tcPr>
            <w:tcW w:type="dxa" w:w="3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India-region cloud</w:t>
            </w:r>
          </w:p>
        </w:tc>
        <w:tc>
          <w:tcPr>
            <w:tcW w:type="dxa" w:w="4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Client wants managed hosting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Hybrid</w:t>
            </w:r>
          </w:p>
        </w:tc>
        <w:tc>
          <w:tcPr>
            <w:tcW w:type="dxa" w:w="3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Core on-prem, analytics cloud</w:t>
            </w:r>
          </w:p>
        </w:tc>
        <w:tc>
          <w:tcPr>
            <w:tcW w:type="dxa" w:w="4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Large clients with both needs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9E9" w:sz="1"/>
              <w:left w:val="single" w:color="A32D2D" w:sz="18"/>
              <w:bottom w:val="single" w:color="FBE9E9" w:sz="1"/>
              <w:right w:val="single" w:color="FBE9E9" w:sz="1"/>
            </w:tcBorders>
            <w:shd w:fill="FBE9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Data localisation — non-negotiable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personal and biometric data must stay within India (DPDP).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Cloud deployments use an India region only (e.g. Mumbai).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On-premise deployments keep everything on the client's own hardware — nothing leaves.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Minimum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30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Deployment size</w:t>
            </w:r>
          </w:p>
        </w:tc>
        <w:tc>
          <w:tcPr>
            <w:tcW w:type="dxa" w:w="1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3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 / GPU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Disk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Small (1 site, &lt;200 users)</w:t>
            </w:r>
          </w:p>
        </w:tc>
        <w:tc>
          <w:tcPr>
            <w:tcW w:type="dxa" w:w="1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 GB</w:t>
            </w:r>
          </w:p>
        </w:tc>
        <w:tc>
          <w:tcPr>
            <w:tcW w:type="dxa" w:w="3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4-core CPU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 GB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 (multi-site, &lt;2000)</w:t>
            </w:r>
          </w:p>
        </w:tc>
        <w:tc>
          <w:tcPr>
            <w:tcW w:type="dxa" w:w="1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16 GB</w:t>
            </w:r>
          </w:p>
        </w:tc>
        <w:tc>
          <w:tcPr>
            <w:tcW w:type="dxa" w:w="3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8-core CPU, optional GPU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 GB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Large (enterprise)</w:t>
            </w:r>
          </w:p>
        </w:tc>
        <w:tc>
          <w:tcPr>
            <w:tcW w:type="dxa" w:w="1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32 GB+</w:t>
            </w:r>
          </w:p>
        </w:tc>
        <w:tc>
          <w:tcPr>
            <w:tcW w:type="dxa" w:w="3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GPU recommended for ML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500 GB+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Environment configuration</w:t>
      </w:r>
    </w:p>
    <w:p>
      <w:pPr>
        <w:spacing w:after="120" w:line="276"/>
      </w:pPr>
      <w:r>
        <w:t xml:space="preserve">All config is via environment variables — never hardcoded. Key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DATABASE_URL=postgresql://...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REDIS_URL=redis://...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MILVUS_HOST=milvus  MILVUS_PORT=19530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MINIO_ENDPOINT=minio:9000  MINIO_KEY=...  MINIO_SECRET=...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ZEPIRIS_URL=http://zepiris-main:8000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MATCH_THRESHOLD=0.5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SESSION_SECRET=...   CSRF_SECRET=...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SMTP_URL=...   SMS_PROVIDER_KEY=...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DATA_REGION=india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Security &amp; DevOps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Security &amp; DevOps</w:t>
      </w:r>
    </w:p>
    <w:p>
      <w:pPr>
        <w:pStyle w:val="Heading2"/>
      </w:pPr>
      <w:r>
        <w:t xml:space="preserve">3.1 Security requirements (mandatory)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Transport: </w:t>
      </w:r>
      <w:r>
        <w:t xml:space="preserve">TLS 1.3 on all traffic. No plain HTTP, ever.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 rest: </w:t>
      </w:r>
      <w:r>
        <w:t xml:space="preserve">AES-256 encryption for the database and MinIO. Milvus vectors encrypted at rest.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Sessions: </w:t>
      </w:r>
      <w:r>
        <w:t xml:space="preserve">HttpOnly, Secure, SameSite=Strict cookies. CSRF tokens on all mutations.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Passwords: </w:t>
      </w:r>
      <w:r>
        <w:t xml:space="preserve">Argon2 or bcrypt hashing. TOTP 2FA mandatory for admin roles.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Tenant isolation: </w:t>
      </w:r>
      <w:r>
        <w:t xml:space="preserve">PostgreSQL Row-Level Security as a safety net beyond app-layer checks.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Secrets: </w:t>
      </w:r>
      <w:r>
        <w:t xml:space="preserve">in a secrets manager or env, never in code or git.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Rate limiting: </w:t>
      </w:r>
      <w:r>
        <w:t xml:space="preserve">at the gateway, per the API Reference limits.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Watches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Prometheus</w:t>
            </w:r>
          </w:p>
        </w:tc>
        <w:tc>
          <w:tcPr>
            <w:tcW w:type="dxa" w:w="7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Metrics — request rate, latency, error rate, uptime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Grafana</w:t>
            </w:r>
          </w:p>
        </w:tc>
        <w:tc>
          <w:tcPr>
            <w:tcW w:type="dxa" w:w="7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Dashboards and alerting thresholds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7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Every significant action (in PostgreSQL)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7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Each container exposes /health; gateway probes 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Backups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PostgreSQL: </w:t>
      </w:r>
      <w:r>
        <w:t xml:space="preserve">daily automated dump, retained 30 days; point-in-time recovery enabled.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Milvus &amp; MinIO: </w:t>
      </w:r>
      <w:r>
        <w:t xml:space="preserve">daily snapshot.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Restore drills: </w:t>
      </w:r>
      <w:r>
        <w:t xml:space="preserve">test a full restore monthly. A backup you haven't restored is not a backup.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3.4 CI/CD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Pipeline: </w:t>
      </w:r>
      <w:r>
        <w:t xml:space="preserve">on push → lint → test → build images → deploy to staging → manual approval → production.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Migrations: </w:t>
      </w:r>
      <w:r>
        <w:t xml:space="preserve">database migrations run automatically and must be reversible.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Zero-downtime: </w:t>
      </w:r>
      <w:r>
        <w:t xml:space="preserve">rolling deploys; the face-search path must never be fully down.</w:t>
      </w:r>
    </w:p>
    <w:p>
      <w:r>
        <w:br w:type="pag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End of Integration &amp; Infrastructure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D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Build documentation — v1.0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D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BioCore Platform</w:t>
    </w:r>
    <w:r>
      <w:rPr>
        <w:rFonts w:ascii="Arial" w:cs="Arial" w:eastAsia="Arial" w:hAnsi="Arial"/>
        <w:color w:val="5F5E5A"/>
        <w:sz w:val="16"/>
        <w:szCs w:val="16"/>
      </w:rPr>
      <w:t xml:space="preserve">	Integration &amp; Infrastructure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FB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Integration &amp; Infrastructure</dc:title>
  <dc:creator>BioCore Platform</dc:creator>
  <cp:lastModifiedBy>Un-named</cp:lastModifiedBy>
  <cp:revision>1</cp:revision>
  <dcterms:created xsi:type="dcterms:W3CDTF">2026-06-15T05:38:06.073Z</dcterms:created>
  <dcterms:modified xsi:type="dcterms:W3CDTF">2026-06-15T05:38:06.073Z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