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9488"/>
          <w:sz w:val="28"/>
        </w:rPr>
        <w:t>OOLIX</w:t>
      </w:r>
    </w:p>
    <w:p>
      <w:pPr>
        <w:pStyle w:val="Title"/>
        <w:jc w:val="center"/>
      </w:pPr>
      <w:r>
        <w:t>Audience Builder &amp; Data Partner Matching</w:t>
        <w:br/>
        <w:t>MVP Change Specification v6</w:t>
      </w:r>
    </w:p>
    <w:p>
      <w:pPr>
        <w:jc w:val="center"/>
      </w:pPr>
      <w:r>
        <w:rPr>
          <w:color w:val="475569"/>
          <w:sz w:val="22"/>
        </w:rPr>
        <w:t>Buyer-defined audience rules -&gt; Partner capability matching -&gt; local reach estimation -&gt; campaign approval -&gt; local activation</w:t>
      </w:r>
    </w:p>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Purpose of this document</w:t>
            </w:r>
          </w:p>
          <w:p>
            <w:r>
              <w:rPr>
                <w:rFonts w:ascii="Arial" w:hAnsi="Arial"/>
                <w:sz w:val="17"/>
              </w:rPr>
              <w:t>This v6 change specification is designed to be handed directly to the development team already building from the v5 master specification. It changes the Buyer-side audience model. The old primary flow - browse Partner-published segments first - is replaced by a Buyer-led Audience Builder. This document supersedes the v5 Audience Discovery / segment-first workflow wherever the two conflict.</w:t>
            </w:r>
          </w:p>
        </w:tc>
      </w:tr>
    </w:tbl>
    <w:p/>
    <w:p>
      <w:r>
        <w:t>Version date: August 2026</w:t>
      </w:r>
    </w:p>
    <w:p>
      <w:r>
        <w:br w:type="page"/>
      </w:r>
    </w:p>
    <w:p>
      <w:pPr>
        <w:pStyle w:val="Heading1"/>
      </w:pPr>
      <w:r>
        <w:t>Contents</w:t>
      </w:r>
    </w:p>
    <w:p>
      <w:r>
        <w:t>1. Executive Product Change</w:t>
      </w:r>
    </w:p>
    <w:p>
      <w:r>
        <w:t>2. New Canonical Buyer Journey</w:t>
      </w:r>
    </w:p>
    <w:p>
      <w:r>
        <w:t>3. Canonical Product Objects</w:t>
      </w:r>
    </w:p>
    <w:p>
      <w:r>
        <w:t>4. Standardized Audience Attribute Taxonomy</w:t>
      </w:r>
    </w:p>
    <w:p>
      <w:r>
        <w:t>5. Data Partner Capability Publication and Mapping</w:t>
      </w:r>
    </w:p>
    <w:p>
      <w:r>
        <w:t>6. Audience Builder - Buyer UX</w:t>
      </w:r>
    </w:p>
    <w:p>
      <w:r>
        <w:t>7. Partner Compatibility Matching</w:t>
      </w:r>
    </w:p>
    <w:p>
      <w:r>
        <w:t>8. Safe Reach Estimation</w:t>
      </w:r>
    </w:p>
    <w:p>
      <w:r>
        <w:t>9. Campaign Linkage and Campaign Builder Changes</w:t>
      </w:r>
    </w:p>
    <w:p>
      <w:r>
        <w:t>10. Data Partner Campaign Review</w:t>
      </w:r>
    </w:p>
    <w:p>
      <w:r>
        <w:t>11. Local Audience Compilation and Materialization</w:t>
      </w:r>
    </w:p>
    <w:p>
      <w:r>
        <w:t>12. Partner-Owned Web/App Runtime</w:t>
      </w:r>
    </w:p>
    <w:p>
      <w:r>
        <w:t>13. Meta/Google External Activation Impact</w:t>
      </w:r>
    </w:p>
    <w:p>
      <w:r>
        <w:t>14. API Contract Changes</w:t>
      </w:r>
    </w:p>
    <w:p>
      <w:r>
        <w:t>15. Database / Migration Changes</w:t>
      </w:r>
    </w:p>
    <w:p>
      <w:r>
        <w:t>16. States and Versioning</w:t>
      </w:r>
    </w:p>
    <w:p>
      <w:r>
        <w:t>17. Privacy, Anti-Differencing and Policy Controls</w:t>
      </w:r>
    </w:p>
    <w:p>
      <w:r>
        <w:t>18. Buyer and Partner UI Changes</w:t>
      </w:r>
    </w:p>
    <w:p>
      <w:r>
        <w:t>19. Migration From Current Implementation</w:t>
      </w:r>
    </w:p>
    <w:p>
      <w:r>
        <w:t>20. MVP Acceptance Criteria</w:t>
      </w:r>
    </w:p>
    <w:p>
      <w:r>
        <w:t>21. Recommended Developer Sprint Change Plan</w:t>
      </w:r>
    </w:p>
    <w:p>
      <w:r>
        <w:t>22. Developer Handoff Summary</w:t>
      </w:r>
    </w:p>
    <w:p>
      <w:pPr>
        <w:pStyle w:val="Heading1"/>
      </w:pPr>
      <w:r>
        <w:t>1. Executive Product Change</w:t>
      </w:r>
    </w:p>
    <w:p>
      <w:pPr>
        <w:jc w:val="center"/>
      </w:pPr>
      <w:r>
        <w:drawing>
          <wp:inline xmlns:a="http://schemas.openxmlformats.org/drawingml/2006/main" xmlns:pic="http://schemas.openxmlformats.org/drawingml/2006/picture">
            <wp:extent cx="6217920" cy="291376"/>
            <wp:docPr id="1" name="Picture 1"/>
            <wp:cNvGraphicFramePr>
              <a:graphicFrameLocks noChangeAspect="1"/>
            </wp:cNvGraphicFramePr>
            <a:graphic>
              <a:graphicData uri="http://schemas.openxmlformats.org/drawingml/2006/picture">
                <pic:pic>
                  <pic:nvPicPr>
                    <pic:cNvPr id="0" name="overall_flow.png"/>
                    <pic:cNvPicPr/>
                  </pic:nvPicPr>
                  <pic:blipFill>
                    <a:blip r:embed="rId9"/>
                    <a:stretch>
                      <a:fillRect/>
                    </a:stretch>
                  </pic:blipFill>
                  <pic:spPr>
                    <a:xfrm>
                      <a:off x="0" y="0"/>
                      <a:ext cx="6217920" cy="291376"/>
                    </a:xfrm>
                    <a:prstGeom prst="rect"/>
                  </pic:spPr>
                </pic:pic>
              </a:graphicData>
            </a:graphic>
          </wp:inline>
        </w:drawing>
      </w:r>
    </w:p>
    <w:p>
      <w:pPr>
        <w:jc w:val="center"/>
      </w:pPr>
      <w:r>
        <w:rPr>
          <w:i/>
          <w:color w:val="475569"/>
          <w:sz w:val="15"/>
        </w:rPr>
        <w:t>Figure 1. New primary product flow.</w:t>
      </w:r>
    </w:p>
    <w:p>
      <w:r>
        <w:t>The Buyer should not start by browsing a catalogue of Partner-created audience segments. The Buyer starts by describing the audience they want. Oolix then identifies which Data Partners can evaluate those requested fields, requests safe reach estimates from selected Partners, and links the final Audience Group to the campaign.</w:t>
      </w:r>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New core statement</w:t>
            </w:r>
          </w:p>
          <w:p>
            <w:r>
              <w:rPr>
                <w:rFonts w:ascii="Arial" w:hAnsi="Arial"/>
                <w:sz w:val="17"/>
              </w:rPr>
              <w:t>Oolix knows the audience rule. The Data Partner knows which of its users match the rule. Oolix never needs the Partner's customer list to find compatible Partners or run Partner-owned media.</w:t>
            </w:r>
          </w:p>
        </w:tc>
      </w:tr>
    </w:tbl>
    <w:p/>
    <w:tbl>
      <w:tblPr>
        <w:tblStyle w:val="TableGrid"/>
        <w:tblW w:type="auto" w:w="0"/>
        <w:jc w:val="center"/>
        <w:tblLook w:firstColumn="1" w:firstRow="1" w:lastColumn="0" w:lastRow="0" w:noHBand="0" w:noVBand="1" w:val="04A0"/>
      </w:tblPr>
      <w:tblGrid>
        <w:gridCol w:w="5112"/>
        <w:gridCol w:w="5112"/>
      </w:tblGrid>
      <w:tr>
        <w:tc>
          <w:tcPr>
            <w:tcW w:type="dxa" w:w="4824"/>
            <w:vAlign w:val="center"/>
            <w:shd w:fill="164E63"/>
          </w:tcPr>
          <w:p>
            <w:pPr>
              <w:spacing w:after="0"/>
            </w:pPr>
            <w:r/>
            <w:r>
              <w:rPr>
                <w:rFonts w:ascii="Arial" w:hAnsi="Arial"/>
                <w:b/>
                <w:color w:val="FFFFFF"/>
                <w:sz w:val="16"/>
              </w:rPr>
              <w:t>Old v5 primary model</w:t>
            </w:r>
          </w:p>
        </w:tc>
        <w:tc>
          <w:tcPr>
            <w:tcW w:type="dxa" w:w="4824"/>
            <w:vAlign w:val="center"/>
            <w:shd w:fill="164E63"/>
          </w:tcPr>
          <w:p>
            <w:pPr>
              <w:spacing w:after="0"/>
            </w:pPr>
            <w:r/>
            <w:r>
              <w:rPr>
                <w:rFonts w:ascii="Arial" w:hAnsi="Arial"/>
                <w:b/>
                <w:color w:val="FFFFFF"/>
                <w:sz w:val="16"/>
              </w:rPr>
              <w:t>New v6 primary model</w:t>
            </w:r>
          </w:p>
        </w:tc>
      </w:tr>
      <w:tr>
        <w:tc>
          <w:tcPr>
            <w:tcW w:type="dxa" w:w="4824"/>
            <w:vAlign w:val="center"/>
          </w:tcPr>
          <w:p>
            <w:pPr>
              <w:spacing w:after="0"/>
            </w:pPr>
            <w:r/>
            <w:r>
              <w:rPr>
                <w:rFonts w:ascii="Arial" w:hAnsi="Arial"/>
                <w:b w:val="0"/>
                <w:sz w:val="15"/>
              </w:rPr>
              <w:t>Partner publishes 'Recent Travellers'; Buyer browses and selects it.</w:t>
            </w:r>
          </w:p>
        </w:tc>
        <w:tc>
          <w:tcPr>
            <w:tcW w:type="dxa" w:w="4824"/>
            <w:vAlign w:val="center"/>
          </w:tcPr>
          <w:p>
            <w:pPr>
              <w:spacing w:after="0"/>
            </w:pPr>
            <w:r/>
            <w:r>
              <w:rPr>
                <w:rFonts w:ascii="Arial" w:hAnsi="Arial"/>
                <w:b w:val="0"/>
                <w:sz w:val="15"/>
              </w:rPr>
              <w:t>Buyer creates 'Shoe Shoppers' with age, shopping, payment and category rules; Oolix finds compatible Partners.</w:t>
            </w:r>
          </w:p>
        </w:tc>
      </w:tr>
      <w:tr>
        <w:tc>
          <w:tcPr>
            <w:tcW w:type="dxa" w:w="4824"/>
            <w:vAlign w:val="center"/>
          </w:tcPr>
          <w:p>
            <w:pPr>
              <w:spacing w:after="0"/>
            </w:pPr>
            <w:r/>
            <w:r>
              <w:rPr>
                <w:rFonts w:ascii="Arial" w:hAnsi="Arial"/>
                <w:b w:val="0"/>
                <w:sz w:val="15"/>
              </w:rPr>
              <w:t>Segment catalogue is the starting point.</w:t>
            </w:r>
          </w:p>
        </w:tc>
        <w:tc>
          <w:tcPr>
            <w:tcW w:type="dxa" w:w="4824"/>
            <w:vAlign w:val="center"/>
          </w:tcPr>
          <w:p>
            <w:pPr>
              <w:spacing w:after="0"/>
            </w:pPr>
            <w:r/>
            <w:r>
              <w:rPr>
                <w:rFonts w:ascii="Arial" w:hAnsi="Arial"/>
                <w:b w:val="0"/>
                <w:sz w:val="15"/>
              </w:rPr>
              <w:t>Audience Builder is the starting point.</w:t>
            </w:r>
          </w:p>
        </w:tc>
      </w:tr>
      <w:tr>
        <w:tc>
          <w:tcPr>
            <w:tcW w:type="dxa" w:w="4824"/>
            <w:vAlign w:val="center"/>
          </w:tcPr>
          <w:p>
            <w:pPr>
              <w:spacing w:after="0"/>
            </w:pPr>
            <w:r/>
            <w:r>
              <w:rPr>
                <w:rFonts w:ascii="Arial" w:hAnsi="Arial"/>
                <w:b w:val="0"/>
                <w:sz w:val="15"/>
              </w:rPr>
              <w:t>Partner segment definition drives targeting.</w:t>
            </w:r>
          </w:p>
        </w:tc>
        <w:tc>
          <w:tcPr>
            <w:tcW w:type="dxa" w:w="4824"/>
            <w:vAlign w:val="center"/>
          </w:tcPr>
          <w:p>
            <w:pPr>
              <w:spacing w:after="0"/>
            </w:pPr>
            <w:r/>
            <w:r>
              <w:rPr>
                <w:rFonts w:ascii="Arial" w:hAnsi="Arial"/>
                <w:b w:val="0"/>
                <w:sz w:val="15"/>
              </w:rPr>
              <w:t>Oolix standardized rule schema drives the request; Partner maps it locally.</w:t>
            </w:r>
          </w:p>
        </w:tc>
      </w:tr>
      <w:tr>
        <w:tc>
          <w:tcPr>
            <w:tcW w:type="dxa" w:w="4824"/>
            <w:vAlign w:val="center"/>
          </w:tcPr>
          <w:p>
            <w:pPr>
              <w:spacing w:after="0"/>
            </w:pPr>
            <w:r/>
            <w:r>
              <w:rPr>
                <w:rFonts w:ascii="Arial" w:hAnsi="Arial"/>
                <w:b w:val="0"/>
                <w:sz w:val="15"/>
              </w:rPr>
              <w:t>Precomputed Partner segments required.</w:t>
            </w:r>
          </w:p>
        </w:tc>
        <w:tc>
          <w:tcPr>
            <w:tcW w:type="dxa" w:w="4824"/>
            <w:vAlign w:val="center"/>
          </w:tcPr>
          <w:p>
            <w:pPr>
              <w:spacing w:after="0"/>
            </w:pPr>
            <w:r/>
            <w:r>
              <w:rPr>
                <w:rFonts w:ascii="Arial" w:hAnsi="Arial"/>
                <w:b w:val="0"/>
                <w:sz w:val="15"/>
              </w:rPr>
              <w:t>Partner standardized attributes are primary; prebuilt segments remain optional.</w:t>
            </w:r>
          </w:p>
        </w:tc>
      </w:tr>
    </w:tbl>
    <w:p/>
    <w:p>
      <w:pPr>
        <w:pStyle w:val="Heading1"/>
      </w:pPr>
      <w:r>
        <w:t>2. New Canonical Buyer Journey</w:t>
      </w:r>
    </w:p>
    <w:p>
      <w:pPr>
        <w:pStyle w:val="ListNumber"/>
        <w:spacing w:after="40"/>
      </w:pPr>
      <w:r>
        <w:t>Buyer opens Audiences and clicks Create Audience.</w:t>
      </w:r>
    </w:p>
    <w:p>
      <w:pPr>
        <w:pStyle w:val="ListNumber"/>
        <w:spacing w:after="40"/>
      </w:pPr>
      <w:r>
        <w:t>Buyer names the Audience Group and defines standardized conditions.</w:t>
      </w:r>
    </w:p>
    <w:p>
      <w:pPr>
        <w:pStyle w:val="ListNumber"/>
        <w:spacing w:after="40"/>
      </w:pPr>
      <w:r>
        <w:t>Each condition is marked REQUIRED or OPTIONAL and may have a weight.</w:t>
      </w:r>
    </w:p>
    <w:p>
      <w:pPr>
        <w:pStyle w:val="ListNumber"/>
        <w:spacing w:after="40"/>
      </w:pPr>
      <w:r>
        <w:t>Oolix compares requested attributes/operators with Data Partner capability metadata.</w:t>
      </w:r>
    </w:p>
    <w:p>
      <w:pPr>
        <w:pStyle w:val="ListNumber"/>
        <w:spacing w:after="40"/>
      </w:pPr>
      <w:r>
        <w:t>Oolix shows compatible Partners and which fields each Partner supports or lacks.</w:t>
      </w:r>
    </w:p>
    <w:p>
      <w:pPr>
        <w:pStyle w:val="ListNumber"/>
        <w:spacing w:after="40"/>
      </w:pPr>
      <w:r>
        <w:t>Buyer selects one or more Partners for safe reach estimation.</w:t>
      </w:r>
    </w:p>
    <w:p>
      <w:pPr>
        <w:pStyle w:val="ListNumber"/>
        <w:spacing w:after="40"/>
      </w:pPr>
      <w:r>
        <w:t>Oolix sends the versioned rule snapshot to each selected Partner Agent; evaluation happens locally.</w:t>
      </w:r>
    </w:p>
    <w:p>
      <w:pPr>
        <w:pStyle w:val="ListNumber"/>
        <w:spacing w:after="40"/>
      </w:pPr>
      <w:r>
        <w:t>Partner Agent returns only a reach bucket or BELOW_THRESHOLD / UNAVAILABLE.</w:t>
      </w:r>
    </w:p>
    <w:p>
      <w:pPr>
        <w:pStyle w:val="ListNumber"/>
        <w:spacing w:after="40"/>
      </w:pPr>
      <w:r>
        <w:t>Buyer links the Audience Group to a campaign, or creates a campaign from the Audience Group.</w:t>
      </w:r>
    </w:p>
    <w:p>
      <w:pPr>
        <w:pStyle w:val="ListNumber"/>
        <w:spacing w:after="40"/>
      </w:pPr>
      <w:r>
        <w:t>Buyer selects Partner/channel/placement/budget/creative.</w:t>
      </w:r>
    </w:p>
    <w:p>
      <w:pPr>
        <w:pStyle w:val="ListNumber"/>
        <w:spacing w:after="40"/>
      </w:pPr>
      <w:r>
        <w:t>Each Data Partner receives its own campaign request including the requested audience rule and local reach estimate.</w:t>
      </w:r>
    </w:p>
    <w:p>
      <w:pPr>
        <w:pStyle w:val="ListNumber"/>
        <w:spacing w:after="40"/>
      </w:pPr>
      <w:r>
        <w:t>Partner approves, requests changes or rejects.</w:t>
      </w:r>
    </w:p>
    <w:p>
      <w:pPr>
        <w:pStyle w:val="ListNumber"/>
        <w:spacing w:after="40"/>
      </w:pPr>
      <w:r>
        <w:t>On approval, Partner Agent compiles and materializes the matching local audience.</w:t>
      </w:r>
    </w:p>
    <w:p>
      <w:pPr>
        <w:pStyle w:val="ListNumber"/>
        <w:spacing w:after="40"/>
      </w:pPr>
      <w:r>
        <w:t>Partner-owned app/web ad decisions use local membership plus consent, frequency and pacing.</w:t>
      </w:r>
    </w:p>
    <w:p>
      <w:pPr>
        <w:pStyle w:val="ListNumber"/>
        <w:spacing w:after="40"/>
      </w:pPr>
      <w:r>
        <w:t>Meta/Google, when enabled and eligible, use the same locally materialized approved audience.</w:t>
      </w:r>
    </w:p>
    <w:p>
      <w:pPr>
        <w:pStyle w:val="Heading1"/>
      </w:pPr>
      <w:r>
        <w:t>3. Canonical Product Objects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64E63"/>
          </w:tcPr>
          <w:p>
            <w:pPr>
              <w:spacing w:after="0"/>
            </w:pPr>
            <w:r/>
            <w:r>
              <w:rPr>
                <w:rFonts w:ascii="Arial" w:hAnsi="Arial"/>
                <w:b/>
                <w:color w:val="FFFFFF"/>
                <w:sz w:val="16"/>
              </w:rPr>
              <w:t>Object</w:t>
            </w:r>
          </w:p>
        </w:tc>
        <w:tc>
          <w:tcPr>
            <w:tcW w:type="dxa" w:w="4608"/>
            <w:vAlign w:val="center"/>
            <w:shd w:fill="164E63"/>
          </w:tcPr>
          <w:p>
            <w:pPr>
              <w:spacing w:after="0"/>
            </w:pPr>
            <w:r/>
            <w:r>
              <w:rPr>
                <w:rFonts w:ascii="Arial" w:hAnsi="Arial"/>
                <w:b/>
                <w:color w:val="FFFFFF"/>
                <w:sz w:val="16"/>
              </w:rPr>
              <w:t>Purpose</w:t>
            </w:r>
          </w:p>
        </w:tc>
        <w:tc>
          <w:tcPr>
            <w:tcW w:type="dxa" w:w="2592"/>
            <w:vAlign w:val="center"/>
            <w:shd w:fill="164E63"/>
          </w:tcPr>
          <w:p>
            <w:pPr>
              <w:spacing w:after="0"/>
            </w:pPr>
            <w:r/>
            <w:r>
              <w:rPr>
                <w:rFonts w:ascii="Arial" w:hAnsi="Arial"/>
                <w:b/>
                <w:color w:val="FFFFFF"/>
                <w:sz w:val="16"/>
              </w:rPr>
              <w:t>Where stored</w:t>
            </w:r>
          </w:p>
        </w:tc>
      </w:tr>
      <w:tr>
        <w:tc>
          <w:tcPr>
            <w:tcW w:type="dxa" w:w="2592"/>
            <w:vAlign w:val="center"/>
          </w:tcPr>
          <w:p>
            <w:pPr>
              <w:spacing w:after="0"/>
            </w:pPr>
            <w:r/>
            <w:r>
              <w:rPr>
                <w:rFonts w:ascii="Arial" w:hAnsi="Arial"/>
                <w:b w:val="0"/>
                <w:sz w:val="15"/>
              </w:rPr>
              <w:t>AudienceGroup</w:t>
            </w:r>
          </w:p>
        </w:tc>
        <w:tc>
          <w:tcPr>
            <w:tcW w:type="dxa" w:w="4608"/>
            <w:vAlign w:val="center"/>
          </w:tcPr>
          <w:p>
            <w:pPr>
              <w:spacing w:after="0"/>
            </w:pPr>
            <w:r/>
            <w:r>
              <w:rPr>
                <w:rFonts w:ascii="Arial" w:hAnsi="Arial"/>
                <w:b w:val="0"/>
                <w:sz w:val="15"/>
              </w:rPr>
              <w:t>Reusable Buyer-defined audience intent, e.g. Urban Shoe Shoppers.</w:t>
            </w:r>
          </w:p>
        </w:tc>
        <w:tc>
          <w:tcPr>
            <w:tcW w:type="dxa" w:w="2592"/>
            <w:vAlign w:val="center"/>
          </w:tcPr>
          <w:p>
            <w:pPr>
              <w:spacing w:after="0"/>
            </w:pPr>
            <w:r/>
            <w:r>
              <w:rPr>
                <w:rFonts w:ascii="Arial" w:hAnsi="Arial"/>
                <w:b w:val="0"/>
                <w:sz w:val="15"/>
              </w:rPr>
              <w:t>Oolix Cloud</w:t>
            </w:r>
          </w:p>
        </w:tc>
      </w:tr>
      <w:tr>
        <w:tc>
          <w:tcPr>
            <w:tcW w:type="dxa" w:w="2592"/>
            <w:vAlign w:val="center"/>
          </w:tcPr>
          <w:p>
            <w:pPr>
              <w:spacing w:after="0"/>
            </w:pPr>
            <w:r/>
            <w:r>
              <w:rPr>
                <w:rFonts w:ascii="Arial" w:hAnsi="Arial"/>
                <w:b w:val="0"/>
                <w:sz w:val="15"/>
              </w:rPr>
              <w:t>AudienceRule</w:t>
            </w:r>
          </w:p>
        </w:tc>
        <w:tc>
          <w:tcPr>
            <w:tcW w:type="dxa" w:w="4608"/>
            <w:vAlign w:val="center"/>
          </w:tcPr>
          <w:p>
            <w:pPr>
              <w:spacing w:after="0"/>
            </w:pPr>
            <w:r/>
            <w:r>
              <w:rPr>
                <w:rFonts w:ascii="Arial" w:hAnsi="Arial"/>
                <w:b w:val="0"/>
                <w:sz w:val="15"/>
              </w:rPr>
              <w:t>Standardized condition with operator/value and REQUIRED/OPTIONAL semantics.</w:t>
            </w:r>
          </w:p>
        </w:tc>
        <w:tc>
          <w:tcPr>
            <w:tcW w:type="dxa" w:w="2592"/>
            <w:vAlign w:val="center"/>
          </w:tcPr>
          <w:p>
            <w:pPr>
              <w:spacing w:after="0"/>
            </w:pPr>
            <w:r/>
            <w:r>
              <w:rPr>
                <w:rFonts w:ascii="Arial" w:hAnsi="Arial"/>
                <w:b w:val="0"/>
                <w:sz w:val="15"/>
              </w:rPr>
              <w:t>Oolix Cloud</w:t>
            </w:r>
          </w:p>
        </w:tc>
      </w:tr>
      <w:tr>
        <w:tc>
          <w:tcPr>
            <w:tcW w:type="dxa" w:w="2592"/>
            <w:vAlign w:val="center"/>
          </w:tcPr>
          <w:p>
            <w:pPr>
              <w:spacing w:after="0"/>
            </w:pPr>
            <w:r/>
            <w:r>
              <w:rPr>
                <w:rFonts w:ascii="Arial" w:hAnsi="Arial"/>
                <w:b w:val="0"/>
                <w:sz w:val="15"/>
              </w:rPr>
              <w:t>AttributeDefinition</w:t>
            </w:r>
          </w:p>
        </w:tc>
        <w:tc>
          <w:tcPr>
            <w:tcW w:type="dxa" w:w="4608"/>
            <w:vAlign w:val="center"/>
          </w:tcPr>
          <w:p>
            <w:pPr>
              <w:spacing w:after="0"/>
            </w:pPr>
            <w:r/>
            <w:r>
              <w:rPr>
                <w:rFonts w:ascii="Arial" w:hAnsi="Arial"/>
                <w:b w:val="0"/>
                <w:sz w:val="15"/>
              </w:rPr>
              <w:t>Canonical taxonomy entry such as age or payment_method.</w:t>
            </w:r>
          </w:p>
        </w:tc>
        <w:tc>
          <w:tcPr>
            <w:tcW w:type="dxa" w:w="2592"/>
            <w:vAlign w:val="center"/>
          </w:tcPr>
          <w:p>
            <w:pPr>
              <w:spacing w:after="0"/>
            </w:pPr>
            <w:r/>
            <w:r>
              <w:rPr>
                <w:rFonts w:ascii="Arial" w:hAnsi="Arial"/>
                <w:b w:val="0"/>
                <w:sz w:val="15"/>
              </w:rPr>
              <w:t>Oolix Cloud</w:t>
            </w:r>
          </w:p>
        </w:tc>
      </w:tr>
      <w:tr>
        <w:tc>
          <w:tcPr>
            <w:tcW w:type="dxa" w:w="2592"/>
            <w:vAlign w:val="center"/>
          </w:tcPr>
          <w:p>
            <w:pPr>
              <w:spacing w:after="0"/>
            </w:pPr>
            <w:r/>
            <w:r>
              <w:rPr>
                <w:rFonts w:ascii="Arial" w:hAnsi="Arial"/>
                <w:b w:val="0"/>
                <w:sz w:val="15"/>
              </w:rPr>
              <w:t>PartnerCapability</w:t>
            </w:r>
          </w:p>
        </w:tc>
        <w:tc>
          <w:tcPr>
            <w:tcW w:type="dxa" w:w="4608"/>
            <w:vAlign w:val="center"/>
          </w:tcPr>
          <w:p>
            <w:pPr>
              <w:spacing w:after="0"/>
            </w:pPr>
            <w:r/>
            <w:r>
              <w:rPr>
                <w:rFonts w:ascii="Arial" w:hAnsi="Arial"/>
                <w:b w:val="0"/>
                <w:sz w:val="15"/>
              </w:rPr>
              <w:t>What standardized attributes/operators a Partner can evaluate.</w:t>
            </w:r>
          </w:p>
        </w:tc>
        <w:tc>
          <w:tcPr>
            <w:tcW w:type="dxa" w:w="2592"/>
            <w:vAlign w:val="center"/>
          </w:tcPr>
          <w:p>
            <w:pPr>
              <w:spacing w:after="0"/>
            </w:pPr>
            <w:r/>
            <w:r>
              <w:rPr>
                <w:rFonts w:ascii="Arial" w:hAnsi="Arial"/>
                <w:b w:val="0"/>
                <w:sz w:val="15"/>
              </w:rPr>
              <w:t>Oolix Cloud metadata only</w:t>
            </w:r>
          </w:p>
        </w:tc>
      </w:tr>
      <w:tr>
        <w:tc>
          <w:tcPr>
            <w:tcW w:type="dxa" w:w="2592"/>
            <w:vAlign w:val="center"/>
          </w:tcPr>
          <w:p>
            <w:pPr>
              <w:spacing w:after="0"/>
            </w:pPr>
            <w:r/>
            <w:r>
              <w:rPr>
                <w:rFonts w:ascii="Arial" w:hAnsi="Arial"/>
                <w:b w:val="0"/>
                <w:sz w:val="15"/>
              </w:rPr>
              <w:t>PartnerAttributeMapping</w:t>
            </w:r>
          </w:p>
        </w:tc>
        <w:tc>
          <w:tcPr>
            <w:tcW w:type="dxa" w:w="4608"/>
            <w:vAlign w:val="center"/>
          </w:tcPr>
          <w:p>
            <w:pPr>
              <w:spacing w:after="0"/>
            </w:pPr>
            <w:r/>
            <w:r>
              <w:rPr>
                <w:rFonts w:ascii="Arial" w:hAnsi="Arial"/>
                <w:b w:val="0"/>
                <w:sz w:val="15"/>
              </w:rPr>
              <w:t>Partner-local mapping from Oolix attribute to local view/API field.</w:t>
            </w:r>
          </w:p>
        </w:tc>
        <w:tc>
          <w:tcPr>
            <w:tcW w:type="dxa" w:w="2592"/>
            <w:vAlign w:val="center"/>
          </w:tcPr>
          <w:p>
            <w:pPr>
              <w:spacing w:after="0"/>
            </w:pPr>
            <w:r/>
            <w:r>
              <w:rPr>
                <w:rFonts w:ascii="Arial" w:hAnsi="Arial"/>
                <w:b w:val="0"/>
                <w:sz w:val="15"/>
              </w:rPr>
              <w:t>Partner local</w:t>
            </w:r>
          </w:p>
        </w:tc>
      </w:tr>
      <w:tr>
        <w:tc>
          <w:tcPr>
            <w:tcW w:type="dxa" w:w="2592"/>
            <w:vAlign w:val="center"/>
          </w:tcPr>
          <w:p>
            <w:pPr>
              <w:spacing w:after="0"/>
            </w:pPr>
            <w:r/>
            <w:r>
              <w:rPr>
                <w:rFonts w:ascii="Arial" w:hAnsi="Arial"/>
                <w:b w:val="0"/>
                <w:sz w:val="15"/>
              </w:rPr>
              <w:t>PartnerMatchSnapshot</w:t>
            </w:r>
          </w:p>
        </w:tc>
        <w:tc>
          <w:tcPr>
            <w:tcW w:type="dxa" w:w="4608"/>
            <w:vAlign w:val="center"/>
          </w:tcPr>
          <w:p>
            <w:pPr>
              <w:spacing w:after="0"/>
            </w:pPr>
            <w:r/>
            <w:r>
              <w:rPr>
                <w:rFonts w:ascii="Arial" w:hAnsi="Arial"/>
                <w:b w:val="0"/>
                <w:sz w:val="15"/>
              </w:rPr>
              <w:t>Versioned compatibility result between Audience Group and Partner.</w:t>
            </w:r>
          </w:p>
        </w:tc>
        <w:tc>
          <w:tcPr>
            <w:tcW w:type="dxa" w:w="2592"/>
            <w:vAlign w:val="center"/>
          </w:tcPr>
          <w:p>
            <w:pPr>
              <w:spacing w:after="0"/>
            </w:pPr>
            <w:r/>
            <w:r>
              <w:rPr>
                <w:rFonts w:ascii="Arial" w:hAnsi="Arial"/>
                <w:b w:val="0"/>
                <w:sz w:val="15"/>
              </w:rPr>
              <w:t>Oolix Cloud</w:t>
            </w:r>
          </w:p>
        </w:tc>
      </w:tr>
      <w:tr>
        <w:tc>
          <w:tcPr>
            <w:tcW w:type="dxa" w:w="2592"/>
            <w:vAlign w:val="center"/>
          </w:tcPr>
          <w:p>
            <w:pPr>
              <w:spacing w:after="0"/>
            </w:pPr>
            <w:r/>
            <w:r>
              <w:rPr>
                <w:rFonts w:ascii="Arial" w:hAnsi="Arial"/>
                <w:b w:val="0"/>
                <w:sz w:val="15"/>
              </w:rPr>
              <w:t>ReachEstimate</w:t>
            </w:r>
          </w:p>
        </w:tc>
        <w:tc>
          <w:tcPr>
            <w:tcW w:type="dxa" w:w="4608"/>
            <w:vAlign w:val="center"/>
          </w:tcPr>
          <w:p>
            <w:pPr>
              <w:spacing w:after="0"/>
            </w:pPr>
            <w:r/>
            <w:r>
              <w:rPr>
                <w:rFonts w:ascii="Arial" w:hAnsi="Arial"/>
                <w:b w:val="0"/>
                <w:sz w:val="15"/>
              </w:rPr>
              <w:t>Safe bucket returned by a Partner for one Audience Group version.</w:t>
            </w:r>
          </w:p>
        </w:tc>
        <w:tc>
          <w:tcPr>
            <w:tcW w:type="dxa" w:w="2592"/>
            <w:vAlign w:val="center"/>
          </w:tcPr>
          <w:p>
            <w:pPr>
              <w:spacing w:after="0"/>
            </w:pPr>
            <w:r/>
            <w:r>
              <w:rPr>
                <w:rFonts w:ascii="Arial" w:hAnsi="Arial"/>
                <w:b w:val="0"/>
                <w:sz w:val="15"/>
              </w:rPr>
              <w:t>Oolix Cloud metadata</w:t>
            </w:r>
          </w:p>
        </w:tc>
      </w:tr>
      <w:tr>
        <w:tc>
          <w:tcPr>
            <w:tcW w:type="dxa" w:w="2592"/>
            <w:vAlign w:val="center"/>
          </w:tcPr>
          <w:p>
            <w:pPr>
              <w:spacing w:after="0"/>
            </w:pPr>
            <w:r/>
            <w:r>
              <w:rPr>
                <w:rFonts w:ascii="Arial" w:hAnsi="Arial"/>
                <w:b w:val="0"/>
                <w:sz w:val="15"/>
              </w:rPr>
              <w:t>AudienceMaterialization</w:t>
            </w:r>
          </w:p>
        </w:tc>
        <w:tc>
          <w:tcPr>
            <w:tcW w:type="dxa" w:w="4608"/>
            <w:vAlign w:val="center"/>
          </w:tcPr>
          <w:p>
            <w:pPr>
              <w:spacing w:after="0"/>
            </w:pPr>
            <w:r/>
            <w:r>
              <w:rPr>
                <w:rFonts w:ascii="Arial" w:hAnsi="Arial"/>
                <w:b w:val="0"/>
                <w:sz w:val="15"/>
              </w:rPr>
              <w:t>Local compiled membership set for an approved activation.</w:t>
            </w:r>
          </w:p>
        </w:tc>
        <w:tc>
          <w:tcPr>
            <w:tcW w:type="dxa" w:w="2592"/>
            <w:vAlign w:val="center"/>
          </w:tcPr>
          <w:p>
            <w:pPr>
              <w:spacing w:after="0"/>
            </w:pPr>
            <w:r/>
            <w:r>
              <w:rPr>
                <w:rFonts w:ascii="Arial" w:hAnsi="Arial"/>
                <w:b w:val="0"/>
                <w:sz w:val="15"/>
              </w:rPr>
              <w:t>Partner only</w:t>
            </w:r>
          </w:p>
        </w:tc>
      </w:tr>
      <w:tr>
        <w:tc>
          <w:tcPr>
            <w:tcW w:type="dxa" w:w="2592"/>
            <w:vAlign w:val="center"/>
          </w:tcPr>
          <w:p>
            <w:pPr>
              <w:spacing w:after="0"/>
            </w:pPr>
            <w:r/>
            <w:r>
              <w:rPr>
                <w:rFonts w:ascii="Arial" w:hAnsi="Arial"/>
                <w:b w:val="0"/>
                <w:sz w:val="15"/>
              </w:rPr>
              <w:t>CampaignAudienceLink</w:t>
            </w:r>
          </w:p>
        </w:tc>
        <w:tc>
          <w:tcPr>
            <w:tcW w:type="dxa" w:w="4608"/>
            <w:vAlign w:val="center"/>
          </w:tcPr>
          <w:p>
            <w:pPr>
              <w:spacing w:after="0"/>
            </w:pPr>
            <w:r/>
            <w:r>
              <w:rPr>
                <w:rFonts w:ascii="Arial" w:hAnsi="Arial"/>
                <w:b w:val="0"/>
                <w:sz w:val="15"/>
              </w:rPr>
              <w:t>Links campaign to one Audience Group version.</w:t>
            </w:r>
          </w:p>
        </w:tc>
        <w:tc>
          <w:tcPr>
            <w:tcW w:type="dxa" w:w="2592"/>
            <w:vAlign w:val="center"/>
          </w:tcPr>
          <w:p>
            <w:pPr>
              <w:spacing w:after="0"/>
            </w:pPr>
            <w:r/>
            <w:r>
              <w:rPr>
                <w:rFonts w:ascii="Arial" w:hAnsi="Arial"/>
                <w:b w:val="0"/>
                <w:sz w:val="15"/>
              </w:rPr>
              <w:t>Oolix Cloud</w:t>
            </w:r>
          </w:p>
        </w:tc>
      </w:tr>
      <w:tr>
        <w:tc>
          <w:tcPr>
            <w:tcW w:type="dxa" w:w="2592"/>
            <w:vAlign w:val="center"/>
          </w:tcPr>
          <w:p>
            <w:pPr>
              <w:spacing w:after="0"/>
            </w:pPr>
            <w:r/>
            <w:r>
              <w:rPr>
                <w:rFonts w:ascii="Arial" w:hAnsi="Arial"/>
                <w:b w:val="0"/>
                <w:sz w:val="15"/>
              </w:rPr>
              <w:t>PartnerRequest</w:t>
            </w:r>
          </w:p>
        </w:tc>
        <w:tc>
          <w:tcPr>
            <w:tcW w:type="dxa" w:w="4608"/>
            <w:vAlign w:val="center"/>
          </w:tcPr>
          <w:p>
            <w:pPr>
              <w:spacing w:after="0"/>
            </w:pPr>
            <w:r/>
            <w:r>
              <w:rPr>
                <w:rFonts w:ascii="Arial" w:hAnsi="Arial"/>
                <w:b w:val="0"/>
                <w:sz w:val="15"/>
              </w:rPr>
              <w:t>Partner-specific campaign approval request.</w:t>
            </w:r>
          </w:p>
        </w:tc>
        <w:tc>
          <w:tcPr>
            <w:tcW w:type="dxa" w:w="2592"/>
            <w:vAlign w:val="center"/>
          </w:tcPr>
          <w:p>
            <w:pPr>
              <w:spacing w:after="0"/>
            </w:pPr>
            <w:r/>
            <w:r>
              <w:rPr>
                <w:rFonts w:ascii="Arial" w:hAnsi="Arial"/>
                <w:b w:val="0"/>
                <w:sz w:val="15"/>
              </w:rPr>
              <w:t>Oolix Cloud</w:t>
            </w:r>
          </w:p>
        </w:tc>
      </w:tr>
      <w:tr>
        <w:tc>
          <w:tcPr>
            <w:tcW w:type="dxa" w:w="2592"/>
            <w:vAlign w:val="center"/>
          </w:tcPr>
          <w:p>
            <w:pPr>
              <w:spacing w:after="0"/>
            </w:pPr>
            <w:r/>
            <w:r>
              <w:rPr>
                <w:rFonts w:ascii="Arial" w:hAnsi="Arial"/>
                <w:b w:val="0"/>
                <w:sz w:val="15"/>
              </w:rPr>
              <w:t>Activation</w:t>
            </w:r>
          </w:p>
        </w:tc>
        <w:tc>
          <w:tcPr>
            <w:tcW w:type="dxa" w:w="4608"/>
            <w:vAlign w:val="center"/>
          </w:tcPr>
          <w:p>
            <w:pPr>
              <w:spacing w:after="0"/>
            </w:pPr>
            <w:r/>
            <w:r>
              <w:rPr>
                <w:rFonts w:ascii="Arial" w:hAnsi="Arial"/>
                <w:b w:val="0"/>
                <w:sz w:val="15"/>
              </w:rPr>
              <w:t>One Partner + one channel execution path.</w:t>
            </w:r>
          </w:p>
        </w:tc>
        <w:tc>
          <w:tcPr>
            <w:tcW w:type="dxa" w:w="2592"/>
            <w:vAlign w:val="center"/>
          </w:tcPr>
          <w:p>
            <w:pPr>
              <w:spacing w:after="0"/>
            </w:pPr>
            <w:r/>
            <w:r>
              <w:rPr>
                <w:rFonts w:ascii="Arial" w:hAnsi="Arial"/>
                <w:b w:val="0"/>
                <w:sz w:val="15"/>
              </w:rPr>
              <w:t>Cloud + Agent state</w:t>
            </w:r>
          </w:p>
        </w:tc>
      </w:tr>
    </w:tbl>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MVP simplification</w:t>
            </w:r>
          </w:p>
          <w:p>
            <w:r>
              <w:rPr>
                <w:rFonts w:ascii="Arial" w:hAnsi="Arial"/>
                <w:sz w:val="17"/>
              </w:rPr>
              <w:t>Use one Audience Group per campaign in the first MVP. A join table can still be used so multiple audience groups can be supported later without a destructive migration.</w:t>
            </w:r>
          </w:p>
        </w:tc>
      </w:tr>
    </w:tbl>
    <w:p/>
    <w:p>
      <w:pPr>
        <w:pStyle w:val="Heading1"/>
      </w:pPr>
      <w:r>
        <w:t>4. Standardized Audience Attribute Taxonomy</w:t>
      </w:r>
    </w:p>
    <w:p>
      <w:r>
        <w:t>Buyers must never write SQL or arbitrary database expressions. They build audiences using an Oolix-controlled taxonomy. Every AttributeDefinition declares a data type, supported operators, validation rules, policy class and display metadata.</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64E63"/>
          </w:tcPr>
          <w:p>
            <w:pPr>
              <w:spacing w:after="0"/>
            </w:pPr>
            <w:r/>
            <w:r>
              <w:rPr>
                <w:rFonts w:ascii="Arial" w:hAnsi="Arial"/>
                <w:b/>
                <w:color w:val="FFFFFF"/>
                <w:sz w:val="16"/>
              </w:rPr>
              <w:t>Category</w:t>
            </w:r>
          </w:p>
        </w:tc>
        <w:tc>
          <w:tcPr>
            <w:tcW w:type="dxa" w:w="5040"/>
            <w:vAlign w:val="center"/>
            <w:shd w:fill="164E63"/>
          </w:tcPr>
          <w:p>
            <w:pPr>
              <w:spacing w:after="0"/>
            </w:pPr>
            <w:r/>
            <w:r>
              <w:rPr>
                <w:rFonts w:ascii="Arial" w:hAnsi="Arial"/>
                <w:b/>
                <w:color w:val="FFFFFF"/>
                <w:sz w:val="16"/>
              </w:rPr>
              <w:t>Example attributes</w:t>
            </w:r>
          </w:p>
        </w:tc>
        <w:tc>
          <w:tcPr>
            <w:tcW w:type="dxa" w:w="2448"/>
            <w:vAlign w:val="center"/>
            <w:shd w:fill="164E63"/>
          </w:tcPr>
          <w:p>
            <w:pPr>
              <w:spacing w:after="0"/>
            </w:pPr>
            <w:r/>
            <w:r>
              <w:rPr>
                <w:rFonts w:ascii="Arial" w:hAnsi="Arial"/>
                <w:b/>
                <w:color w:val="FFFFFF"/>
                <w:sz w:val="16"/>
              </w:rPr>
              <w:t>MVP operators</w:t>
            </w:r>
          </w:p>
        </w:tc>
      </w:tr>
      <w:tr>
        <w:tc>
          <w:tcPr>
            <w:tcW w:type="dxa" w:w="2160"/>
            <w:vAlign w:val="center"/>
          </w:tcPr>
          <w:p>
            <w:pPr>
              <w:spacing w:after="0"/>
            </w:pPr>
            <w:r/>
            <w:r>
              <w:rPr>
                <w:rFonts w:ascii="Arial" w:hAnsi="Arial"/>
                <w:b w:val="0"/>
                <w:sz w:val="15"/>
              </w:rPr>
              <w:t>Demographic</w:t>
            </w:r>
          </w:p>
        </w:tc>
        <w:tc>
          <w:tcPr>
            <w:tcW w:type="dxa" w:w="5040"/>
            <w:vAlign w:val="center"/>
          </w:tcPr>
          <w:p>
            <w:pPr>
              <w:spacing w:after="0"/>
            </w:pPr>
            <w:r/>
            <w:r>
              <w:rPr>
                <w:rFonts w:ascii="Arial" w:hAnsi="Arial"/>
                <w:b w:val="0"/>
                <w:sz w:val="15"/>
              </w:rPr>
              <w:t>age, gender</w:t>
            </w:r>
          </w:p>
        </w:tc>
        <w:tc>
          <w:tcPr>
            <w:tcW w:type="dxa" w:w="2448"/>
            <w:vAlign w:val="center"/>
          </w:tcPr>
          <w:p>
            <w:pPr>
              <w:spacing w:after="0"/>
            </w:pPr>
            <w:r/>
            <w:r>
              <w:rPr>
                <w:rFonts w:ascii="Arial" w:hAnsi="Arial"/>
                <w:b w:val="0"/>
                <w:sz w:val="15"/>
              </w:rPr>
              <w:t>BETWEEN, EQ, IN</w:t>
            </w:r>
          </w:p>
        </w:tc>
      </w:tr>
      <w:tr>
        <w:tc>
          <w:tcPr>
            <w:tcW w:type="dxa" w:w="2160"/>
            <w:vAlign w:val="center"/>
          </w:tcPr>
          <w:p>
            <w:pPr>
              <w:spacing w:after="0"/>
            </w:pPr>
            <w:r/>
            <w:r>
              <w:rPr>
                <w:rFonts w:ascii="Arial" w:hAnsi="Arial"/>
                <w:b w:val="0"/>
                <w:sz w:val="15"/>
              </w:rPr>
              <w:t>Geography</w:t>
            </w:r>
          </w:p>
        </w:tc>
        <w:tc>
          <w:tcPr>
            <w:tcW w:type="dxa" w:w="5040"/>
            <w:vAlign w:val="center"/>
          </w:tcPr>
          <w:p>
            <w:pPr>
              <w:spacing w:after="0"/>
            </w:pPr>
            <w:r/>
            <w:r>
              <w:rPr>
                <w:rFonts w:ascii="Arial" w:hAnsi="Arial"/>
                <w:b w:val="0"/>
                <w:sz w:val="15"/>
              </w:rPr>
              <w:t>country, state, city, region</w:t>
            </w:r>
          </w:p>
        </w:tc>
        <w:tc>
          <w:tcPr>
            <w:tcW w:type="dxa" w:w="2448"/>
            <w:vAlign w:val="center"/>
          </w:tcPr>
          <w:p>
            <w:pPr>
              <w:spacing w:after="0"/>
            </w:pPr>
            <w:r/>
            <w:r>
              <w:rPr>
                <w:rFonts w:ascii="Arial" w:hAnsi="Arial"/>
                <w:b w:val="0"/>
                <w:sz w:val="15"/>
              </w:rPr>
              <w:t>EQ, IN</w:t>
            </w:r>
          </w:p>
        </w:tc>
      </w:tr>
      <w:tr>
        <w:tc>
          <w:tcPr>
            <w:tcW w:type="dxa" w:w="2160"/>
            <w:vAlign w:val="center"/>
          </w:tcPr>
          <w:p>
            <w:pPr>
              <w:spacing w:after="0"/>
            </w:pPr>
            <w:r/>
            <w:r>
              <w:rPr>
                <w:rFonts w:ascii="Arial" w:hAnsi="Arial"/>
                <w:b w:val="0"/>
                <w:sz w:val="15"/>
              </w:rPr>
              <w:t>Commerce</w:t>
            </w:r>
          </w:p>
        </w:tc>
        <w:tc>
          <w:tcPr>
            <w:tcW w:type="dxa" w:w="5040"/>
            <w:vAlign w:val="center"/>
          </w:tcPr>
          <w:p>
            <w:pPr>
              <w:spacing w:after="0"/>
            </w:pPr>
            <w:r/>
            <w:r>
              <w:rPr>
                <w:rFonts w:ascii="Arial" w:hAnsi="Arial"/>
                <w:b w:val="0"/>
                <w:sz w:val="15"/>
              </w:rPr>
              <w:t>online_shopper, purchase_category, purchase_recency_days, purchase_frequency</w:t>
            </w:r>
          </w:p>
        </w:tc>
        <w:tc>
          <w:tcPr>
            <w:tcW w:type="dxa" w:w="2448"/>
            <w:vAlign w:val="center"/>
          </w:tcPr>
          <w:p>
            <w:pPr>
              <w:spacing w:after="0"/>
            </w:pPr>
            <w:r/>
            <w:r>
              <w:rPr>
                <w:rFonts w:ascii="Arial" w:hAnsi="Arial"/>
                <w:b w:val="0"/>
                <w:sz w:val="15"/>
              </w:rPr>
              <w:t>EQ, IN, LTE/GTE, BETWEEN</w:t>
            </w:r>
          </w:p>
        </w:tc>
      </w:tr>
      <w:tr>
        <w:tc>
          <w:tcPr>
            <w:tcW w:type="dxa" w:w="2160"/>
            <w:vAlign w:val="center"/>
          </w:tcPr>
          <w:p>
            <w:pPr>
              <w:spacing w:after="0"/>
            </w:pPr>
            <w:r/>
            <w:r>
              <w:rPr>
                <w:rFonts w:ascii="Arial" w:hAnsi="Arial"/>
                <w:b w:val="0"/>
                <w:sz w:val="15"/>
              </w:rPr>
              <w:t>Payment behaviour</w:t>
            </w:r>
          </w:p>
        </w:tc>
        <w:tc>
          <w:tcPr>
            <w:tcW w:type="dxa" w:w="5040"/>
            <w:vAlign w:val="center"/>
          </w:tcPr>
          <w:p>
            <w:pPr>
              <w:spacing w:after="0"/>
            </w:pPr>
            <w:r/>
            <w:r>
              <w:rPr>
                <w:rFonts w:ascii="Arial" w:hAnsi="Arial"/>
                <w:b w:val="0"/>
                <w:sz w:val="15"/>
              </w:rPr>
              <w:t>payment_method</w:t>
            </w:r>
          </w:p>
        </w:tc>
        <w:tc>
          <w:tcPr>
            <w:tcW w:type="dxa" w:w="2448"/>
            <w:vAlign w:val="center"/>
          </w:tcPr>
          <w:p>
            <w:pPr>
              <w:spacing w:after="0"/>
            </w:pPr>
            <w:r/>
            <w:r>
              <w:rPr>
                <w:rFonts w:ascii="Arial" w:hAnsi="Arial"/>
                <w:b w:val="0"/>
                <w:sz w:val="15"/>
              </w:rPr>
              <w:t>IN</w:t>
            </w:r>
          </w:p>
        </w:tc>
      </w:tr>
      <w:tr>
        <w:tc>
          <w:tcPr>
            <w:tcW w:type="dxa" w:w="2160"/>
            <w:vAlign w:val="center"/>
          </w:tcPr>
          <w:p>
            <w:pPr>
              <w:spacing w:after="0"/>
            </w:pPr>
            <w:r/>
            <w:r>
              <w:rPr>
                <w:rFonts w:ascii="Arial" w:hAnsi="Arial"/>
                <w:b w:val="0"/>
                <w:sz w:val="15"/>
              </w:rPr>
              <w:t>Travel</w:t>
            </w:r>
          </w:p>
        </w:tc>
        <w:tc>
          <w:tcPr>
            <w:tcW w:type="dxa" w:w="5040"/>
            <w:vAlign w:val="center"/>
          </w:tcPr>
          <w:p>
            <w:pPr>
              <w:spacing w:after="0"/>
            </w:pPr>
            <w:r/>
            <w:r>
              <w:rPr>
                <w:rFonts w:ascii="Arial" w:hAnsi="Arial"/>
                <w:b w:val="0"/>
                <w:sz w:val="15"/>
              </w:rPr>
              <w:t>recent_booking, domestic_international, booking_recency_days</w:t>
            </w:r>
          </w:p>
        </w:tc>
        <w:tc>
          <w:tcPr>
            <w:tcW w:type="dxa" w:w="2448"/>
            <w:vAlign w:val="center"/>
          </w:tcPr>
          <w:p>
            <w:pPr>
              <w:spacing w:after="0"/>
            </w:pPr>
            <w:r/>
            <w:r>
              <w:rPr>
                <w:rFonts w:ascii="Arial" w:hAnsi="Arial"/>
                <w:b w:val="0"/>
                <w:sz w:val="15"/>
              </w:rPr>
              <w:t>EQ, IN, LTE/GTE</w:t>
            </w:r>
          </w:p>
        </w:tc>
      </w:tr>
      <w:tr>
        <w:tc>
          <w:tcPr>
            <w:tcW w:type="dxa" w:w="2160"/>
            <w:vAlign w:val="center"/>
          </w:tcPr>
          <w:p>
            <w:pPr>
              <w:spacing w:after="0"/>
            </w:pPr>
            <w:r/>
            <w:r>
              <w:rPr>
                <w:rFonts w:ascii="Arial" w:hAnsi="Arial"/>
                <w:b w:val="0"/>
                <w:sz w:val="15"/>
              </w:rPr>
              <w:t>Engagement</w:t>
            </w:r>
          </w:p>
        </w:tc>
        <w:tc>
          <w:tcPr>
            <w:tcW w:type="dxa" w:w="5040"/>
            <w:vAlign w:val="center"/>
          </w:tcPr>
          <w:p>
            <w:pPr>
              <w:spacing w:after="0"/>
            </w:pPr>
            <w:r/>
            <w:r>
              <w:rPr>
                <w:rFonts w:ascii="Arial" w:hAnsi="Arial"/>
                <w:b w:val="0"/>
                <w:sz w:val="15"/>
              </w:rPr>
              <w:t>active_user_days, app_active, loyalty_tier</w:t>
            </w:r>
          </w:p>
        </w:tc>
        <w:tc>
          <w:tcPr>
            <w:tcW w:type="dxa" w:w="2448"/>
            <w:vAlign w:val="center"/>
          </w:tcPr>
          <w:p>
            <w:pPr>
              <w:spacing w:after="0"/>
            </w:pPr>
            <w:r/>
            <w:r>
              <w:rPr>
                <w:rFonts w:ascii="Arial" w:hAnsi="Arial"/>
                <w:b w:val="0"/>
                <w:sz w:val="15"/>
              </w:rPr>
              <w:t>LTE/GTE, EQ, IN</w:t>
            </w:r>
          </w:p>
        </w:tc>
      </w:tr>
    </w:tbl>
    <w:p/>
    <w:p>
      <w:pPr>
        <w:spacing w:before="40" w:after="80"/>
        <w:ind w:left="216" w:right="115"/>
        <w:shd w:fill="F3F4F6"/>
      </w:pPr>
      <w:r>
        <w:rPr>
          <w:rFonts w:ascii="Courier New" w:hAnsi="Courier New"/>
          <w:sz w:val="14"/>
        </w:rPr>
        <w:t>{</w:t>
        <w:br/>
        <w:t xml:space="preserve">  "attribute_key": "payment_method",</w:t>
        <w:br/>
        <w:t xml:space="preserve">  "display_name": "Payment method",</w:t>
        <w:br/>
        <w:t xml:space="preserve">  "category": "PAYMENT_BEHAVIOUR",</w:t>
        <w:br/>
        <w:t xml:space="preserve">  "data_type": "ENUM",</w:t>
        <w:br/>
        <w:t xml:space="preserve">  "operators": ["IN"],</w:t>
        <w:br/>
        <w:t xml:space="preserve">  "allowed_values": ["UPI", "CREDIT_CARD", "DEBIT_CARD", "COD"],</w:t>
        <w:br/>
        <w:t xml:space="preserve">  "policy_class": "GENERAL",</w:t>
        <w:br/>
        <w:t xml:space="preserve">  "version": 1</w:t>
        <w:br/>
        <w:t>}</w:t>
      </w:r>
    </w:p>
    <w:p>
      <w:pPr>
        <w:pStyle w:val="ListBullet"/>
        <w:spacing w:after="40"/>
      </w:pPr>
      <w:r>
        <w:t>Do not enable highly sensitive classes in the MVP without explicit legal/policy design.</w:t>
      </w:r>
    </w:p>
    <w:p>
      <w:pPr>
        <w:pStyle w:val="ListBullet"/>
        <w:spacing w:after="40"/>
      </w:pPr>
      <w:r>
        <w:t>Attribute taxonomy is versioned. A campaign request binds to the exact taxonomy/rule version approved by the Partner.</w:t>
      </w:r>
    </w:p>
    <w:p>
      <w:pPr>
        <w:pStyle w:val="ListBullet"/>
        <w:spacing w:after="40"/>
      </w:pPr>
      <w:r>
        <w:t>Partner can support an attribute without exposing its internal field name or raw values.</w:t>
      </w:r>
    </w:p>
    <w:p>
      <w:pPr>
        <w:pStyle w:val="Heading1"/>
      </w:pPr>
      <w:r>
        <w:t>5. Data Partner Capability Publication and Mapping</w:t>
      </w:r>
    </w:p>
    <w:p>
      <w:pPr>
        <w:jc w:val="center"/>
      </w:pPr>
      <w:r>
        <w:drawing>
          <wp:inline xmlns:a="http://schemas.openxmlformats.org/drawingml/2006/main" xmlns:pic="http://schemas.openxmlformats.org/drawingml/2006/picture">
            <wp:extent cx="6217920" cy="2379813"/>
            <wp:docPr id="2" name="Picture 2"/>
            <wp:cNvGraphicFramePr>
              <a:graphicFrameLocks noChangeAspect="1"/>
            </wp:cNvGraphicFramePr>
            <a:graphic>
              <a:graphicData uri="http://schemas.openxmlformats.org/drawingml/2006/picture">
                <pic:pic>
                  <pic:nvPicPr>
                    <pic:cNvPr id="0" name="trust_boundary.png"/>
                    <pic:cNvPicPr/>
                  </pic:nvPicPr>
                  <pic:blipFill>
                    <a:blip r:embed="rId10"/>
                    <a:stretch>
                      <a:fillRect/>
                    </a:stretch>
                  </pic:blipFill>
                  <pic:spPr>
                    <a:xfrm>
                      <a:off x="0" y="0"/>
                      <a:ext cx="6217920" cy="2379813"/>
                    </a:xfrm>
                    <a:prstGeom prst="rect"/>
                  </pic:spPr>
                </pic:pic>
              </a:graphicData>
            </a:graphic>
          </wp:inline>
        </w:drawing>
      </w:r>
    </w:p>
    <w:p>
      <w:pPr>
        <w:jc w:val="center"/>
      </w:pPr>
      <w:r>
        <w:rPr>
          <w:i/>
          <w:color w:val="475569"/>
          <w:sz w:val="15"/>
        </w:rPr>
        <w:t>Figure 2. Capability metadata is central; customer fields and membership remain local.</w:t>
      </w:r>
    </w:p>
    <w:p>
      <w:pPr>
        <w:pStyle w:val="Heading2"/>
      </w:pPr>
      <w:r>
        <w:t>5.1 Partner publishes safe capability metadata</w:t>
      </w:r>
    </w:p>
    <w:p>
      <w:pPr>
        <w:spacing w:before="40" w:after="80"/>
        <w:ind w:left="216" w:right="115"/>
        <w:shd w:fill="F3F4F6"/>
      </w:pPr>
      <w:r>
        <w:rPr>
          <w:rFonts w:ascii="Courier New" w:hAnsi="Courier New"/>
          <w:sz w:val="14"/>
        </w:rPr>
        <w:t>{</w:t>
        <w:br/>
        <w:t xml:space="preserve">  "partner_org_id": "org_partner_a",</w:t>
        <w:br/>
        <w:t xml:space="preserve">  "capability_version": 4,</w:t>
        <w:br/>
        <w:t xml:space="preserve">  "attributes": [</w:t>
        <w:br/>
        <w:t xml:space="preserve">    {"attribute_key":"age","operators":["BETWEEN"],"status":"AVAILABLE"},</w:t>
        <w:br/>
        <w:t xml:space="preserve">    {"attribute_key":"gender","operators":["IN"],"status":"AVAILABLE"},</w:t>
        <w:br/>
        <w:t xml:space="preserve">    {"attribute_key":"online_shopper","operators":["EQ"],"status":"AVAILABLE"},</w:t>
        <w:br/>
        <w:t xml:space="preserve">    {"attribute_key":"payment_method","operators":["IN"],"status":"AVAILABLE"},</w:t>
        <w:br/>
        <w:t xml:space="preserve">    {"attribute_key":"purchase_category","operators":["IN"],"status":"AVAILABLE"},</w:t>
        <w:br/>
        <w:t xml:space="preserve">    {"attribute_key":"purchase_recency_days","operators":["LTE"],"status":"AVAILABLE"}</w:t>
        <w:br/>
        <w:t xml:space="preserve">  ],</w:t>
        <w:br/>
        <w:t xml:space="preserve">  "geographies":["IN"],</w:t>
        <w:br/>
        <w:t xml:space="preserve">  "channels":["PARTNER_WEB","PARTNER_APP","META"],</w:t>
        <w:br/>
        <w:t xml:space="preserve">  "updated_at":"..."</w:t>
        <w:br/>
        <w:t>}</w:t>
      </w:r>
    </w:p>
    <w:p>
      <w:pPr>
        <w:pStyle w:val="Heading2"/>
      </w:pPr>
      <w:r>
        <w:t>5.2 Local-only mapping</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64E63"/>
          </w:tcPr>
          <w:p>
            <w:pPr>
              <w:spacing w:after="0"/>
            </w:pPr>
            <w:r/>
            <w:r>
              <w:rPr>
                <w:rFonts w:ascii="Arial" w:hAnsi="Arial"/>
                <w:b/>
                <w:color w:val="FFFFFF"/>
                <w:sz w:val="16"/>
              </w:rPr>
              <w:t>Oolix attribute</w:t>
            </w:r>
          </w:p>
        </w:tc>
        <w:tc>
          <w:tcPr>
            <w:tcW w:type="dxa" w:w="4320"/>
            <w:vAlign w:val="center"/>
            <w:shd w:fill="164E63"/>
          </w:tcPr>
          <w:p>
            <w:pPr>
              <w:spacing w:after="0"/>
            </w:pPr>
            <w:r/>
            <w:r>
              <w:rPr>
                <w:rFonts w:ascii="Arial" w:hAnsi="Arial"/>
                <w:b/>
                <w:color w:val="FFFFFF"/>
                <w:sz w:val="16"/>
              </w:rPr>
              <w:t>Partner local source example</w:t>
            </w:r>
          </w:p>
        </w:tc>
        <w:tc>
          <w:tcPr>
            <w:tcW w:type="dxa" w:w="2448"/>
            <w:vAlign w:val="center"/>
            <w:shd w:fill="164E63"/>
          </w:tcPr>
          <w:p>
            <w:pPr>
              <w:spacing w:after="0"/>
            </w:pPr>
            <w:r/>
            <w:r>
              <w:rPr>
                <w:rFonts w:ascii="Arial" w:hAnsi="Arial"/>
                <w:b/>
                <w:color w:val="FFFFFF"/>
                <w:sz w:val="16"/>
              </w:rPr>
              <w:t>Central?.</w:t>
            </w:r>
          </w:p>
        </w:tc>
      </w:tr>
      <w:tr>
        <w:tc>
          <w:tcPr>
            <w:tcW w:type="dxa" w:w="2880"/>
            <w:vAlign w:val="center"/>
          </w:tcPr>
          <w:p>
            <w:pPr>
              <w:spacing w:after="0"/>
            </w:pPr>
            <w:r/>
            <w:r>
              <w:rPr>
                <w:rFonts w:ascii="Arial" w:hAnsi="Arial"/>
                <w:b w:val="0"/>
                <w:sz w:val="15"/>
              </w:rPr>
              <w:t>age</w:t>
            </w:r>
          </w:p>
        </w:tc>
        <w:tc>
          <w:tcPr>
            <w:tcW w:type="dxa" w:w="4320"/>
            <w:vAlign w:val="center"/>
          </w:tcPr>
          <w:p>
            <w:pPr>
              <w:spacing w:after="0"/>
            </w:pPr>
            <w:r/>
            <w:r>
              <w:rPr>
                <w:rFonts w:ascii="Arial" w:hAnsi="Arial"/>
                <w:b w:val="0"/>
                <w:sz w:val="15"/>
              </w:rPr>
              <w:t>derived from dob</w:t>
            </w:r>
          </w:p>
        </w:tc>
        <w:tc>
          <w:tcPr>
            <w:tcW w:type="dxa" w:w="2448"/>
            <w:vAlign w:val="center"/>
          </w:tcPr>
          <w:p>
            <w:pPr>
              <w:spacing w:after="0"/>
            </w:pPr>
            <w:r/>
            <w:r>
              <w:rPr>
                <w:rFonts w:ascii="Arial" w:hAnsi="Arial"/>
                <w:b w:val="0"/>
                <w:sz w:val="15"/>
              </w:rPr>
              <w:t>No</w:t>
            </w:r>
          </w:p>
        </w:tc>
      </w:tr>
      <w:tr>
        <w:tc>
          <w:tcPr>
            <w:tcW w:type="dxa" w:w="2880"/>
            <w:vAlign w:val="center"/>
          </w:tcPr>
          <w:p>
            <w:pPr>
              <w:spacing w:after="0"/>
            </w:pPr>
            <w:r/>
            <w:r>
              <w:rPr>
                <w:rFonts w:ascii="Arial" w:hAnsi="Arial"/>
                <w:b w:val="0"/>
                <w:sz w:val="15"/>
              </w:rPr>
              <w:t>gender</w:t>
            </w:r>
          </w:p>
        </w:tc>
        <w:tc>
          <w:tcPr>
            <w:tcW w:type="dxa" w:w="4320"/>
            <w:vAlign w:val="center"/>
          </w:tcPr>
          <w:p>
            <w:pPr>
              <w:spacing w:after="0"/>
            </w:pPr>
            <w:r/>
            <w:r>
              <w:rPr>
                <w:rFonts w:ascii="Arial" w:hAnsi="Arial"/>
                <w:b w:val="0"/>
                <w:sz w:val="15"/>
              </w:rPr>
              <w:t>sex_code</w:t>
            </w:r>
          </w:p>
        </w:tc>
        <w:tc>
          <w:tcPr>
            <w:tcW w:type="dxa" w:w="2448"/>
            <w:vAlign w:val="center"/>
          </w:tcPr>
          <w:p>
            <w:pPr>
              <w:spacing w:after="0"/>
            </w:pPr>
            <w:r/>
            <w:r>
              <w:rPr>
                <w:rFonts w:ascii="Arial" w:hAnsi="Arial"/>
                <w:b w:val="0"/>
                <w:sz w:val="15"/>
              </w:rPr>
              <w:t>No</w:t>
            </w:r>
          </w:p>
        </w:tc>
      </w:tr>
      <w:tr>
        <w:tc>
          <w:tcPr>
            <w:tcW w:type="dxa" w:w="2880"/>
            <w:vAlign w:val="center"/>
          </w:tcPr>
          <w:p>
            <w:pPr>
              <w:spacing w:after="0"/>
            </w:pPr>
            <w:r/>
            <w:r>
              <w:rPr>
                <w:rFonts w:ascii="Arial" w:hAnsi="Arial"/>
                <w:b w:val="0"/>
                <w:sz w:val="15"/>
              </w:rPr>
              <w:t>payment_method</w:t>
            </w:r>
          </w:p>
        </w:tc>
        <w:tc>
          <w:tcPr>
            <w:tcW w:type="dxa" w:w="4320"/>
            <w:vAlign w:val="center"/>
          </w:tcPr>
          <w:p>
            <w:pPr>
              <w:spacing w:after="0"/>
            </w:pPr>
            <w:r/>
            <w:r>
              <w:rPr>
                <w:rFonts w:ascii="Arial" w:hAnsi="Arial"/>
                <w:b w:val="0"/>
                <w:sz w:val="15"/>
              </w:rPr>
              <w:t>pay_mode</w:t>
            </w:r>
          </w:p>
        </w:tc>
        <w:tc>
          <w:tcPr>
            <w:tcW w:type="dxa" w:w="2448"/>
            <w:vAlign w:val="center"/>
          </w:tcPr>
          <w:p>
            <w:pPr>
              <w:spacing w:after="0"/>
            </w:pPr>
            <w:r/>
            <w:r>
              <w:rPr>
                <w:rFonts w:ascii="Arial" w:hAnsi="Arial"/>
                <w:b w:val="0"/>
                <w:sz w:val="15"/>
              </w:rPr>
              <w:t>No</w:t>
            </w:r>
          </w:p>
        </w:tc>
      </w:tr>
      <w:tr>
        <w:tc>
          <w:tcPr>
            <w:tcW w:type="dxa" w:w="2880"/>
            <w:vAlign w:val="center"/>
          </w:tcPr>
          <w:p>
            <w:pPr>
              <w:spacing w:after="0"/>
            </w:pPr>
            <w:r/>
            <w:r>
              <w:rPr>
                <w:rFonts w:ascii="Arial" w:hAnsi="Arial"/>
                <w:b w:val="0"/>
                <w:sz w:val="15"/>
              </w:rPr>
              <w:t>purchase_category</w:t>
            </w:r>
          </w:p>
        </w:tc>
        <w:tc>
          <w:tcPr>
            <w:tcW w:type="dxa" w:w="4320"/>
            <w:vAlign w:val="center"/>
          </w:tcPr>
          <w:p>
            <w:pPr>
              <w:spacing w:after="0"/>
            </w:pPr>
            <w:r/>
            <w:r>
              <w:rPr>
                <w:rFonts w:ascii="Arial" w:hAnsi="Arial"/>
                <w:b w:val="0"/>
                <w:sz w:val="15"/>
              </w:rPr>
              <w:t>product_class/category_code</w:t>
            </w:r>
          </w:p>
        </w:tc>
        <w:tc>
          <w:tcPr>
            <w:tcW w:type="dxa" w:w="2448"/>
            <w:vAlign w:val="center"/>
          </w:tcPr>
          <w:p>
            <w:pPr>
              <w:spacing w:after="0"/>
            </w:pPr>
            <w:r/>
            <w:r>
              <w:rPr>
                <w:rFonts w:ascii="Arial" w:hAnsi="Arial"/>
                <w:b w:val="0"/>
                <w:sz w:val="15"/>
              </w:rPr>
              <w:t>No</w:t>
            </w:r>
          </w:p>
        </w:tc>
      </w:tr>
      <w:tr>
        <w:tc>
          <w:tcPr>
            <w:tcW w:type="dxa" w:w="2880"/>
            <w:vAlign w:val="center"/>
          </w:tcPr>
          <w:p>
            <w:pPr>
              <w:spacing w:after="0"/>
            </w:pPr>
            <w:r/>
            <w:r>
              <w:rPr>
                <w:rFonts w:ascii="Arial" w:hAnsi="Arial"/>
                <w:b w:val="0"/>
                <w:sz w:val="15"/>
              </w:rPr>
              <w:t>purchase_recency_days</w:t>
            </w:r>
          </w:p>
        </w:tc>
        <w:tc>
          <w:tcPr>
            <w:tcW w:type="dxa" w:w="4320"/>
            <w:vAlign w:val="center"/>
          </w:tcPr>
          <w:p>
            <w:pPr>
              <w:spacing w:after="0"/>
            </w:pPr>
            <w:r/>
            <w:r>
              <w:rPr>
                <w:rFonts w:ascii="Arial" w:hAnsi="Arial"/>
                <w:b w:val="0"/>
                <w:sz w:val="15"/>
              </w:rPr>
              <w:t>derived from last_order_at</w:t>
            </w:r>
          </w:p>
        </w:tc>
        <w:tc>
          <w:tcPr>
            <w:tcW w:type="dxa" w:w="2448"/>
            <w:vAlign w:val="center"/>
          </w:tcPr>
          <w:p>
            <w:pPr>
              <w:spacing w:after="0"/>
            </w:pPr>
            <w:r/>
            <w:r>
              <w:rPr>
                <w:rFonts w:ascii="Arial" w:hAnsi="Arial"/>
                <w:b w:val="0"/>
                <w:sz w:val="15"/>
              </w:rPr>
              <w:t>No</w:t>
            </w:r>
          </w:p>
        </w:tc>
      </w:tr>
      <w:tr>
        <w:tc>
          <w:tcPr>
            <w:tcW w:type="dxa" w:w="2880"/>
            <w:vAlign w:val="center"/>
          </w:tcPr>
          <w:p>
            <w:pPr>
              <w:spacing w:after="0"/>
            </w:pPr>
            <w:r/>
            <w:r>
              <w:rPr>
                <w:rFonts w:ascii="Arial" w:hAnsi="Arial"/>
                <w:b w:val="0"/>
                <w:sz w:val="15"/>
              </w:rPr>
              <w:t>online_shopper</w:t>
            </w:r>
          </w:p>
        </w:tc>
        <w:tc>
          <w:tcPr>
            <w:tcW w:type="dxa" w:w="4320"/>
            <w:vAlign w:val="center"/>
          </w:tcPr>
          <w:p>
            <w:pPr>
              <w:spacing w:after="0"/>
            </w:pPr>
            <w:r/>
            <w:r>
              <w:rPr>
                <w:rFonts w:ascii="Arial" w:hAnsi="Arial"/>
                <w:b w:val="0"/>
                <w:sz w:val="15"/>
              </w:rPr>
              <w:t>derived/materialized boolean</w:t>
            </w:r>
          </w:p>
        </w:tc>
        <w:tc>
          <w:tcPr>
            <w:tcW w:type="dxa" w:w="2448"/>
            <w:vAlign w:val="center"/>
          </w:tcPr>
          <w:p>
            <w:pPr>
              <w:spacing w:after="0"/>
            </w:pPr>
            <w:r/>
            <w:r>
              <w:rPr>
                <w:rFonts w:ascii="Arial" w:hAnsi="Arial"/>
                <w:b w:val="0"/>
                <w:sz w:val="15"/>
              </w:rPr>
              <w:t>No</w:t>
            </w:r>
          </w:p>
        </w:tc>
      </w:tr>
    </w:tbl>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Recommended Partner integration</w:t>
            </w:r>
          </w:p>
          <w:p>
            <w:r>
              <w:rPr>
                <w:rFonts w:ascii="Arial" w:hAnsi="Arial"/>
                <w:sz w:val="17"/>
              </w:rPr>
              <w:t>Do not dynamically join a large transactional production schema for every estimate or ad request. The Partner should expose a restricted Audience Attribute View or internal audience API/materialized table that the Agent is allowed to query.</w:t>
            </w:r>
          </w:p>
        </w:tc>
      </w:tr>
    </w:tbl>
    <w:p/>
    <w:p>
      <w:pPr>
        <w:pStyle w:val="Heading1"/>
      </w:pPr>
      <w:r>
        <w:t>6. Audience Builder - Buyer UX</w:t>
      </w:r>
    </w:p>
    <w:p>
      <w:pPr>
        <w:pStyle w:val="Heading2"/>
      </w:pPr>
      <w:r>
        <w:t>6.1 Navigation</w:t>
      </w:r>
    </w:p>
    <w:p>
      <w:pPr>
        <w:spacing w:before="40" w:after="80"/>
        <w:ind w:left="216" w:right="115"/>
        <w:shd w:fill="F3F4F6"/>
      </w:pPr>
      <w:r>
        <w:rPr>
          <w:rFonts w:ascii="Courier New" w:hAnsi="Courier New"/>
          <w:sz w:val="14"/>
        </w:rPr>
        <w:t>Dashboard</w:t>
        <w:br/>
        <w:t>Campaigns</w:t>
        <w:br/>
        <w:br/>
        <w:t>AUDIENCES</w:t>
        <w:br/>
        <w:t xml:space="preserve">  Audience Groups</w:t>
        <w:br/>
        <w:t xml:space="preserve">  Create Audience</w:t>
        <w:br/>
        <w:br/>
        <w:t>ASSETS</w:t>
        <w:br/>
        <w:t xml:space="preserve">  Creatives</w:t>
        <w:br/>
        <w:br/>
        <w:t>PERFORMANCE</w:t>
        <w:br/>
        <w:t xml:space="preserve">  Leads</w:t>
        <w:br/>
        <w:t xml:space="preserve">  Reports</w:t>
        <w:br/>
        <w:br/>
        <w:t>Billing</w:t>
        <w:br/>
        <w:t>Connections</w:t>
        <w:br/>
        <w:t>Team</w:t>
      </w:r>
    </w:p>
    <w:p>
      <w:pPr>
        <w:pStyle w:val="Heading2"/>
      </w:pPr>
      <w:r>
        <w:t>6.2 Create Audience fields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64E63"/>
          </w:tcPr>
          <w:p>
            <w:pPr>
              <w:spacing w:after="0"/>
            </w:pPr>
            <w:r/>
            <w:r>
              <w:rPr>
                <w:rFonts w:ascii="Arial" w:hAnsi="Arial"/>
                <w:b/>
                <w:color w:val="FFFFFF"/>
                <w:sz w:val="16"/>
              </w:rPr>
              <w:t>Field</w:t>
            </w:r>
          </w:p>
        </w:tc>
        <w:tc>
          <w:tcPr>
            <w:tcW w:type="dxa" w:w="4032"/>
            <w:vAlign w:val="center"/>
            <w:shd w:fill="164E63"/>
          </w:tcPr>
          <w:p>
            <w:pPr>
              <w:spacing w:after="0"/>
            </w:pPr>
            <w:r/>
            <w:r>
              <w:rPr>
                <w:rFonts w:ascii="Arial" w:hAnsi="Arial"/>
                <w:b/>
                <w:color w:val="FFFFFF"/>
                <w:sz w:val="16"/>
              </w:rPr>
              <w:t>Example</w:t>
            </w:r>
          </w:p>
        </w:tc>
        <w:tc>
          <w:tcPr>
            <w:tcW w:type="dxa" w:w="3168"/>
            <w:vAlign w:val="center"/>
            <w:shd w:fill="164E63"/>
          </w:tcPr>
          <w:p>
            <w:pPr>
              <w:spacing w:after="0"/>
            </w:pPr>
            <w:r/>
            <w:r>
              <w:rPr>
                <w:rFonts w:ascii="Arial" w:hAnsi="Arial"/>
                <w:b/>
                <w:color w:val="FFFFFF"/>
                <w:sz w:val="16"/>
              </w:rPr>
              <w:t>Rule</w:t>
            </w:r>
          </w:p>
        </w:tc>
      </w:tr>
      <w:tr>
        <w:tc>
          <w:tcPr>
            <w:tcW w:type="dxa" w:w="2592"/>
            <w:vAlign w:val="center"/>
          </w:tcPr>
          <w:p>
            <w:pPr>
              <w:spacing w:after="0"/>
            </w:pPr>
            <w:r/>
            <w:r>
              <w:rPr>
                <w:rFonts w:ascii="Arial" w:hAnsi="Arial"/>
                <w:b w:val="0"/>
                <w:sz w:val="15"/>
              </w:rPr>
              <w:t>Audience name</w:t>
            </w:r>
          </w:p>
        </w:tc>
        <w:tc>
          <w:tcPr>
            <w:tcW w:type="dxa" w:w="4032"/>
            <w:vAlign w:val="center"/>
          </w:tcPr>
          <w:p>
            <w:pPr>
              <w:spacing w:after="0"/>
            </w:pPr>
            <w:r/>
            <w:r>
              <w:rPr>
                <w:rFonts w:ascii="Arial" w:hAnsi="Arial"/>
                <w:b w:val="0"/>
                <w:sz w:val="15"/>
              </w:rPr>
              <w:t>Urban Shoe Shoppers</w:t>
            </w:r>
          </w:p>
        </w:tc>
        <w:tc>
          <w:tcPr>
            <w:tcW w:type="dxa" w:w="3168"/>
            <w:vAlign w:val="center"/>
          </w:tcPr>
          <w:p>
            <w:pPr>
              <w:spacing w:after="0"/>
            </w:pPr>
            <w:r/>
            <w:r>
              <w:rPr>
                <w:rFonts w:ascii="Arial" w:hAnsi="Arial"/>
                <w:b w:val="0"/>
                <w:sz w:val="15"/>
              </w:rPr>
              <w:t>Required</w:t>
            </w:r>
          </w:p>
        </w:tc>
      </w:tr>
      <w:tr>
        <w:tc>
          <w:tcPr>
            <w:tcW w:type="dxa" w:w="2592"/>
            <w:vAlign w:val="center"/>
          </w:tcPr>
          <w:p>
            <w:pPr>
              <w:spacing w:after="0"/>
            </w:pPr>
            <w:r/>
            <w:r>
              <w:rPr>
                <w:rFonts w:ascii="Arial" w:hAnsi="Arial"/>
                <w:b w:val="0"/>
                <w:sz w:val="15"/>
              </w:rPr>
              <w:t>Description</w:t>
            </w:r>
          </w:p>
        </w:tc>
        <w:tc>
          <w:tcPr>
            <w:tcW w:type="dxa" w:w="4032"/>
            <w:vAlign w:val="center"/>
          </w:tcPr>
          <w:p>
            <w:pPr>
              <w:spacing w:after="0"/>
            </w:pPr>
            <w:r/>
            <w:r>
              <w:rPr>
                <w:rFonts w:ascii="Arial" w:hAnsi="Arial"/>
                <w:b w:val="0"/>
                <w:sz w:val="15"/>
              </w:rPr>
              <w:t>Likely footwear buyers</w:t>
            </w:r>
          </w:p>
        </w:tc>
        <w:tc>
          <w:tcPr>
            <w:tcW w:type="dxa" w:w="3168"/>
            <w:vAlign w:val="center"/>
          </w:tcPr>
          <w:p>
            <w:pPr>
              <w:spacing w:after="0"/>
            </w:pPr>
            <w:r/>
            <w:r>
              <w:rPr>
                <w:rFonts w:ascii="Arial" w:hAnsi="Arial"/>
                <w:b w:val="0"/>
                <w:sz w:val="15"/>
              </w:rPr>
              <w:t>Optional</w:t>
            </w:r>
          </w:p>
        </w:tc>
      </w:tr>
      <w:tr>
        <w:tc>
          <w:tcPr>
            <w:tcW w:type="dxa" w:w="2592"/>
            <w:vAlign w:val="center"/>
          </w:tcPr>
          <w:p>
            <w:pPr>
              <w:spacing w:after="0"/>
            </w:pPr>
            <w:r/>
            <w:r>
              <w:rPr>
                <w:rFonts w:ascii="Arial" w:hAnsi="Arial"/>
                <w:b w:val="0"/>
                <w:sz w:val="15"/>
              </w:rPr>
              <w:t>Geography</w:t>
            </w:r>
          </w:p>
        </w:tc>
        <w:tc>
          <w:tcPr>
            <w:tcW w:type="dxa" w:w="4032"/>
            <w:vAlign w:val="center"/>
          </w:tcPr>
          <w:p>
            <w:pPr>
              <w:spacing w:after="0"/>
            </w:pPr>
            <w:r/>
            <w:r>
              <w:rPr>
                <w:rFonts w:ascii="Arial" w:hAnsi="Arial"/>
                <w:b w:val="0"/>
                <w:sz w:val="15"/>
              </w:rPr>
              <w:t>Delhi NCR</w:t>
            </w:r>
          </w:p>
        </w:tc>
        <w:tc>
          <w:tcPr>
            <w:tcW w:type="dxa" w:w="3168"/>
            <w:vAlign w:val="center"/>
          </w:tcPr>
          <w:p>
            <w:pPr>
              <w:spacing w:after="0"/>
            </w:pPr>
            <w:r/>
            <w:r>
              <w:rPr>
                <w:rFonts w:ascii="Arial" w:hAnsi="Arial"/>
                <w:b w:val="0"/>
                <w:sz w:val="15"/>
              </w:rPr>
              <w:t>Standardized geography</w:t>
            </w:r>
          </w:p>
        </w:tc>
      </w:tr>
      <w:tr>
        <w:tc>
          <w:tcPr>
            <w:tcW w:type="dxa" w:w="2592"/>
            <w:vAlign w:val="center"/>
          </w:tcPr>
          <w:p>
            <w:pPr>
              <w:spacing w:after="0"/>
            </w:pPr>
            <w:r/>
            <w:r>
              <w:rPr>
                <w:rFonts w:ascii="Arial" w:hAnsi="Arial"/>
                <w:b w:val="0"/>
                <w:sz w:val="15"/>
              </w:rPr>
              <w:t>Age</w:t>
            </w:r>
          </w:p>
        </w:tc>
        <w:tc>
          <w:tcPr>
            <w:tcW w:type="dxa" w:w="4032"/>
            <w:vAlign w:val="center"/>
          </w:tcPr>
          <w:p>
            <w:pPr>
              <w:spacing w:after="0"/>
            </w:pPr>
            <w:r/>
            <w:r>
              <w:rPr>
                <w:rFonts w:ascii="Arial" w:hAnsi="Arial"/>
                <w:b w:val="0"/>
                <w:sz w:val="15"/>
              </w:rPr>
              <w:t>18-35</w:t>
            </w:r>
          </w:p>
        </w:tc>
        <w:tc>
          <w:tcPr>
            <w:tcW w:type="dxa" w:w="3168"/>
            <w:vAlign w:val="center"/>
          </w:tcPr>
          <w:p>
            <w:pPr>
              <w:spacing w:after="0"/>
            </w:pPr>
            <w:r/>
            <w:r>
              <w:rPr>
                <w:rFonts w:ascii="Arial" w:hAnsi="Arial"/>
                <w:b w:val="0"/>
                <w:sz w:val="15"/>
              </w:rPr>
              <w:t>REQUIRED</w:t>
            </w:r>
          </w:p>
        </w:tc>
      </w:tr>
      <w:tr>
        <w:tc>
          <w:tcPr>
            <w:tcW w:type="dxa" w:w="2592"/>
            <w:vAlign w:val="center"/>
          </w:tcPr>
          <w:p>
            <w:pPr>
              <w:spacing w:after="0"/>
            </w:pPr>
            <w:r/>
            <w:r>
              <w:rPr>
                <w:rFonts w:ascii="Arial" w:hAnsi="Arial"/>
                <w:b w:val="0"/>
                <w:sz w:val="15"/>
              </w:rPr>
              <w:t>Online shopper</w:t>
            </w:r>
          </w:p>
        </w:tc>
        <w:tc>
          <w:tcPr>
            <w:tcW w:type="dxa" w:w="4032"/>
            <w:vAlign w:val="center"/>
          </w:tcPr>
          <w:p>
            <w:pPr>
              <w:spacing w:after="0"/>
            </w:pPr>
            <w:r/>
            <w:r>
              <w:rPr>
                <w:rFonts w:ascii="Arial" w:hAnsi="Arial"/>
                <w:b w:val="0"/>
                <w:sz w:val="15"/>
              </w:rPr>
              <w:t>Yes</w:t>
            </w:r>
          </w:p>
        </w:tc>
        <w:tc>
          <w:tcPr>
            <w:tcW w:type="dxa" w:w="3168"/>
            <w:vAlign w:val="center"/>
          </w:tcPr>
          <w:p>
            <w:pPr>
              <w:spacing w:after="0"/>
            </w:pPr>
            <w:r/>
            <w:r>
              <w:rPr>
                <w:rFonts w:ascii="Arial" w:hAnsi="Arial"/>
                <w:b w:val="0"/>
                <w:sz w:val="15"/>
              </w:rPr>
              <w:t>REQUIRED</w:t>
            </w:r>
          </w:p>
        </w:tc>
      </w:tr>
      <w:tr>
        <w:tc>
          <w:tcPr>
            <w:tcW w:type="dxa" w:w="2592"/>
            <w:vAlign w:val="center"/>
          </w:tcPr>
          <w:p>
            <w:pPr>
              <w:spacing w:after="0"/>
            </w:pPr>
            <w:r/>
            <w:r>
              <w:rPr>
                <w:rFonts w:ascii="Arial" w:hAnsi="Arial"/>
                <w:b w:val="0"/>
                <w:sz w:val="15"/>
              </w:rPr>
              <w:t>Purchase category</w:t>
            </w:r>
          </w:p>
        </w:tc>
        <w:tc>
          <w:tcPr>
            <w:tcW w:type="dxa" w:w="4032"/>
            <w:vAlign w:val="center"/>
          </w:tcPr>
          <w:p>
            <w:pPr>
              <w:spacing w:after="0"/>
            </w:pPr>
            <w:r/>
            <w:r>
              <w:rPr>
                <w:rFonts w:ascii="Arial" w:hAnsi="Arial"/>
                <w:b w:val="0"/>
                <w:sz w:val="15"/>
              </w:rPr>
              <w:t>Footwear</w:t>
            </w:r>
          </w:p>
        </w:tc>
        <w:tc>
          <w:tcPr>
            <w:tcW w:type="dxa" w:w="3168"/>
            <w:vAlign w:val="center"/>
          </w:tcPr>
          <w:p>
            <w:pPr>
              <w:spacing w:after="0"/>
            </w:pPr>
            <w:r/>
            <w:r>
              <w:rPr>
                <w:rFonts w:ascii="Arial" w:hAnsi="Arial"/>
                <w:b w:val="0"/>
                <w:sz w:val="15"/>
              </w:rPr>
              <w:t>REQUIRED</w:t>
            </w:r>
          </w:p>
        </w:tc>
      </w:tr>
      <w:tr>
        <w:tc>
          <w:tcPr>
            <w:tcW w:type="dxa" w:w="2592"/>
            <w:vAlign w:val="center"/>
          </w:tcPr>
          <w:p>
            <w:pPr>
              <w:spacing w:after="0"/>
            </w:pPr>
            <w:r/>
            <w:r>
              <w:rPr>
                <w:rFonts w:ascii="Arial" w:hAnsi="Arial"/>
                <w:b w:val="0"/>
                <w:sz w:val="15"/>
              </w:rPr>
              <w:t>Purchase recency</w:t>
            </w:r>
          </w:p>
        </w:tc>
        <w:tc>
          <w:tcPr>
            <w:tcW w:type="dxa" w:w="4032"/>
            <w:vAlign w:val="center"/>
          </w:tcPr>
          <w:p>
            <w:pPr>
              <w:spacing w:after="0"/>
            </w:pPr>
            <w:r/>
            <w:r>
              <w:rPr>
                <w:rFonts w:ascii="Arial" w:hAnsi="Arial"/>
                <w:b w:val="0"/>
                <w:sz w:val="15"/>
              </w:rPr>
              <w:t>&lt;= 90 days</w:t>
            </w:r>
          </w:p>
        </w:tc>
        <w:tc>
          <w:tcPr>
            <w:tcW w:type="dxa" w:w="3168"/>
            <w:vAlign w:val="center"/>
          </w:tcPr>
          <w:p>
            <w:pPr>
              <w:spacing w:after="0"/>
            </w:pPr>
            <w:r/>
            <w:r>
              <w:rPr>
                <w:rFonts w:ascii="Arial" w:hAnsi="Arial"/>
                <w:b w:val="0"/>
                <w:sz w:val="15"/>
              </w:rPr>
              <w:t>REQUIRED</w:t>
            </w:r>
          </w:p>
        </w:tc>
      </w:tr>
      <w:tr>
        <w:tc>
          <w:tcPr>
            <w:tcW w:type="dxa" w:w="2592"/>
            <w:vAlign w:val="center"/>
          </w:tcPr>
          <w:p>
            <w:pPr>
              <w:spacing w:after="0"/>
            </w:pPr>
            <w:r/>
            <w:r>
              <w:rPr>
                <w:rFonts w:ascii="Arial" w:hAnsi="Arial"/>
                <w:b w:val="0"/>
                <w:sz w:val="15"/>
              </w:rPr>
              <w:t>Gender</w:t>
            </w:r>
          </w:p>
        </w:tc>
        <w:tc>
          <w:tcPr>
            <w:tcW w:type="dxa" w:w="4032"/>
            <w:vAlign w:val="center"/>
          </w:tcPr>
          <w:p>
            <w:pPr>
              <w:spacing w:after="0"/>
            </w:pPr>
            <w:r/>
            <w:r>
              <w:rPr>
                <w:rFonts w:ascii="Arial" w:hAnsi="Arial"/>
                <w:b w:val="0"/>
                <w:sz w:val="15"/>
              </w:rPr>
              <w:t>Male/Female/Any</w:t>
            </w:r>
          </w:p>
        </w:tc>
        <w:tc>
          <w:tcPr>
            <w:tcW w:type="dxa" w:w="3168"/>
            <w:vAlign w:val="center"/>
          </w:tcPr>
          <w:p>
            <w:pPr>
              <w:spacing w:after="0"/>
            </w:pPr>
            <w:r/>
            <w:r>
              <w:rPr>
                <w:rFonts w:ascii="Arial" w:hAnsi="Arial"/>
                <w:b w:val="0"/>
                <w:sz w:val="15"/>
              </w:rPr>
              <w:t>OPTIONAL</w:t>
            </w:r>
          </w:p>
        </w:tc>
      </w:tr>
      <w:tr>
        <w:tc>
          <w:tcPr>
            <w:tcW w:type="dxa" w:w="2592"/>
            <w:vAlign w:val="center"/>
          </w:tcPr>
          <w:p>
            <w:pPr>
              <w:spacing w:after="0"/>
            </w:pPr>
            <w:r/>
            <w:r>
              <w:rPr>
                <w:rFonts w:ascii="Arial" w:hAnsi="Arial"/>
                <w:b w:val="0"/>
                <w:sz w:val="15"/>
              </w:rPr>
              <w:t>Payment method</w:t>
            </w:r>
          </w:p>
        </w:tc>
        <w:tc>
          <w:tcPr>
            <w:tcW w:type="dxa" w:w="4032"/>
            <w:vAlign w:val="center"/>
          </w:tcPr>
          <w:p>
            <w:pPr>
              <w:spacing w:after="0"/>
            </w:pPr>
            <w:r/>
            <w:r>
              <w:rPr>
                <w:rFonts w:ascii="Arial" w:hAnsi="Arial"/>
                <w:b w:val="0"/>
                <w:sz w:val="15"/>
              </w:rPr>
              <w:t>UPI or Credit Card</w:t>
            </w:r>
          </w:p>
        </w:tc>
        <w:tc>
          <w:tcPr>
            <w:tcW w:type="dxa" w:w="3168"/>
            <w:vAlign w:val="center"/>
          </w:tcPr>
          <w:p>
            <w:pPr>
              <w:spacing w:after="0"/>
            </w:pPr>
            <w:r/>
            <w:r>
              <w:rPr>
                <w:rFonts w:ascii="Arial" w:hAnsi="Arial"/>
                <w:b w:val="0"/>
                <w:sz w:val="15"/>
              </w:rPr>
              <w:t>OPTIONAL</w:t>
            </w:r>
          </w:p>
        </w:tc>
      </w:tr>
      <w:tr>
        <w:tc>
          <w:tcPr>
            <w:tcW w:type="dxa" w:w="2592"/>
            <w:vAlign w:val="center"/>
          </w:tcPr>
          <w:p>
            <w:pPr>
              <w:spacing w:after="0"/>
            </w:pPr>
            <w:r/>
            <w:r>
              <w:rPr>
                <w:rFonts w:ascii="Arial" w:hAnsi="Arial"/>
                <w:b w:val="0"/>
                <w:sz w:val="15"/>
              </w:rPr>
              <w:t>Match mode</w:t>
            </w:r>
          </w:p>
        </w:tc>
        <w:tc>
          <w:tcPr>
            <w:tcW w:type="dxa" w:w="4032"/>
            <w:vAlign w:val="center"/>
          </w:tcPr>
          <w:p>
            <w:pPr>
              <w:spacing w:after="0"/>
            </w:pPr>
            <w:r/>
            <w:r>
              <w:rPr>
                <w:rFonts w:ascii="Arial" w:hAnsi="Arial"/>
                <w:b w:val="0"/>
                <w:sz w:val="15"/>
              </w:rPr>
              <w:t>Exact required / flexible optional</w:t>
            </w:r>
          </w:p>
        </w:tc>
        <w:tc>
          <w:tcPr>
            <w:tcW w:type="dxa" w:w="3168"/>
            <w:vAlign w:val="center"/>
          </w:tcPr>
          <w:p>
            <w:pPr>
              <w:spacing w:after="0"/>
            </w:pPr>
            <w:r/>
            <w:r>
              <w:rPr>
                <w:rFonts w:ascii="Arial" w:hAnsi="Arial"/>
                <w:b w:val="0"/>
                <w:sz w:val="15"/>
              </w:rPr>
              <w:t>Required</w:t>
            </w:r>
          </w:p>
        </w:tc>
      </w:tr>
    </w:tbl>
    <w:p/>
    <w:p>
      <w:pPr>
        <w:pStyle w:val="Heading2"/>
      </w:pPr>
      <w:r>
        <w:t>6.3 Canonical rule JSON</w:t>
      </w:r>
    </w:p>
    <w:p>
      <w:pPr>
        <w:spacing w:before="40" w:after="80"/>
        <w:ind w:left="216" w:right="115"/>
        <w:shd w:fill="F3F4F6"/>
      </w:pPr>
      <w:r>
        <w:rPr>
          <w:rFonts w:ascii="Courier New" w:hAnsi="Courier New"/>
          <w:sz w:val="14"/>
        </w:rPr>
        <w:t>{</w:t>
        <w:br/>
        <w:t xml:space="preserve">  "audience_group_id":"aud_100",</w:t>
        <w:br/>
        <w:t xml:space="preserve">  "name":"Urban Shoe Shoppers",</w:t>
        <w:br/>
        <w:t xml:space="preserve">  "version":3,</w:t>
        <w:br/>
        <w:t xml:space="preserve">  "rules":[</w:t>
        <w:br/>
        <w:t xml:space="preserve">    {"attribute":"age","operator":"BETWEEN","value":[18,35],"required":true,"weight":5},</w:t>
        <w:br/>
        <w:t xml:space="preserve">    {"attribute":"online_shopper","operator":"EQ","value":true,"required":true,"weight":5},</w:t>
        <w:br/>
        <w:t xml:space="preserve">    {"attribute":"purchase_category","operator":"IN","value":["FOOTWEAR"],"required":true,"weight":5},</w:t>
        <w:br/>
        <w:t xml:space="preserve">    {"attribute":"purchase_recency_days","operator":"LTE","value":90,"required":true,"weight":4},</w:t>
        <w:br/>
        <w:t xml:space="preserve">    {"attribute":"gender","operator":"IN","value":["MALE","FEMALE"],"required":false,"weight":1},</w:t>
        <w:br/>
        <w:t xml:space="preserve">    {"attribute":"payment_method","operator":"IN","value":["UPI","CREDIT_CARD"],"required":false,"weight":2}</w:t>
        <w:br/>
        <w:t xml:space="preserve">  ]</w:t>
        <w:br/>
        <w:t>}</w:t>
      </w:r>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Rule semantics</w:t>
            </w:r>
          </w:p>
          <w:p>
            <w:r>
              <w:rPr>
                <w:rFonts w:ascii="Arial" w:hAnsi="Arial"/>
                <w:sz w:val="17"/>
              </w:rPr>
              <w:t>REQUIRED means a Partner must support the attribute and operator to be compatible. OPTIONAL means the Partner can still match, but the missing rule lowers its compatibility score. The Buyer must see which optional conditions are unavailable at each Partner.</w:t>
            </w:r>
          </w:p>
        </w:tc>
      </w:tr>
    </w:tbl>
    <w:p/>
    <w:p>
      <w:pPr>
        <w:pStyle w:val="Heading1"/>
      </w:pPr>
      <w:r>
        <w:t>7. Partner Compatibility Matching</w:t>
      </w:r>
    </w:p>
    <w:p>
      <w:pPr>
        <w:pStyle w:val="ListNumber"/>
        <w:spacing w:after="40"/>
      </w:pPr>
      <w:r>
        <w:t>Load Audience Group version and rules.</w:t>
      </w:r>
    </w:p>
    <w:p>
      <w:pPr>
        <w:pStyle w:val="ListNumber"/>
        <w:spacing w:after="40"/>
      </w:pPr>
      <w:r>
        <w:t>Load PartnerCapability for eligible Partners in the Buyer's Network/Marketplace scope.</w:t>
      </w:r>
    </w:p>
    <w:p>
      <w:pPr>
        <w:pStyle w:val="ListNumber"/>
        <w:spacing w:after="40"/>
      </w:pPr>
      <w:r>
        <w:t>For each rule, check attribute + operator + geography/policy compatibility.</w:t>
      </w:r>
    </w:p>
    <w:p>
      <w:pPr>
        <w:pStyle w:val="ListNumber"/>
        <w:spacing w:after="40"/>
      </w:pPr>
      <w:r>
        <w:t>If any REQUIRED rule is unsupported, mark Partner INCOMPATIBLE.</w:t>
      </w:r>
    </w:p>
    <w:p>
      <w:pPr>
        <w:pStyle w:val="ListNumber"/>
        <w:spacing w:after="40"/>
      </w:pPr>
      <w:r>
        <w:t>If all REQUIRED rules are supported, calculate weighted coverage across all rules.</w:t>
      </w:r>
    </w:p>
    <w:p>
      <w:pPr>
        <w:pStyle w:val="ListNumber"/>
        <w:spacing w:after="40"/>
      </w:pPr>
      <w:r>
        <w:t>Return match_score, supported_fields, missing_optional_fields, capability_version and channel availability.</w:t>
      </w:r>
    </w:p>
    <w:p>
      <w:pPr>
        <w:spacing w:before="40" w:after="80"/>
        <w:ind w:left="216" w:right="115"/>
        <w:shd w:fill="F3F4F6"/>
      </w:pPr>
      <w:r>
        <w:rPr>
          <w:rFonts w:ascii="Courier New" w:hAnsi="Courier New"/>
          <w:sz w:val="14"/>
        </w:rPr>
        <w:t>supported_weight = sum(weight for supported rules)</w:t>
        <w:br/>
        <w:t>total_weight     = sum(weight for all rules)</w:t>
        <w:br/>
        <w:t>match_score      = round(100 * supported_weight / total_weight)</w:t>
        <w:br/>
        <w:br/>
        <w:t>if any(required rule unsupported):</w:t>
        <w:br/>
        <w:t xml:space="preserve">    status = "INCOMPATIBLE"</w:t>
        <w:br/>
        <w:t>else:</w:t>
        <w:br/>
        <w:t xml:space="preserve">    status = "COMPATIBLE"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160"/>
            <w:vAlign w:val="center"/>
            <w:shd w:fill="164E63"/>
          </w:tcPr>
          <w:p>
            <w:pPr>
              <w:spacing w:after="0"/>
            </w:pPr>
            <w:r/>
            <w:r>
              <w:rPr>
                <w:rFonts w:ascii="Arial" w:hAnsi="Arial"/>
                <w:b/>
                <w:color w:val="FFFFFF"/>
                <w:sz w:val="16"/>
              </w:rPr>
              <w:t>Partner</w:t>
            </w:r>
          </w:p>
        </w:tc>
        <w:tc>
          <w:tcPr>
            <w:tcW w:type="dxa" w:w="1440"/>
            <w:vAlign w:val="center"/>
            <w:shd w:fill="164E63"/>
          </w:tcPr>
          <w:p>
            <w:pPr>
              <w:spacing w:after="0"/>
            </w:pPr>
            <w:r/>
            <w:r>
              <w:rPr>
                <w:rFonts w:ascii="Arial" w:hAnsi="Arial"/>
                <w:b/>
                <w:color w:val="FFFFFF"/>
                <w:sz w:val="16"/>
              </w:rPr>
              <w:t>Required</w:t>
            </w:r>
          </w:p>
        </w:tc>
        <w:tc>
          <w:tcPr>
            <w:tcW w:type="dxa" w:w="1440"/>
            <w:vAlign w:val="center"/>
            <w:shd w:fill="164E63"/>
          </w:tcPr>
          <w:p>
            <w:pPr>
              <w:spacing w:after="0"/>
            </w:pPr>
            <w:r/>
            <w:r>
              <w:rPr>
                <w:rFonts w:ascii="Arial" w:hAnsi="Arial"/>
                <w:b/>
                <w:color w:val="FFFFFF"/>
                <w:sz w:val="16"/>
              </w:rPr>
              <w:t>Optional</w:t>
            </w:r>
          </w:p>
        </w:tc>
        <w:tc>
          <w:tcPr>
            <w:tcW w:type="dxa" w:w="1440"/>
            <w:vAlign w:val="center"/>
            <w:shd w:fill="164E63"/>
          </w:tcPr>
          <w:p>
            <w:pPr>
              <w:spacing w:after="0"/>
            </w:pPr>
            <w:r/>
            <w:r>
              <w:rPr>
                <w:rFonts w:ascii="Arial" w:hAnsi="Arial"/>
                <w:b/>
                <w:color w:val="FFFFFF"/>
                <w:sz w:val="16"/>
              </w:rPr>
              <w:t>Score</w:t>
            </w:r>
          </w:p>
        </w:tc>
        <w:tc>
          <w:tcPr>
            <w:tcW w:type="dxa" w:w="1728"/>
            <w:vAlign w:val="center"/>
            <w:shd w:fill="164E63"/>
          </w:tcPr>
          <w:p>
            <w:pPr>
              <w:spacing w:after="0"/>
            </w:pPr>
            <w:r/>
            <w:r>
              <w:rPr>
                <w:rFonts w:ascii="Arial" w:hAnsi="Arial"/>
                <w:b/>
                <w:color w:val="FFFFFF"/>
                <w:sz w:val="16"/>
              </w:rPr>
              <w:t>Reach</w:t>
            </w:r>
          </w:p>
        </w:tc>
        <w:tc>
          <w:tcPr>
            <w:tcW w:type="dxa" w:w="2016"/>
            <w:vAlign w:val="center"/>
            <w:shd w:fill="164E63"/>
          </w:tcPr>
          <w:p>
            <w:pPr>
              <w:spacing w:after="0"/>
            </w:pPr>
            <w:r/>
            <w:r>
              <w:rPr>
                <w:rFonts w:ascii="Arial" w:hAnsi="Arial"/>
                <w:b/>
                <w:color w:val="FFFFFF"/>
                <w:sz w:val="16"/>
              </w:rPr>
              <w:t>Channels</w:t>
            </w:r>
          </w:p>
        </w:tc>
      </w:tr>
      <w:tr>
        <w:tc>
          <w:tcPr>
            <w:tcW w:type="dxa" w:w="2160"/>
            <w:vAlign w:val="center"/>
          </w:tcPr>
          <w:p>
            <w:pPr>
              <w:spacing w:after="0"/>
            </w:pPr>
            <w:r/>
            <w:r>
              <w:rPr>
                <w:rFonts w:ascii="Arial" w:hAnsi="Arial"/>
                <w:b w:val="0"/>
                <w:sz w:val="15"/>
              </w:rPr>
              <w:t>Commerce A</w:t>
            </w:r>
          </w:p>
        </w:tc>
        <w:tc>
          <w:tcPr>
            <w:tcW w:type="dxa" w:w="1440"/>
            <w:vAlign w:val="center"/>
          </w:tcPr>
          <w:p>
            <w:pPr>
              <w:spacing w:after="0"/>
            </w:pPr>
            <w:r/>
            <w:r>
              <w:rPr>
                <w:rFonts w:ascii="Arial" w:hAnsi="Arial"/>
                <w:b w:val="0"/>
                <w:sz w:val="15"/>
              </w:rPr>
              <w:t>4/4</w:t>
            </w:r>
          </w:p>
        </w:tc>
        <w:tc>
          <w:tcPr>
            <w:tcW w:type="dxa" w:w="1440"/>
            <w:vAlign w:val="center"/>
          </w:tcPr>
          <w:p>
            <w:pPr>
              <w:spacing w:after="0"/>
            </w:pPr>
            <w:r/>
            <w:r>
              <w:rPr>
                <w:rFonts w:ascii="Arial" w:hAnsi="Arial"/>
                <w:b w:val="0"/>
                <w:sz w:val="15"/>
              </w:rPr>
              <w:t>2/2</w:t>
            </w:r>
          </w:p>
        </w:tc>
        <w:tc>
          <w:tcPr>
            <w:tcW w:type="dxa" w:w="1440"/>
            <w:vAlign w:val="center"/>
          </w:tcPr>
          <w:p>
            <w:pPr>
              <w:spacing w:after="0"/>
            </w:pPr>
            <w:r/>
            <w:r>
              <w:rPr>
                <w:rFonts w:ascii="Arial" w:hAnsi="Arial"/>
                <w:b w:val="0"/>
                <w:sz w:val="15"/>
              </w:rPr>
              <w:t>100%</w:t>
            </w:r>
          </w:p>
        </w:tc>
        <w:tc>
          <w:tcPr>
            <w:tcW w:type="dxa" w:w="1728"/>
            <w:vAlign w:val="center"/>
          </w:tcPr>
          <w:p>
            <w:pPr>
              <w:spacing w:after="0"/>
            </w:pPr>
            <w:r/>
            <w:r>
              <w:rPr>
                <w:rFonts w:ascii="Arial" w:hAnsi="Arial"/>
                <w:b w:val="0"/>
                <w:sz w:val="15"/>
              </w:rPr>
              <w:t>Not requested</w:t>
            </w:r>
          </w:p>
        </w:tc>
        <w:tc>
          <w:tcPr>
            <w:tcW w:type="dxa" w:w="2016"/>
            <w:vAlign w:val="center"/>
          </w:tcPr>
          <w:p>
            <w:pPr>
              <w:spacing w:after="0"/>
            </w:pPr>
            <w:r/>
            <w:r>
              <w:rPr>
                <w:rFonts w:ascii="Arial" w:hAnsi="Arial"/>
                <w:b w:val="0"/>
                <w:sz w:val="15"/>
              </w:rPr>
              <w:t>Web, App, Meta*</w:t>
            </w:r>
          </w:p>
        </w:tc>
      </w:tr>
      <w:tr>
        <w:tc>
          <w:tcPr>
            <w:tcW w:type="dxa" w:w="2160"/>
            <w:vAlign w:val="center"/>
          </w:tcPr>
          <w:p>
            <w:pPr>
              <w:spacing w:after="0"/>
            </w:pPr>
            <w:r/>
            <w:r>
              <w:rPr>
                <w:rFonts w:ascii="Arial" w:hAnsi="Arial"/>
                <w:b w:val="0"/>
                <w:sz w:val="15"/>
              </w:rPr>
              <w:t>Rewards B</w:t>
            </w:r>
          </w:p>
        </w:tc>
        <w:tc>
          <w:tcPr>
            <w:tcW w:type="dxa" w:w="1440"/>
            <w:vAlign w:val="center"/>
          </w:tcPr>
          <w:p>
            <w:pPr>
              <w:spacing w:after="0"/>
            </w:pPr>
            <w:r/>
            <w:r>
              <w:rPr>
                <w:rFonts w:ascii="Arial" w:hAnsi="Arial"/>
                <w:b w:val="0"/>
                <w:sz w:val="15"/>
              </w:rPr>
              <w:t>4/4</w:t>
            </w:r>
          </w:p>
        </w:tc>
        <w:tc>
          <w:tcPr>
            <w:tcW w:type="dxa" w:w="1440"/>
            <w:vAlign w:val="center"/>
          </w:tcPr>
          <w:p>
            <w:pPr>
              <w:spacing w:after="0"/>
            </w:pPr>
            <w:r/>
            <w:r>
              <w:rPr>
                <w:rFonts w:ascii="Arial" w:hAnsi="Arial"/>
                <w:b w:val="0"/>
                <w:sz w:val="15"/>
              </w:rPr>
              <w:t>1/2</w:t>
            </w:r>
          </w:p>
        </w:tc>
        <w:tc>
          <w:tcPr>
            <w:tcW w:type="dxa" w:w="1440"/>
            <w:vAlign w:val="center"/>
          </w:tcPr>
          <w:p>
            <w:pPr>
              <w:spacing w:after="0"/>
            </w:pPr>
            <w:r/>
            <w:r>
              <w:rPr>
                <w:rFonts w:ascii="Arial" w:hAnsi="Arial"/>
                <w:b w:val="0"/>
                <w:sz w:val="15"/>
              </w:rPr>
              <w:t>93%</w:t>
            </w:r>
          </w:p>
        </w:tc>
        <w:tc>
          <w:tcPr>
            <w:tcW w:type="dxa" w:w="1728"/>
            <w:vAlign w:val="center"/>
          </w:tcPr>
          <w:p>
            <w:pPr>
              <w:spacing w:after="0"/>
            </w:pPr>
            <w:r/>
            <w:r>
              <w:rPr>
                <w:rFonts w:ascii="Arial" w:hAnsi="Arial"/>
                <w:b w:val="0"/>
                <w:sz w:val="15"/>
              </w:rPr>
              <w:t>Not requested</w:t>
            </w:r>
          </w:p>
        </w:tc>
        <w:tc>
          <w:tcPr>
            <w:tcW w:type="dxa" w:w="2016"/>
            <w:vAlign w:val="center"/>
          </w:tcPr>
          <w:p>
            <w:pPr>
              <w:spacing w:after="0"/>
            </w:pPr>
            <w:r/>
            <w:r>
              <w:rPr>
                <w:rFonts w:ascii="Arial" w:hAnsi="Arial"/>
                <w:b w:val="0"/>
                <w:sz w:val="15"/>
              </w:rPr>
              <w:t>App, Web</w:t>
            </w:r>
          </w:p>
        </w:tc>
      </w:tr>
      <w:tr>
        <w:tc>
          <w:tcPr>
            <w:tcW w:type="dxa" w:w="2160"/>
            <w:vAlign w:val="center"/>
          </w:tcPr>
          <w:p>
            <w:pPr>
              <w:spacing w:after="0"/>
            </w:pPr>
            <w:r/>
            <w:r>
              <w:rPr>
                <w:rFonts w:ascii="Arial" w:hAnsi="Arial"/>
                <w:b w:val="0"/>
                <w:sz w:val="15"/>
              </w:rPr>
              <w:t>Retail C</w:t>
            </w:r>
          </w:p>
        </w:tc>
        <w:tc>
          <w:tcPr>
            <w:tcW w:type="dxa" w:w="1440"/>
            <w:vAlign w:val="center"/>
          </w:tcPr>
          <w:p>
            <w:pPr>
              <w:spacing w:after="0"/>
            </w:pPr>
            <w:r/>
            <w:r>
              <w:rPr>
                <w:rFonts w:ascii="Arial" w:hAnsi="Arial"/>
                <w:b w:val="0"/>
                <w:sz w:val="15"/>
              </w:rPr>
              <w:t>3/4</w:t>
            </w:r>
          </w:p>
        </w:tc>
        <w:tc>
          <w:tcPr>
            <w:tcW w:type="dxa" w:w="1440"/>
            <w:vAlign w:val="center"/>
          </w:tcPr>
          <w:p>
            <w:pPr>
              <w:spacing w:after="0"/>
            </w:pPr>
            <w:r/>
            <w:r>
              <w:rPr>
                <w:rFonts w:ascii="Arial" w:hAnsi="Arial"/>
                <w:b w:val="0"/>
                <w:sz w:val="15"/>
              </w:rPr>
              <w:t>2/2</w:t>
            </w:r>
          </w:p>
        </w:tc>
        <w:tc>
          <w:tcPr>
            <w:tcW w:type="dxa" w:w="1440"/>
            <w:vAlign w:val="center"/>
          </w:tcPr>
          <w:p>
            <w:pPr>
              <w:spacing w:after="0"/>
            </w:pPr>
            <w:r/>
            <w:r>
              <w:rPr>
                <w:rFonts w:ascii="Arial" w:hAnsi="Arial"/>
                <w:b w:val="0"/>
                <w:sz w:val="15"/>
              </w:rPr>
              <w:t>INCOMPATIBLE</w:t>
            </w:r>
          </w:p>
        </w:tc>
        <w:tc>
          <w:tcPr>
            <w:tcW w:type="dxa" w:w="1728"/>
            <w:vAlign w:val="center"/>
          </w:tcPr>
          <w:p>
            <w:pPr>
              <w:spacing w:after="0"/>
            </w:pPr>
            <w:r/>
            <w:r>
              <w:rPr>
                <w:rFonts w:ascii="Arial" w:hAnsi="Arial"/>
                <w:b w:val="0"/>
                <w:sz w:val="15"/>
              </w:rPr>
              <w:t>-</w:t>
            </w:r>
          </w:p>
        </w:tc>
        <w:tc>
          <w:tcPr>
            <w:tcW w:type="dxa" w:w="2016"/>
            <w:vAlign w:val="center"/>
          </w:tcPr>
          <w:p>
            <w:pPr>
              <w:spacing w:after="0"/>
            </w:pPr>
            <w:r/>
            <w:r>
              <w:rPr>
                <w:rFonts w:ascii="Arial" w:hAnsi="Arial"/>
                <w:b w:val="0"/>
                <w:sz w:val="15"/>
              </w:rPr>
              <w:t>Web</w:t>
            </w:r>
          </w:p>
        </w:tc>
      </w:tr>
    </w:tbl>
    <w:p/>
    <w:p>
      <w:pPr>
        <w:pStyle w:val="ListBullet"/>
        <w:spacing w:after="40"/>
      </w:pPr>
      <w:r>
        <w:t>INCOMPATIBLE Partners cannot be selected unless Buyer edits required rules.</w:t>
      </w:r>
    </w:p>
    <w:p>
      <w:pPr>
        <w:pStyle w:val="ListBullet"/>
        <w:spacing w:after="40"/>
      </w:pPr>
      <w:r>
        <w:t>External channel badges remain CONDITIONAL until later account/policy checks.</w:t>
      </w:r>
    </w:p>
    <w:p>
      <w:pPr>
        <w:pStyle w:val="ListBullet"/>
        <w:spacing w:after="40"/>
      </w:pPr>
      <w:r>
        <w:t>match_score is schema/rule compatibility, not audience quality.</w:t>
      </w:r>
    </w:p>
    <w:p>
      <w:pPr>
        <w:pStyle w:val="Heading1"/>
      </w:pPr>
      <w:r>
        <w:t>8. Safe Reach Estimation</w:t>
      </w:r>
    </w:p>
    <w:p>
      <w:pPr>
        <w:jc w:val="center"/>
      </w:pPr>
      <w:r>
        <w:drawing>
          <wp:inline xmlns:a="http://schemas.openxmlformats.org/drawingml/2006/main" xmlns:pic="http://schemas.openxmlformats.org/drawingml/2006/picture">
            <wp:extent cx="6217920" cy="907014"/>
            <wp:docPr id="3" name="Picture 3"/>
            <wp:cNvGraphicFramePr>
              <a:graphicFrameLocks noChangeAspect="1"/>
            </wp:cNvGraphicFramePr>
            <a:graphic>
              <a:graphicData uri="http://schemas.openxmlformats.org/drawingml/2006/picture">
                <pic:pic>
                  <pic:nvPicPr>
                    <pic:cNvPr id="0" name="reach_sequence.png"/>
                    <pic:cNvPicPr/>
                  </pic:nvPicPr>
                  <pic:blipFill>
                    <a:blip r:embed="rId11"/>
                    <a:stretch>
                      <a:fillRect/>
                    </a:stretch>
                  </pic:blipFill>
                  <pic:spPr>
                    <a:xfrm>
                      <a:off x="0" y="0"/>
                      <a:ext cx="6217920" cy="907014"/>
                    </a:xfrm>
                    <a:prstGeom prst="rect"/>
                  </pic:spPr>
                </pic:pic>
              </a:graphicData>
            </a:graphic>
          </wp:inline>
        </w:drawing>
      </w:r>
    </w:p>
    <w:p>
      <w:pPr>
        <w:jc w:val="center"/>
      </w:pPr>
      <w:r>
        <w:rPr>
          <w:i/>
          <w:color w:val="475569"/>
          <w:sz w:val="15"/>
        </w:rPr>
        <w:t>Figure 3. Reach estimation happens inside the selected Partner.</w:t>
      </w:r>
    </w:p>
    <w:p>
      <w:pPr>
        <w:pStyle w:val="Heading2"/>
      </w:pPr>
      <w:r>
        <w:t>8.1 Cloud request</w:t>
      </w:r>
    </w:p>
    <w:p>
      <w:pPr>
        <w:spacing w:before="40" w:after="80"/>
        <w:ind w:left="216" w:right="115"/>
        <w:shd w:fill="F3F4F6"/>
      </w:pPr>
      <w:r>
        <w:rPr>
          <w:rFonts w:ascii="Courier New" w:hAnsi="Courier New"/>
          <w:sz w:val="14"/>
        </w:rPr>
        <w:t>POST /v1/audiences/aud_100/reach-estimates</w:t>
        <w:br/>
        <w:t>{</w:t>
        <w:br/>
        <w:t xml:space="preserve">  "audience_version":3,</w:t>
        <w:br/>
        <w:t xml:space="preserve">  "partner_org_ids":["org_partner_a","org_partner_b"]</w:t>
        <w:br/>
        <w:t>}</w:t>
        <w:br/>
        <w:br/>
        <w:t>202</w:t>
        <w:br/>
        <w:t>{</w:t>
        <w:br/>
        <w:t xml:space="preserve">  "requests":[</w:t>
        <w:br/>
        <w:t xml:space="preserve">    {"reach_estimate_id":"re_1","partner_org_id":"org_partner_a","status":"REQUESTED"},</w:t>
        <w:br/>
        <w:t xml:space="preserve">    {"reach_estimate_id":"re_2","partner_org_id":"org_partner_b","status":"REQUESTED"}</w:t>
        <w:br/>
        <w:t xml:space="preserve">  ]</w:t>
        <w:br/>
        <w:t>}</w:t>
      </w:r>
    </w:p>
    <w:p>
      <w:pPr>
        <w:pStyle w:val="Heading2"/>
      </w:pPr>
      <w:r>
        <w:t>8.2 Agent evaluation</w:t>
      </w:r>
    </w:p>
    <w:p>
      <w:pPr>
        <w:pStyle w:val="ListBullet"/>
        <w:spacing w:after="40"/>
      </w:pPr>
      <w:r>
        <w:t>Validate signed rule snapshot and local mapping version.</w:t>
      </w:r>
    </w:p>
    <w:p>
      <w:pPr>
        <w:pStyle w:val="ListBullet"/>
        <w:spacing w:after="40"/>
      </w:pPr>
      <w:r>
        <w:t>Evaluate only against the approved Audience Attribute View/API.</w:t>
      </w:r>
    </w:p>
    <w:p>
      <w:pPr>
        <w:pStyle w:val="ListBullet"/>
        <w:spacing w:after="40"/>
      </w:pPr>
      <w:r>
        <w:t>Calculate exact matching count locally.</w:t>
      </w:r>
    </w:p>
    <w:p>
      <w:pPr>
        <w:pStyle w:val="ListBullet"/>
        <w:spacing w:after="40"/>
      </w:pPr>
      <w:r>
        <w:t>Apply minimum cohort threshold and convert to standard reach bucket.</w:t>
      </w:r>
    </w:p>
    <w:p>
      <w:pPr>
        <w:pStyle w:val="ListBullet"/>
        <w:spacing w:after="40"/>
      </w:pPr>
      <w:r>
        <w:t>Return bucket/freshness/rule hash/mapping version - never exact count.</w:t>
      </w:r>
    </w:p>
    <w:p>
      <w:pPr>
        <w:spacing w:before="40" w:after="80"/>
        <w:ind w:left="216" w:right="115"/>
        <w:shd w:fill="F3F4F6"/>
      </w:pPr>
      <w:r>
        <w:rPr>
          <w:rFonts w:ascii="Courier New" w:hAnsi="Courier New"/>
          <w:sz w:val="14"/>
        </w:rPr>
        <w:t>{</w:t>
        <w:br/>
        <w:t xml:space="preserve">  "reach_estimate_id":"re_1",</w:t>
        <w:br/>
        <w:t xml:space="preserve">  "status":"READY",</w:t>
        <w:br/>
        <w:t xml:space="preserve">  "reach_bucket":"100K_250K",</w:t>
        <w:br/>
        <w:t xml:space="preserve">  "freshness_at":"2026-08-23T15:00:00Z",</w:t>
        <w:br/>
        <w:t xml:space="preserve">  "audience_rule_hash":"sha256:...",</w:t>
        <w:br/>
        <w:t xml:space="preserve">  "mapping_version":8,</w:t>
        <w:br/>
        <w:t xml:space="preserve">  "expires_at":"2026-08-24T15:00:00Z"</w:t>
        <w:br/>
        <w:t>}</w:t>
      </w:r>
    </w:p>
    <w:p>
      <w:pPr>
        <w:pStyle w:val="Heading1"/>
      </w:pPr>
      <w:r>
        <w:t>9. Campaign Linkage and Campaign Builder Changes</w:t>
      </w:r>
    </w:p>
    <w:p>
      <w:pPr>
        <w:spacing w:before="40" w:after="80"/>
        <w:ind w:left="216" w:right="115"/>
        <w:shd w:fill="F3F4F6"/>
      </w:pPr>
      <w:r>
        <w:rPr>
          <w:rFonts w:ascii="Courier New" w:hAnsi="Courier New"/>
          <w:sz w:val="14"/>
        </w:rPr>
        <w:t>Campaign cmp_500</w:t>
        <w:br/>
        <w:t xml:space="preserve">  name: Nike Running Shoes - Delhi NCR</w:t>
        <w:br/>
        <w:br/>
        <w:t>CampaignAudienceLink</w:t>
        <w:br/>
        <w:t xml:space="preserve">  campaign_id: cmp_500</w:t>
        <w:br/>
        <w:t xml:space="preserve">  audience_group_id: aud_100</w:t>
        <w:br/>
        <w:t xml:space="preserve">  audience_version: 3</w:t>
      </w:r>
    </w:p>
    <w:tbl>
      <w:tblPr>
        <w:tblStyle w:val="TableGrid"/>
        <w:tblW w:type="auto" w:w="0"/>
        <w:jc w:val="center"/>
        <w:tblLook w:firstColumn="1" w:firstRow="1" w:lastColumn="0" w:lastRow="0" w:noHBand="0" w:noVBand="1" w:val="04A0"/>
      </w:tblPr>
      <w:tblGrid>
        <w:gridCol w:w="5112"/>
        <w:gridCol w:w="5112"/>
      </w:tblGrid>
      <w:tr>
        <w:tc>
          <w:tcPr>
            <w:tcW w:type="dxa" w:w="1152"/>
            <w:vAlign w:val="center"/>
            <w:shd w:fill="164E63"/>
          </w:tcPr>
          <w:p>
            <w:pPr>
              <w:spacing w:after="0"/>
            </w:pPr>
            <w:r/>
            <w:r>
              <w:rPr>
                <w:rFonts w:ascii="Arial" w:hAnsi="Arial"/>
                <w:b/>
                <w:color w:val="FFFFFF"/>
                <w:sz w:val="16"/>
              </w:rPr>
              <w:t>Step</w:t>
            </w:r>
          </w:p>
        </w:tc>
        <w:tc>
          <w:tcPr>
            <w:tcW w:type="dxa" w:w="8352"/>
            <w:vAlign w:val="center"/>
            <w:shd w:fill="164E63"/>
          </w:tcPr>
          <w:p>
            <w:pPr>
              <w:spacing w:after="0"/>
            </w:pPr>
            <w:r/>
            <w:r>
              <w:rPr>
                <w:rFonts w:ascii="Arial" w:hAnsi="Arial"/>
                <w:b/>
                <w:color w:val="FFFFFF"/>
                <w:sz w:val="16"/>
              </w:rPr>
              <w:t>New wizard</w:t>
            </w:r>
          </w:p>
        </w:tc>
      </w:tr>
      <w:tr>
        <w:tc>
          <w:tcPr>
            <w:tcW w:type="dxa" w:w="1152"/>
            <w:vAlign w:val="center"/>
          </w:tcPr>
          <w:p>
            <w:pPr>
              <w:spacing w:after="0"/>
            </w:pPr>
            <w:r/>
            <w:r>
              <w:rPr>
                <w:rFonts w:ascii="Arial" w:hAnsi="Arial"/>
                <w:b w:val="0"/>
                <w:sz w:val="15"/>
              </w:rPr>
              <w:t>1</w:t>
            </w:r>
          </w:p>
        </w:tc>
        <w:tc>
          <w:tcPr>
            <w:tcW w:type="dxa" w:w="8352"/>
            <w:vAlign w:val="center"/>
          </w:tcPr>
          <w:p>
            <w:pPr>
              <w:spacing w:after="0"/>
            </w:pPr>
            <w:r/>
            <w:r>
              <w:rPr>
                <w:rFonts w:ascii="Arial" w:hAnsi="Arial"/>
                <w:b w:val="0"/>
                <w:sz w:val="15"/>
              </w:rPr>
              <w:t>Objective</w:t>
            </w:r>
          </w:p>
        </w:tc>
      </w:tr>
      <w:tr>
        <w:tc>
          <w:tcPr>
            <w:tcW w:type="dxa" w:w="1152"/>
            <w:vAlign w:val="center"/>
          </w:tcPr>
          <w:p>
            <w:pPr>
              <w:spacing w:after="0"/>
            </w:pPr>
            <w:r/>
            <w:r>
              <w:rPr>
                <w:rFonts w:ascii="Arial" w:hAnsi="Arial"/>
                <w:b w:val="0"/>
                <w:sz w:val="15"/>
              </w:rPr>
              <w:t>2</w:t>
            </w:r>
          </w:p>
        </w:tc>
        <w:tc>
          <w:tcPr>
            <w:tcW w:type="dxa" w:w="8352"/>
            <w:vAlign w:val="center"/>
          </w:tcPr>
          <w:p>
            <w:pPr>
              <w:spacing w:after="0"/>
            </w:pPr>
            <w:r/>
            <w:r>
              <w:rPr>
                <w:rFonts w:ascii="Arial" w:hAnsi="Arial"/>
                <w:b w:val="0"/>
                <w:sz w:val="15"/>
              </w:rPr>
              <w:t>Campaign basics</w:t>
            </w:r>
          </w:p>
        </w:tc>
      </w:tr>
      <w:tr>
        <w:tc>
          <w:tcPr>
            <w:tcW w:type="dxa" w:w="1152"/>
            <w:vAlign w:val="center"/>
          </w:tcPr>
          <w:p>
            <w:pPr>
              <w:spacing w:after="0"/>
            </w:pPr>
            <w:r/>
            <w:r>
              <w:rPr>
                <w:rFonts w:ascii="Arial" w:hAnsi="Arial"/>
                <w:b w:val="0"/>
                <w:sz w:val="15"/>
              </w:rPr>
              <w:t>3</w:t>
            </w:r>
          </w:p>
        </w:tc>
        <w:tc>
          <w:tcPr>
            <w:tcW w:type="dxa" w:w="8352"/>
            <w:vAlign w:val="center"/>
          </w:tcPr>
          <w:p>
            <w:pPr>
              <w:spacing w:after="0"/>
            </w:pPr>
            <w:r/>
            <w:r>
              <w:rPr>
                <w:rFonts w:ascii="Arial" w:hAnsi="Arial"/>
                <w:b w:val="0"/>
                <w:sz w:val="15"/>
              </w:rPr>
              <w:t>Audience - choose/create Audience Group</w:t>
            </w:r>
          </w:p>
        </w:tc>
      </w:tr>
      <w:tr>
        <w:tc>
          <w:tcPr>
            <w:tcW w:type="dxa" w:w="1152"/>
            <w:vAlign w:val="center"/>
          </w:tcPr>
          <w:p>
            <w:pPr>
              <w:spacing w:after="0"/>
            </w:pPr>
            <w:r/>
            <w:r>
              <w:rPr>
                <w:rFonts w:ascii="Arial" w:hAnsi="Arial"/>
                <w:b w:val="0"/>
                <w:sz w:val="15"/>
              </w:rPr>
              <w:t>4</w:t>
            </w:r>
          </w:p>
        </w:tc>
        <w:tc>
          <w:tcPr>
            <w:tcW w:type="dxa" w:w="8352"/>
            <w:vAlign w:val="center"/>
          </w:tcPr>
          <w:p>
            <w:pPr>
              <w:spacing w:after="0"/>
            </w:pPr>
            <w:r/>
            <w:r>
              <w:rPr>
                <w:rFonts w:ascii="Arial" w:hAnsi="Arial"/>
                <w:b w:val="0"/>
                <w:sz w:val="15"/>
              </w:rPr>
              <w:t>Partner matches</w:t>
            </w:r>
          </w:p>
        </w:tc>
      </w:tr>
      <w:tr>
        <w:tc>
          <w:tcPr>
            <w:tcW w:type="dxa" w:w="1152"/>
            <w:vAlign w:val="center"/>
          </w:tcPr>
          <w:p>
            <w:pPr>
              <w:spacing w:after="0"/>
            </w:pPr>
            <w:r/>
            <w:r>
              <w:rPr>
                <w:rFonts w:ascii="Arial" w:hAnsi="Arial"/>
                <w:b w:val="0"/>
                <w:sz w:val="15"/>
              </w:rPr>
              <w:t>5</w:t>
            </w:r>
          </w:p>
        </w:tc>
        <w:tc>
          <w:tcPr>
            <w:tcW w:type="dxa" w:w="8352"/>
            <w:vAlign w:val="center"/>
          </w:tcPr>
          <w:p>
            <w:pPr>
              <w:spacing w:after="0"/>
            </w:pPr>
            <w:r/>
            <w:r>
              <w:rPr>
                <w:rFonts w:ascii="Arial" w:hAnsi="Arial"/>
                <w:b w:val="0"/>
                <w:sz w:val="15"/>
              </w:rPr>
              <w:t>Partner selection</w:t>
            </w:r>
          </w:p>
        </w:tc>
      </w:tr>
      <w:tr>
        <w:tc>
          <w:tcPr>
            <w:tcW w:type="dxa" w:w="1152"/>
            <w:vAlign w:val="center"/>
          </w:tcPr>
          <w:p>
            <w:pPr>
              <w:spacing w:after="0"/>
            </w:pPr>
            <w:r/>
            <w:r>
              <w:rPr>
                <w:rFonts w:ascii="Arial" w:hAnsi="Arial"/>
                <w:b w:val="0"/>
                <w:sz w:val="15"/>
              </w:rPr>
              <w:t>6</w:t>
            </w:r>
          </w:p>
        </w:tc>
        <w:tc>
          <w:tcPr>
            <w:tcW w:type="dxa" w:w="8352"/>
            <w:vAlign w:val="center"/>
          </w:tcPr>
          <w:p>
            <w:pPr>
              <w:spacing w:after="0"/>
            </w:pPr>
            <w:r/>
            <w:r>
              <w:rPr>
                <w:rFonts w:ascii="Arial" w:hAnsi="Arial"/>
                <w:b w:val="0"/>
                <w:sz w:val="15"/>
              </w:rPr>
              <w:t>Channel &amp; placement per Partner</w:t>
            </w:r>
          </w:p>
        </w:tc>
      </w:tr>
      <w:tr>
        <w:tc>
          <w:tcPr>
            <w:tcW w:type="dxa" w:w="1152"/>
            <w:vAlign w:val="center"/>
          </w:tcPr>
          <w:p>
            <w:pPr>
              <w:spacing w:after="0"/>
            </w:pPr>
            <w:r/>
            <w:r>
              <w:rPr>
                <w:rFonts w:ascii="Arial" w:hAnsi="Arial"/>
                <w:b w:val="0"/>
                <w:sz w:val="15"/>
              </w:rPr>
              <w:t>7</w:t>
            </w:r>
          </w:p>
        </w:tc>
        <w:tc>
          <w:tcPr>
            <w:tcW w:type="dxa" w:w="8352"/>
            <w:vAlign w:val="center"/>
          </w:tcPr>
          <w:p>
            <w:pPr>
              <w:spacing w:after="0"/>
            </w:pPr>
            <w:r/>
            <w:r>
              <w:rPr>
                <w:rFonts w:ascii="Arial" w:hAnsi="Arial"/>
                <w:b w:val="0"/>
                <w:sz w:val="15"/>
              </w:rPr>
              <w:t>Budget allocation</w:t>
            </w:r>
          </w:p>
        </w:tc>
      </w:tr>
      <w:tr>
        <w:tc>
          <w:tcPr>
            <w:tcW w:type="dxa" w:w="1152"/>
            <w:vAlign w:val="center"/>
          </w:tcPr>
          <w:p>
            <w:pPr>
              <w:spacing w:after="0"/>
            </w:pPr>
            <w:r/>
            <w:r>
              <w:rPr>
                <w:rFonts w:ascii="Arial" w:hAnsi="Arial"/>
                <w:b w:val="0"/>
                <w:sz w:val="15"/>
              </w:rPr>
              <w:t>8</w:t>
            </w:r>
          </w:p>
        </w:tc>
        <w:tc>
          <w:tcPr>
            <w:tcW w:type="dxa" w:w="8352"/>
            <w:vAlign w:val="center"/>
          </w:tcPr>
          <w:p>
            <w:pPr>
              <w:spacing w:after="0"/>
            </w:pPr>
            <w:r/>
            <w:r>
              <w:rPr>
                <w:rFonts w:ascii="Arial" w:hAnsi="Arial"/>
                <w:b w:val="0"/>
                <w:sz w:val="15"/>
              </w:rPr>
              <w:t>Creative</w:t>
            </w:r>
          </w:p>
        </w:tc>
      </w:tr>
      <w:tr>
        <w:tc>
          <w:tcPr>
            <w:tcW w:type="dxa" w:w="1152"/>
            <w:vAlign w:val="center"/>
          </w:tcPr>
          <w:p>
            <w:pPr>
              <w:spacing w:after="0"/>
            </w:pPr>
            <w:r/>
            <w:r>
              <w:rPr>
                <w:rFonts w:ascii="Arial" w:hAnsi="Arial"/>
                <w:b w:val="0"/>
                <w:sz w:val="15"/>
              </w:rPr>
              <w:t>9</w:t>
            </w:r>
          </w:p>
        </w:tc>
        <w:tc>
          <w:tcPr>
            <w:tcW w:type="dxa" w:w="8352"/>
            <w:vAlign w:val="center"/>
          </w:tcPr>
          <w:p>
            <w:pPr>
              <w:spacing w:after="0"/>
            </w:pPr>
            <w:r/>
            <w:r>
              <w:rPr>
                <w:rFonts w:ascii="Arial" w:hAnsi="Arial"/>
                <w:b w:val="0"/>
                <w:sz w:val="15"/>
              </w:rPr>
              <w:t>Lead / conversion definition</w:t>
            </w:r>
          </w:p>
        </w:tc>
      </w:tr>
      <w:tr>
        <w:tc>
          <w:tcPr>
            <w:tcW w:type="dxa" w:w="1152"/>
            <w:vAlign w:val="center"/>
          </w:tcPr>
          <w:p>
            <w:pPr>
              <w:spacing w:after="0"/>
            </w:pPr>
            <w:r/>
            <w:r>
              <w:rPr>
                <w:rFonts w:ascii="Arial" w:hAnsi="Arial"/>
                <w:b w:val="0"/>
                <w:sz w:val="15"/>
              </w:rPr>
              <w:t>10</w:t>
            </w:r>
          </w:p>
        </w:tc>
        <w:tc>
          <w:tcPr>
            <w:tcW w:type="dxa" w:w="8352"/>
            <w:vAlign w:val="center"/>
          </w:tcPr>
          <w:p>
            <w:pPr>
              <w:spacing w:after="0"/>
            </w:pPr>
            <w:r/>
            <w:r>
              <w:rPr>
                <w:rFonts w:ascii="Arial" w:hAnsi="Arial"/>
                <w:b w:val="0"/>
                <w:sz w:val="15"/>
              </w:rPr>
              <w:t>Review &amp; submit</w:t>
            </w:r>
          </w:p>
        </w:tc>
      </w:tr>
    </w:tbl>
    <w:p/>
    <w:p>
      <w:pPr>
        <w:pStyle w:val="ListBullet"/>
        <w:spacing w:after="40"/>
      </w:pPr>
      <w:r>
        <w:t>Remove Partner segment browsing as the primary Step 3.</w:t>
      </w:r>
    </w:p>
    <w:p>
      <w:pPr>
        <w:pStyle w:val="ListBullet"/>
        <w:spacing w:after="40"/>
      </w:pPr>
      <w:r>
        <w:t>Campaign request freezes Audience Group version, rule hash and selected reach-estimate version.</w:t>
      </w:r>
    </w:p>
    <w:p>
      <w:pPr>
        <w:pStyle w:val="ListBullet"/>
        <w:spacing w:after="40"/>
      </w:pPr>
      <w:r>
        <w:t>One campaign links one Audience Group in MVP.</w:t>
      </w:r>
    </w:p>
    <w:p>
      <w:pPr>
        <w:pStyle w:val="Heading1"/>
      </w:pPr>
      <w:r>
        <w:t>10. Data Partner Campaign Review</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64E63"/>
          </w:tcPr>
          <w:p>
            <w:pPr>
              <w:spacing w:after="0"/>
            </w:pPr>
            <w:r/>
            <w:r>
              <w:rPr>
                <w:rFonts w:ascii="Arial" w:hAnsi="Arial"/>
                <w:b/>
                <w:color w:val="FFFFFF"/>
                <w:sz w:val="16"/>
              </w:rPr>
              <w:t>Review item</w:t>
            </w:r>
          </w:p>
        </w:tc>
        <w:tc>
          <w:tcPr>
            <w:tcW w:type="dxa" w:w="6624"/>
            <w:vAlign w:val="center"/>
            <w:shd w:fill="164E63"/>
          </w:tcPr>
          <w:p>
            <w:pPr>
              <w:spacing w:after="0"/>
            </w:pPr>
            <w:r/>
            <w:r>
              <w:rPr>
                <w:rFonts w:ascii="Arial" w:hAnsi="Arial"/>
                <w:b/>
                <w:color w:val="FFFFFF"/>
                <w:sz w:val="16"/>
              </w:rPr>
              <w:t>Example</w:t>
            </w:r>
          </w:p>
        </w:tc>
      </w:tr>
      <w:tr>
        <w:tc>
          <w:tcPr>
            <w:tcW w:type="dxa" w:w="3024"/>
            <w:vAlign w:val="center"/>
          </w:tcPr>
          <w:p>
            <w:pPr>
              <w:spacing w:after="0"/>
            </w:pPr>
            <w:r/>
            <w:r>
              <w:rPr>
                <w:rFonts w:ascii="Arial" w:hAnsi="Arial"/>
                <w:b w:val="0"/>
                <w:sz w:val="15"/>
              </w:rPr>
              <w:t>Buyer / Brand</w:t>
            </w:r>
          </w:p>
        </w:tc>
        <w:tc>
          <w:tcPr>
            <w:tcW w:type="dxa" w:w="6624"/>
            <w:vAlign w:val="center"/>
          </w:tcPr>
          <w:p>
            <w:pPr>
              <w:spacing w:after="0"/>
            </w:pPr>
            <w:r/>
            <w:r>
              <w:rPr>
                <w:rFonts w:ascii="Arial" w:hAnsi="Arial"/>
                <w:b w:val="0"/>
                <w:sz w:val="15"/>
              </w:rPr>
              <w:t>Nike / Nike Running</w:t>
            </w:r>
          </w:p>
        </w:tc>
      </w:tr>
      <w:tr>
        <w:tc>
          <w:tcPr>
            <w:tcW w:type="dxa" w:w="3024"/>
            <w:vAlign w:val="center"/>
          </w:tcPr>
          <w:p>
            <w:pPr>
              <w:spacing w:after="0"/>
            </w:pPr>
            <w:r/>
            <w:r>
              <w:rPr>
                <w:rFonts w:ascii="Arial" w:hAnsi="Arial"/>
                <w:b w:val="0"/>
                <w:sz w:val="15"/>
              </w:rPr>
              <w:t>Audience Group</w:t>
            </w:r>
          </w:p>
        </w:tc>
        <w:tc>
          <w:tcPr>
            <w:tcW w:type="dxa" w:w="6624"/>
            <w:vAlign w:val="center"/>
          </w:tcPr>
          <w:p>
            <w:pPr>
              <w:spacing w:after="0"/>
            </w:pPr>
            <w:r/>
            <w:r>
              <w:rPr>
                <w:rFonts w:ascii="Arial" w:hAnsi="Arial"/>
                <w:b w:val="0"/>
                <w:sz w:val="15"/>
              </w:rPr>
              <w:t>Urban Shoe Shoppers</w:t>
            </w:r>
          </w:p>
        </w:tc>
      </w:tr>
      <w:tr>
        <w:tc>
          <w:tcPr>
            <w:tcW w:type="dxa" w:w="3024"/>
            <w:vAlign w:val="center"/>
          </w:tcPr>
          <w:p>
            <w:pPr>
              <w:spacing w:after="0"/>
            </w:pPr>
            <w:r/>
            <w:r>
              <w:rPr>
                <w:rFonts w:ascii="Arial" w:hAnsi="Arial"/>
                <w:b w:val="0"/>
                <w:sz w:val="15"/>
              </w:rPr>
              <w:t>Required rules</w:t>
            </w:r>
          </w:p>
        </w:tc>
        <w:tc>
          <w:tcPr>
            <w:tcW w:type="dxa" w:w="6624"/>
            <w:vAlign w:val="center"/>
          </w:tcPr>
          <w:p>
            <w:pPr>
              <w:spacing w:after="0"/>
            </w:pPr>
            <w:r/>
            <w:r>
              <w:rPr>
                <w:rFonts w:ascii="Arial" w:hAnsi="Arial"/>
                <w:b w:val="0"/>
                <w:sz w:val="15"/>
              </w:rPr>
              <w:t>Age 18-35; Online shopper; Footwear; Purchase &lt;=90 days</w:t>
            </w:r>
          </w:p>
        </w:tc>
      </w:tr>
      <w:tr>
        <w:tc>
          <w:tcPr>
            <w:tcW w:type="dxa" w:w="3024"/>
            <w:vAlign w:val="center"/>
          </w:tcPr>
          <w:p>
            <w:pPr>
              <w:spacing w:after="0"/>
            </w:pPr>
            <w:r/>
            <w:r>
              <w:rPr>
                <w:rFonts w:ascii="Arial" w:hAnsi="Arial"/>
                <w:b w:val="0"/>
                <w:sz w:val="15"/>
              </w:rPr>
              <w:t>Optional rules</w:t>
            </w:r>
          </w:p>
        </w:tc>
        <w:tc>
          <w:tcPr>
            <w:tcW w:type="dxa" w:w="6624"/>
            <w:vAlign w:val="center"/>
          </w:tcPr>
          <w:p>
            <w:pPr>
              <w:spacing w:after="0"/>
            </w:pPr>
            <w:r/>
            <w:r>
              <w:rPr>
                <w:rFonts w:ascii="Arial" w:hAnsi="Arial"/>
                <w:b w:val="0"/>
                <w:sz w:val="15"/>
              </w:rPr>
              <w:t>Gender; Payment = UPI/Credit Card</w:t>
            </w:r>
          </w:p>
        </w:tc>
      </w:tr>
      <w:tr>
        <w:tc>
          <w:tcPr>
            <w:tcW w:type="dxa" w:w="3024"/>
            <w:vAlign w:val="center"/>
          </w:tcPr>
          <w:p>
            <w:pPr>
              <w:spacing w:after="0"/>
            </w:pPr>
            <w:r/>
            <w:r>
              <w:rPr>
                <w:rFonts w:ascii="Arial" w:hAnsi="Arial"/>
                <w:b w:val="0"/>
                <w:sz w:val="15"/>
              </w:rPr>
              <w:t>Partner coverage</w:t>
            </w:r>
          </w:p>
        </w:tc>
        <w:tc>
          <w:tcPr>
            <w:tcW w:type="dxa" w:w="6624"/>
            <w:vAlign w:val="center"/>
          </w:tcPr>
          <w:p>
            <w:pPr>
              <w:spacing w:after="0"/>
            </w:pPr>
            <w:r/>
            <w:r>
              <w:rPr>
                <w:rFonts w:ascii="Arial" w:hAnsi="Arial"/>
                <w:b w:val="0"/>
                <w:sz w:val="15"/>
              </w:rPr>
              <w:t>All required; all optional</w:t>
            </w:r>
          </w:p>
        </w:tc>
      </w:tr>
      <w:tr>
        <w:tc>
          <w:tcPr>
            <w:tcW w:type="dxa" w:w="3024"/>
            <w:vAlign w:val="center"/>
          </w:tcPr>
          <w:p>
            <w:pPr>
              <w:spacing w:after="0"/>
            </w:pPr>
            <w:r/>
            <w:r>
              <w:rPr>
                <w:rFonts w:ascii="Arial" w:hAnsi="Arial"/>
                <w:b w:val="0"/>
                <w:sz w:val="15"/>
              </w:rPr>
              <w:t>Safe reach</w:t>
            </w:r>
          </w:p>
        </w:tc>
        <w:tc>
          <w:tcPr>
            <w:tcW w:type="dxa" w:w="6624"/>
            <w:vAlign w:val="center"/>
          </w:tcPr>
          <w:p>
            <w:pPr>
              <w:spacing w:after="0"/>
            </w:pPr>
            <w:r/>
            <w:r>
              <w:rPr>
                <w:rFonts w:ascii="Arial" w:hAnsi="Arial"/>
                <w:b w:val="0"/>
                <w:sz w:val="15"/>
              </w:rPr>
              <w:t>100K-250K</w:t>
            </w:r>
          </w:p>
        </w:tc>
      </w:tr>
      <w:tr>
        <w:tc>
          <w:tcPr>
            <w:tcW w:type="dxa" w:w="3024"/>
            <w:vAlign w:val="center"/>
          </w:tcPr>
          <w:p>
            <w:pPr>
              <w:spacing w:after="0"/>
            </w:pPr>
            <w:r/>
            <w:r>
              <w:rPr>
                <w:rFonts w:ascii="Arial" w:hAnsi="Arial"/>
                <w:b w:val="0"/>
                <w:sz w:val="15"/>
              </w:rPr>
              <w:t>Channel / placement</w:t>
            </w:r>
          </w:p>
        </w:tc>
        <w:tc>
          <w:tcPr>
            <w:tcW w:type="dxa" w:w="6624"/>
            <w:vAlign w:val="center"/>
          </w:tcPr>
          <w:p>
            <w:pPr>
              <w:spacing w:after="0"/>
            </w:pPr>
            <w:r/>
            <w:r>
              <w:rPr>
                <w:rFonts w:ascii="Arial" w:hAnsi="Arial"/>
                <w:b w:val="0"/>
                <w:sz w:val="15"/>
              </w:rPr>
              <w:t>Partner App / Offers page</w:t>
            </w:r>
          </w:p>
        </w:tc>
      </w:tr>
      <w:tr>
        <w:tc>
          <w:tcPr>
            <w:tcW w:type="dxa" w:w="3024"/>
            <w:vAlign w:val="center"/>
          </w:tcPr>
          <w:p>
            <w:pPr>
              <w:spacing w:after="0"/>
            </w:pPr>
            <w:r/>
            <w:r>
              <w:rPr>
                <w:rFonts w:ascii="Arial" w:hAnsi="Arial"/>
                <w:b w:val="0"/>
                <w:sz w:val="15"/>
              </w:rPr>
              <w:t>Creative</w:t>
            </w:r>
          </w:p>
        </w:tc>
        <w:tc>
          <w:tcPr>
            <w:tcW w:type="dxa" w:w="6624"/>
            <w:vAlign w:val="center"/>
          </w:tcPr>
          <w:p>
            <w:pPr>
              <w:spacing w:after="0"/>
            </w:pPr>
            <w:r/>
            <w:r>
              <w:rPr>
                <w:rFonts w:ascii="Arial" w:hAnsi="Arial"/>
                <w:b w:val="0"/>
                <w:sz w:val="15"/>
              </w:rPr>
              <w:t>CRV-20</w:t>
            </w:r>
          </w:p>
        </w:tc>
      </w:tr>
      <w:tr>
        <w:tc>
          <w:tcPr>
            <w:tcW w:type="dxa" w:w="3024"/>
            <w:vAlign w:val="center"/>
          </w:tcPr>
          <w:p>
            <w:pPr>
              <w:spacing w:after="0"/>
            </w:pPr>
            <w:r/>
            <w:r>
              <w:rPr>
                <w:rFonts w:ascii="Arial" w:hAnsi="Arial"/>
                <w:b w:val="0"/>
                <w:sz w:val="15"/>
              </w:rPr>
              <w:t>Dates / frequency</w:t>
            </w:r>
          </w:p>
        </w:tc>
        <w:tc>
          <w:tcPr>
            <w:tcW w:type="dxa" w:w="6624"/>
            <w:vAlign w:val="center"/>
          </w:tcPr>
          <w:p>
            <w:pPr>
              <w:spacing w:after="0"/>
            </w:pPr>
            <w:r/>
            <w:r>
              <w:rPr>
                <w:rFonts w:ascii="Arial" w:hAnsi="Arial"/>
                <w:b w:val="0"/>
                <w:sz w:val="15"/>
              </w:rPr>
              <w:t>30 days / max 2 per day</w:t>
            </w:r>
          </w:p>
        </w:tc>
      </w:tr>
      <w:tr>
        <w:tc>
          <w:tcPr>
            <w:tcW w:type="dxa" w:w="3024"/>
            <w:vAlign w:val="center"/>
          </w:tcPr>
          <w:p>
            <w:pPr>
              <w:spacing w:after="0"/>
            </w:pPr>
            <w:r/>
            <w:r>
              <w:rPr>
                <w:rFonts w:ascii="Arial" w:hAnsi="Arial"/>
                <w:b w:val="0"/>
                <w:sz w:val="15"/>
              </w:rPr>
              <w:t>Budget / payout</w:t>
            </w:r>
          </w:p>
        </w:tc>
        <w:tc>
          <w:tcPr>
            <w:tcW w:type="dxa" w:w="6624"/>
            <w:vAlign w:val="center"/>
          </w:tcPr>
          <w:p>
            <w:pPr>
              <w:spacing w:after="0"/>
            </w:pPr>
            <w:r/>
            <w:r>
              <w:rPr>
                <w:rFonts w:ascii="Arial" w:hAnsi="Arial"/>
                <w:b w:val="0"/>
                <w:sz w:val="15"/>
              </w:rPr>
              <w:t>Partner-specific terms</w:t>
            </w:r>
          </w:p>
        </w:tc>
      </w:tr>
      <w:tr>
        <w:tc>
          <w:tcPr>
            <w:tcW w:type="dxa" w:w="3024"/>
            <w:vAlign w:val="center"/>
          </w:tcPr>
          <w:p>
            <w:pPr>
              <w:spacing w:after="0"/>
            </w:pPr>
            <w:r/>
            <w:r>
              <w:rPr>
                <w:rFonts w:ascii="Arial" w:hAnsi="Arial"/>
                <w:b w:val="0"/>
                <w:sz w:val="15"/>
              </w:rPr>
              <w:t>Purpose</w:t>
            </w:r>
          </w:p>
        </w:tc>
        <w:tc>
          <w:tcPr>
            <w:tcW w:type="dxa" w:w="6624"/>
            <w:vAlign w:val="center"/>
          </w:tcPr>
          <w:p>
            <w:pPr>
              <w:spacing w:after="0"/>
            </w:pPr>
            <w:r/>
            <w:r>
              <w:rPr>
                <w:rFonts w:ascii="Arial" w:hAnsi="Arial"/>
                <w:b w:val="0"/>
                <w:sz w:val="15"/>
              </w:rPr>
              <w:t>Footwear advertising</w:t>
            </w:r>
          </w:p>
        </w:tc>
      </w:tr>
    </w:tbl>
    <w:p/>
    <w:p>
      <w:pPr>
        <w:pStyle w:val="ListBullet"/>
        <w:spacing w:after="40"/>
      </w:pPr>
      <w:r>
        <w:t>APPROVE binds to audience_group_id, audience_version, rule_hash, capability/mapping version, reach estimate and creative version.</w:t>
      </w:r>
    </w:p>
    <w:p>
      <w:pPr>
        <w:pStyle w:val="ListBullet"/>
        <w:spacing w:after="40"/>
      </w:pPr>
      <w:r>
        <w:t>REQUEST_CHANGE can request audience-rule changes in addition to creative/placement/commercial changes.</w:t>
      </w:r>
    </w:p>
    <w:p>
      <w:pPr>
        <w:pStyle w:val="ListBullet"/>
        <w:spacing w:after="40"/>
      </w:pPr>
      <w:r>
        <w:t>REJECT affects only that Partner request.</w:t>
      </w:r>
    </w:p>
    <w:p>
      <w:pPr>
        <w:pStyle w:val="Heading1"/>
      </w:pPr>
      <w:r>
        <w:t>11. Local Audience Compilation and Materialization</w:t>
      </w:r>
    </w:p>
    <w:p>
      <w:pPr>
        <w:jc w:val="center"/>
      </w:pPr>
      <w:r>
        <w:drawing>
          <wp:inline xmlns:a="http://schemas.openxmlformats.org/drawingml/2006/main" xmlns:pic="http://schemas.openxmlformats.org/drawingml/2006/picture">
            <wp:extent cx="6217920" cy="1022548"/>
            <wp:docPr id="4" name="Picture 4"/>
            <wp:cNvGraphicFramePr>
              <a:graphicFrameLocks noChangeAspect="1"/>
            </wp:cNvGraphicFramePr>
            <a:graphic>
              <a:graphicData uri="http://schemas.openxmlformats.org/drawingml/2006/picture">
                <pic:pic>
                  <pic:nvPicPr>
                    <pic:cNvPr id="0" name="runtime_flow.png"/>
                    <pic:cNvPicPr/>
                  </pic:nvPicPr>
                  <pic:blipFill>
                    <a:blip r:embed="rId12"/>
                    <a:stretch>
                      <a:fillRect/>
                    </a:stretch>
                  </pic:blipFill>
                  <pic:spPr>
                    <a:xfrm>
                      <a:off x="0" y="0"/>
                      <a:ext cx="6217920" cy="1022548"/>
                    </a:xfrm>
                    <a:prstGeom prst="rect"/>
                  </pic:spPr>
                </pic:pic>
              </a:graphicData>
            </a:graphic>
          </wp:inline>
        </w:drawing>
      </w:r>
    </w:p>
    <w:p>
      <w:pPr>
        <w:jc w:val="center"/>
      </w:pPr>
      <w:r>
        <w:rPr>
          <w:i/>
          <w:color w:val="475569"/>
          <w:sz w:val="15"/>
        </w:rPr>
        <w:t>Figure 4. Approved audience rules are materialized locally before serving.</w:t>
      </w:r>
    </w:p>
    <w:p>
      <w:pPr>
        <w:pStyle w:val="ListNumber"/>
        <w:spacing w:after="40"/>
      </w:pPr>
      <w:r>
        <w:t>Agent receives approved signed manifest.</w:t>
      </w:r>
    </w:p>
    <w:p>
      <w:pPr>
        <w:pStyle w:val="ListNumber"/>
        <w:spacing w:after="40"/>
      </w:pPr>
      <w:r>
        <w:t>Resolve standardized attributes through PartnerAttributeMapping.</w:t>
      </w:r>
    </w:p>
    <w:p>
      <w:pPr>
        <w:pStyle w:val="ListNumber"/>
        <w:spacing w:after="40"/>
      </w:pPr>
      <w:r>
        <w:t>Compile local query/API call against Audience Attribute View.</w:t>
      </w:r>
    </w:p>
    <w:p>
      <w:pPr>
        <w:pStyle w:val="ListNumber"/>
        <w:spacing w:after="40"/>
      </w:pPr>
      <w:r>
        <w:t>Materialize matching partner_user_id values into Partner-local audience index.</w:t>
      </w:r>
    </w:p>
    <w:p>
      <w:pPr>
        <w:pStyle w:val="ListNumber"/>
        <w:spacing w:after="40"/>
      </w:pPr>
      <w:r>
        <w:t>Assign local materialization version.</w:t>
      </w:r>
    </w:p>
    <w:p>
      <w:pPr>
        <w:pStyle w:val="ListNumber"/>
        <w:spacing w:after="40"/>
      </w:pPr>
      <w:r>
        <w:t>Refresh on approved schedule.</w:t>
      </w:r>
    </w:p>
    <w:p>
      <w:pPr>
        <w:pStyle w:val="ListNumber"/>
        <w:spacing w:after="40"/>
      </w:pPr>
      <w:r>
        <w:t>Real-time ad decision uses fast membership lookup, not full rule evaluation.</w:t>
      </w:r>
    </w:p>
    <w:p>
      <w:pPr>
        <w:spacing w:before="40" w:after="80"/>
        <w:ind w:left="216" w:right="115"/>
        <w:shd w:fill="F3F4F6"/>
      </w:pPr>
      <w:r>
        <w:rPr>
          <w:rFonts w:ascii="Courier New" w:hAnsi="Courier New"/>
          <w:sz w:val="14"/>
        </w:rPr>
        <w:t>partner_user_id | activation_id | materialization_version | expires_at</w:t>
        <w:br/>
        <w:t>U123            | act_500_a     | 4                       | ...</w:t>
        <w:br/>
        <w:t>U982            | act_500_a     | 4                       | ...</w:t>
      </w:r>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Privacy boundary</w:t>
            </w:r>
          </w:p>
          <w:p>
            <w:r>
              <w:rPr>
                <w:rFonts w:ascii="Arial" w:hAnsi="Arial"/>
                <w:sz w:val="17"/>
              </w:rPr>
              <w:t>Audience materialization and member IDs remain inside the Data Partner. Oolix stores only status/version/freshness/aggregate outcomes.</w:t>
            </w:r>
          </w:p>
        </w:tc>
      </w:tr>
    </w:tbl>
    <w:p/>
    <w:p>
      <w:pPr>
        <w:pStyle w:val="Heading1"/>
      </w:pPr>
      <w:r>
        <w:t>12. Partner-Owned Web/App Runtime</w:t>
      </w:r>
    </w:p>
    <w:p>
      <w:pPr>
        <w:pStyle w:val="ListNumber"/>
        <w:spacing w:after="40"/>
      </w:pPr>
      <w:r>
        <w:t>User opens Partner placement.</w:t>
      </w:r>
    </w:p>
    <w:p>
      <w:pPr>
        <w:pStyle w:val="ListNumber"/>
        <w:spacing w:after="40"/>
      </w:pPr>
      <w:r>
        <w:t>Partner backend resolves partner_user_id from existing session.</w:t>
      </w:r>
    </w:p>
    <w:p>
      <w:pPr>
        <w:pStyle w:val="ListNumber"/>
        <w:spacing w:after="40"/>
      </w:pPr>
      <w:r>
        <w:t>Partner backend calls local Partner Agent.</w:t>
      </w:r>
    </w:p>
    <w:p>
      <w:pPr>
        <w:pStyle w:val="ListNumber"/>
        <w:spacing w:after="40"/>
      </w:pPr>
      <w:r>
        <w:t>Agent checks local materialized audience membership.</w:t>
      </w:r>
    </w:p>
    <w:p>
      <w:pPr>
        <w:pStyle w:val="ListNumber"/>
        <w:spacing w:after="40"/>
      </w:pPr>
      <w:r>
        <w:t>Agent re-checks consent/purpose eligibility.</w:t>
      </w:r>
    </w:p>
    <w:p>
      <w:pPr>
        <w:pStyle w:val="ListNumber"/>
        <w:spacing w:after="40"/>
      </w:pPr>
      <w:r>
        <w:t>Agent checks dates, frequency, pacing, creative, policy and kill switches.</w:t>
      </w:r>
    </w:p>
    <w:p>
      <w:pPr>
        <w:pStyle w:val="ListNumber"/>
        <w:spacing w:after="40"/>
      </w:pPr>
      <w:r>
        <w:t>Agent returns SHOW or NO_AD.</w:t>
      </w:r>
    </w:p>
    <w:p>
      <w:pPr>
        <w:pStyle w:val="ListNumber"/>
        <w:spacing w:after="40"/>
      </w:pPr>
      <w:r>
        <w:t>Only aggregate delivery and outcomes return centrally.</w:t>
      </w:r>
    </w:p>
    <w:p>
      <w:pPr>
        <w:spacing w:before="40" w:after="80"/>
        <w:ind w:left="216" w:right="115"/>
        <w:shd w:fill="F3F4F6"/>
      </w:pPr>
      <w:r>
        <w:rPr>
          <w:rFonts w:ascii="Courier New" w:hAnsi="Courier New"/>
          <w:sz w:val="14"/>
        </w:rPr>
        <w:t>POST /private/v1/ad-decision</w:t>
        <w:br/>
        <w:t>{</w:t>
        <w:br/>
        <w:t xml:space="preserve">  "partner_user_id":"U123",</w:t>
        <w:br/>
        <w:t xml:space="preserve">  "placement_id":"offers_page",</w:t>
        <w:br/>
        <w:t xml:space="preserve">  "context":{"page_type":"offers"}</w:t>
        <w:br/>
        <w:t>}</w:t>
        <w:br/>
        <w:br/>
        <w:t>200</w:t>
        <w:br/>
        <w:t>{</w:t>
        <w:br/>
        <w:t xml:space="preserve">  "decision":"SHOW",</w:t>
        <w:br/>
        <w:t xml:space="preserve">  "activation_id":"act_500_a",</w:t>
        <w:br/>
        <w:t xml:space="preserve">  "audience_materialization_version":4,</w:t>
        <w:br/>
        <w:t xml:space="preserve">  "creative":{...},</w:t>
        <w:br/>
        <w:t xml:space="preserve">  "click_token":"&lt;opaque-random-token&gt;"</w:t>
        <w:br/>
        <w:t>}</w:t>
      </w:r>
    </w:p>
    <w:p>
      <w:pPr>
        <w:pStyle w:val="Heading1"/>
      </w:pPr>
      <w:r>
        <w:t>13. Meta/Google External Activation Impact</w:t>
      </w:r>
    </w:p>
    <w:p>
      <w:pPr>
        <w:spacing w:before="40" w:after="80"/>
        <w:ind w:left="216" w:right="115"/>
        <w:shd w:fill="F3F4F6"/>
      </w:pPr>
      <w:r>
        <w:rPr>
          <w:rFonts w:ascii="Courier New" w:hAnsi="Courier New"/>
          <w:sz w:val="14"/>
        </w:rPr>
        <w:t>Audience Group rules</w:t>
        <w:br/>
        <w:t xml:space="preserve">      ↓</w:t>
        <w:br/>
        <w:t>Partner approval</w:t>
        <w:br/>
        <w:t xml:space="preserve">      ↓</w:t>
        <w:br/>
        <w:t>Partner Agent local materialization</w:t>
        <w:br/>
        <w:t xml:space="preserve">      ↓</w:t>
        <w:br/>
        <w:t>approved local member set</w:t>
        <w:br/>
        <w:t xml:space="preserve">      ├── PARTNER_WEB / PARTNER_APP</w:t>
        <w:br/>
        <w:t xml:space="preserve">      ├── META (if eligible)</w:t>
        <w:br/>
        <w:t xml:space="preserve">      └── GOOGLE (if eligible)</w:t>
      </w:r>
    </w:p>
    <w:p>
      <w:pPr>
        <w:pStyle w:val="ListBullet"/>
        <w:spacing w:after="40"/>
      </w:pPr>
      <w:r>
        <w:t>External matching identifiers may be prepared only after Partner approval and channel eligibility.</w:t>
      </w:r>
    </w:p>
    <w:p>
      <w:pPr>
        <w:pStyle w:val="ListBullet"/>
        <w:spacing w:after="40"/>
      </w:pPr>
      <w:r>
        <w:t>Raw matching payload flows Partner Agent -&gt; external channel, not through Oolix customer storage.</w:t>
      </w:r>
    </w:p>
    <w:p>
      <w:pPr>
        <w:pStyle w:val="ListBullet"/>
        <w:spacing w:after="40"/>
      </w:pPr>
      <w:r>
        <w:t>Oolix stores external resource IDs/status/aggregate metrics only.</w:t>
      </w:r>
    </w:p>
    <w:p>
      <w:pPr>
        <w:pStyle w:val="ListBullet"/>
        <w:spacing w:after="40"/>
      </w:pPr>
      <w:r>
        <w:t>Audience rule version is fixed for the external activation.</w:t>
      </w:r>
    </w:p>
    <w:p>
      <w:pPr>
        <w:pStyle w:val="Heading1"/>
      </w:pPr>
      <w:r>
        <w:t>14. API Contract Changes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64E63"/>
          </w:tcPr>
          <w:p>
            <w:pPr>
              <w:spacing w:after="0"/>
            </w:pPr>
            <w:r/>
            <w:r>
              <w:rPr>
                <w:rFonts w:ascii="Arial" w:hAnsi="Arial"/>
                <w:b/>
                <w:color w:val="FFFFFF"/>
                <w:sz w:val="16"/>
              </w:rPr>
              <w:t>Method</w:t>
            </w:r>
          </w:p>
        </w:tc>
        <w:tc>
          <w:tcPr>
            <w:tcW w:type="dxa" w:w="4464"/>
            <w:vAlign w:val="center"/>
            <w:shd w:fill="164E63"/>
          </w:tcPr>
          <w:p>
            <w:pPr>
              <w:spacing w:after="0"/>
            </w:pPr>
            <w:r/>
            <w:r>
              <w:rPr>
                <w:rFonts w:ascii="Arial" w:hAnsi="Arial"/>
                <w:b/>
                <w:color w:val="FFFFFF"/>
                <w:sz w:val="16"/>
              </w:rPr>
              <w:t>Endpoint</w:t>
            </w:r>
          </w:p>
        </w:tc>
        <w:tc>
          <w:tcPr>
            <w:tcW w:type="dxa" w:w="4032"/>
            <w:vAlign w:val="center"/>
            <w:shd w:fill="164E63"/>
          </w:tcPr>
          <w:p>
            <w:pPr>
              <w:spacing w:after="0"/>
            </w:pPr>
            <w:r/>
            <w:r>
              <w:rPr>
                <w:rFonts w:ascii="Arial" w:hAnsi="Arial"/>
                <w:b/>
                <w:color w:val="FFFFFF"/>
                <w:sz w:val="16"/>
              </w:rPr>
              <w:t>Purpose</w:t>
            </w:r>
          </w:p>
        </w:tc>
      </w:tr>
      <w:tr>
        <w:tc>
          <w:tcPr>
            <w:tcW w:type="dxa" w:w="1152"/>
            <w:vAlign w:val="center"/>
          </w:tcPr>
          <w:p>
            <w:pPr>
              <w:spacing w:after="0"/>
            </w:pPr>
            <w:r/>
            <w:r>
              <w:rPr>
                <w:rFonts w:ascii="Arial" w:hAnsi="Arial"/>
                <w:b w:val="0"/>
                <w:sz w:val="15"/>
              </w:rPr>
              <w:t>POST</w:t>
            </w:r>
          </w:p>
        </w:tc>
        <w:tc>
          <w:tcPr>
            <w:tcW w:type="dxa" w:w="4464"/>
            <w:vAlign w:val="center"/>
          </w:tcPr>
          <w:p>
            <w:pPr>
              <w:spacing w:after="0"/>
            </w:pPr>
            <w:r/>
            <w:r>
              <w:rPr>
                <w:rFonts w:ascii="Arial" w:hAnsi="Arial"/>
                <w:b w:val="0"/>
                <w:sz w:val="15"/>
              </w:rPr>
              <w:t>/v1/audiences</w:t>
            </w:r>
          </w:p>
        </w:tc>
        <w:tc>
          <w:tcPr>
            <w:tcW w:type="dxa" w:w="4032"/>
            <w:vAlign w:val="center"/>
          </w:tcPr>
          <w:p>
            <w:pPr>
              <w:spacing w:after="0"/>
            </w:pPr>
            <w:r/>
            <w:r>
              <w:rPr>
                <w:rFonts w:ascii="Arial" w:hAnsi="Arial"/>
                <w:b w:val="0"/>
                <w:sz w:val="15"/>
              </w:rPr>
              <w:t>Create Audience Group</w:t>
            </w:r>
          </w:p>
        </w:tc>
      </w:tr>
      <w:tr>
        <w:tc>
          <w:tcPr>
            <w:tcW w:type="dxa" w:w="1152"/>
            <w:vAlign w:val="center"/>
          </w:tcPr>
          <w:p>
            <w:pPr>
              <w:spacing w:after="0"/>
            </w:pPr>
            <w:r/>
            <w:r>
              <w:rPr>
                <w:rFonts w:ascii="Arial" w:hAnsi="Arial"/>
                <w:b w:val="0"/>
                <w:sz w:val="15"/>
              </w:rPr>
              <w:t>PATCH</w:t>
            </w:r>
          </w:p>
        </w:tc>
        <w:tc>
          <w:tcPr>
            <w:tcW w:type="dxa" w:w="4464"/>
            <w:vAlign w:val="center"/>
          </w:tcPr>
          <w:p>
            <w:pPr>
              <w:spacing w:after="0"/>
            </w:pPr>
            <w:r/>
            <w:r>
              <w:rPr>
                <w:rFonts w:ascii="Arial" w:hAnsi="Arial"/>
                <w:b w:val="0"/>
                <w:sz w:val="15"/>
              </w:rPr>
              <w:t>/v1/audiences/{id}</w:t>
            </w:r>
          </w:p>
        </w:tc>
        <w:tc>
          <w:tcPr>
            <w:tcW w:type="dxa" w:w="4032"/>
            <w:vAlign w:val="center"/>
          </w:tcPr>
          <w:p>
            <w:pPr>
              <w:spacing w:after="0"/>
            </w:pPr>
            <w:r/>
            <w:r>
              <w:rPr>
                <w:rFonts w:ascii="Arial" w:hAnsi="Arial"/>
                <w:b w:val="0"/>
                <w:sz w:val="15"/>
              </w:rPr>
              <w:t>Edit draft/new version</w:t>
            </w:r>
          </w:p>
        </w:tc>
      </w:tr>
      <w:tr>
        <w:tc>
          <w:tcPr>
            <w:tcW w:type="dxa" w:w="1152"/>
            <w:vAlign w:val="center"/>
          </w:tcPr>
          <w:p>
            <w:pPr>
              <w:spacing w:after="0"/>
            </w:pPr>
            <w:r/>
            <w:r>
              <w:rPr>
                <w:rFonts w:ascii="Arial" w:hAnsi="Arial"/>
                <w:b w:val="0"/>
                <w:sz w:val="15"/>
              </w:rPr>
              <w:t>GET</w:t>
            </w:r>
          </w:p>
        </w:tc>
        <w:tc>
          <w:tcPr>
            <w:tcW w:type="dxa" w:w="4464"/>
            <w:vAlign w:val="center"/>
          </w:tcPr>
          <w:p>
            <w:pPr>
              <w:spacing w:after="0"/>
            </w:pPr>
            <w:r/>
            <w:r>
              <w:rPr>
                <w:rFonts w:ascii="Arial" w:hAnsi="Arial"/>
                <w:b w:val="0"/>
                <w:sz w:val="15"/>
              </w:rPr>
              <w:t>/v1/audiences</w:t>
            </w:r>
          </w:p>
        </w:tc>
        <w:tc>
          <w:tcPr>
            <w:tcW w:type="dxa" w:w="4032"/>
            <w:vAlign w:val="center"/>
          </w:tcPr>
          <w:p>
            <w:pPr>
              <w:spacing w:after="0"/>
            </w:pPr>
            <w:r/>
            <w:r>
              <w:rPr>
                <w:rFonts w:ascii="Arial" w:hAnsi="Arial"/>
                <w:b w:val="0"/>
                <w:sz w:val="15"/>
              </w:rPr>
              <w:t>List Buyer Audience Groups</w:t>
            </w:r>
          </w:p>
        </w:tc>
      </w:tr>
      <w:tr>
        <w:tc>
          <w:tcPr>
            <w:tcW w:type="dxa" w:w="1152"/>
            <w:vAlign w:val="center"/>
          </w:tcPr>
          <w:p>
            <w:pPr>
              <w:spacing w:after="0"/>
            </w:pPr>
            <w:r/>
            <w:r>
              <w:rPr>
                <w:rFonts w:ascii="Arial" w:hAnsi="Arial"/>
                <w:b w:val="0"/>
                <w:sz w:val="15"/>
              </w:rPr>
              <w:t>GET</w:t>
            </w:r>
          </w:p>
        </w:tc>
        <w:tc>
          <w:tcPr>
            <w:tcW w:type="dxa" w:w="4464"/>
            <w:vAlign w:val="center"/>
          </w:tcPr>
          <w:p>
            <w:pPr>
              <w:spacing w:after="0"/>
            </w:pPr>
            <w:r/>
            <w:r>
              <w:rPr>
                <w:rFonts w:ascii="Arial" w:hAnsi="Arial"/>
                <w:b w:val="0"/>
                <w:sz w:val="15"/>
              </w:rPr>
              <w:t>/v1/audiences/{id}</w:t>
            </w:r>
          </w:p>
        </w:tc>
        <w:tc>
          <w:tcPr>
            <w:tcW w:type="dxa" w:w="4032"/>
            <w:vAlign w:val="center"/>
          </w:tcPr>
          <w:p>
            <w:pPr>
              <w:spacing w:after="0"/>
            </w:pPr>
            <w:r/>
            <w:r>
              <w:rPr>
                <w:rFonts w:ascii="Arial" w:hAnsi="Arial"/>
                <w:b w:val="0"/>
                <w:sz w:val="15"/>
              </w:rPr>
              <w:t>Read Audience Group</w:t>
            </w:r>
          </w:p>
        </w:tc>
      </w:tr>
      <w:tr>
        <w:tc>
          <w:tcPr>
            <w:tcW w:type="dxa" w:w="1152"/>
            <w:vAlign w:val="center"/>
          </w:tcPr>
          <w:p>
            <w:pPr>
              <w:spacing w:after="0"/>
            </w:pPr>
            <w:r/>
            <w:r>
              <w:rPr>
                <w:rFonts w:ascii="Arial" w:hAnsi="Arial"/>
                <w:b w:val="0"/>
                <w:sz w:val="15"/>
              </w:rPr>
              <w:t>POST</w:t>
            </w:r>
          </w:p>
        </w:tc>
        <w:tc>
          <w:tcPr>
            <w:tcW w:type="dxa" w:w="4464"/>
            <w:vAlign w:val="center"/>
          </w:tcPr>
          <w:p>
            <w:pPr>
              <w:spacing w:after="0"/>
            </w:pPr>
            <w:r/>
            <w:r>
              <w:rPr>
                <w:rFonts w:ascii="Arial" w:hAnsi="Arial"/>
                <w:b w:val="0"/>
                <w:sz w:val="15"/>
              </w:rPr>
              <w:t>/v1/audiences/{id}/publish</w:t>
            </w:r>
          </w:p>
        </w:tc>
        <w:tc>
          <w:tcPr>
            <w:tcW w:type="dxa" w:w="4032"/>
            <w:vAlign w:val="center"/>
          </w:tcPr>
          <w:p>
            <w:pPr>
              <w:spacing w:after="0"/>
            </w:pPr>
            <w:r/>
            <w:r>
              <w:rPr>
                <w:rFonts w:ascii="Arial" w:hAnsi="Arial"/>
                <w:b w:val="0"/>
                <w:sz w:val="15"/>
              </w:rPr>
              <w:t>Freeze READY version</w:t>
            </w:r>
          </w:p>
        </w:tc>
      </w:tr>
      <w:tr>
        <w:tc>
          <w:tcPr>
            <w:tcW w:type="dxa" w:w="1152"/>
            <w:vAlign w:val="center"/>
          </w:tcPr>
          <w:p>
            <w:pPr>
              <w:spacing w:after="0"/>
            </w:pPr>
            <w:r/>
            <w:r>
              <w:rPr>
                <w:rFonts w:ascii="Arial" w:hAnsi="Arial"/>
                <w:b w:val="0"/>
                <w:sz w:val="15"/>
              </w:rPr>
              <w:t>GET</w:t>
            </w:r>
          </w:p>
        </w:tc>
        <w:tc>
          <w:tcPr>
            <w:tcW w:type="dxa" w:w="4464"/>
            <w:vAlign w:val="center"/>
          </w:tcPr>
          <w:p>
            <w:pPr>
              <w:spacing w:after="0"/>
            </w:pPr>
            <w:r/>
            <w:r>
              <w:rPr>
                <w:rFonts w:ascii="Arial" w:hAnsi="Arial"/>
                <w:b w:val="0"/>
                <w:sz w:val="15"/>
              </w:rPr>
              <w:t>/v1/audiences/{id}/partner-matches</w:t>
            </w:r>
          </w:p>
        </w:tc>
        <w:tc>
          <w:tcPr>
            <w:tcW w:type="dxa" w:w="4032"/>
            <w:vAlign w:val="center"/>
          </w:tcPr>
          <w:p>
            <w:pPr>
              <w:spacing w:after="0"/>
            </w:pPr>
            <w:r/>
            <w:r>
              <w:rPr>
                <w:rFonts w:ascii="Arial" w:hAnsi="Arial"/>
                <w:b w:val="0"/>
                <w:sz w:val="15"/>
              </w:rPr>
              <w:t>Calculate/list matches</w:t>
            </w:r>
          </w:p>
        </w:tc>
      </w:tr>
      <w:tr>
        <w:tc>
          <w:tcPr>
            <w:tcW w:type="dxa" w:w="1152"/>
            <w:vAlign w:val="center"/>
          </w:tcPr>
          <w:p>
            <w:pPr>
              <w:spacing w:after="0"/>
            </w:pPr>
            <w:r/>
            <w:r>
              <w:rPr>
                <w:rFonts w:ascii="Arial" w:hAnsi="Arial"/>
                <w:b w:val="0"/>
                <w:sz w:val="15"/>
              </w:rPr>
              <w:t>POST</w:t>
            </w:r>
          </w:p>
        </w:tc>
        <w:tc>
          <w:tcPr>
            <w:tcW w:type="dxa" w:w="4464"/>
            <w:vAlign w:val="center"/>
          </w:tcPr>
          <w:p>
            <w:pPr>
              <w:spacing w:after="0"/>
            </w:pPr>
            <w:r/>
            <w:r>
              <w:rPr>
                <w:rFonts w:ascii="Arial" w:hAnsi="Arial"/>
                <w:b w:val="0"/>
                <w:sz w:val="15"/>
              </w:rPr>
              <w:t>/v1/audiences/{id}/reach-estimates</w:t>
            </w:r>
          </w:p>
        </w:tc>
        <w:tc>
          <w:tcPr>
            <w:tcW w:type="dxa" w:w="4032"/>
            <w:vAlign w:val="center"/>
          </w:tcPr>
          <w:p>
            <w:pPr>
              <w:spacing w:after="0"/>
            </w:pPr>
            <w:r/>
            <w:r>
              <w:rPr>
                <w:rFonts w:ascii="Arial" w:hAnsi="Arial"/>
                <w:b w:val="0"/>
                <w:sz w:val="15"/>
              </w:rPr>
              <w:t>Request estimates</w:t>
            </w:r>
          </w:p>
        </w:tc>
      </w:tr>
      <w:tr>
        <w:tc>
          <w:tcPr>
            <w:tcW w:type="dxa" w:w="1152"/>
            <w:vAlign w:val="center"/>
          </w:tcPr>
          <w:p>
            <w:pPr>
              <w:spacing w:after="0"/>
            </w:pPr>
            <w:r/>
            <w:r>
              <w:rPr>
                <w:rFonts w:ascii="Arial" w:hAnsi="Arial"/>
                <w:b w:val="0"/>
                <w:sz w:val="15"/>
              </w:rPr>
              <w:t>GET</w:t>
            </w:r>
          </w:p>
        </w:tc>
        <w:tc>
          <w:tcPr>
            <w:tcW w:type="dxa" w:w="4464"/>
            <w:vAlign w:val="center"/>
          </w:tcPr>
          <w:p>
            <w:pPr>
              <w:spacing w:after="0"/>
            </w:pPr>
            <w:r/>
            <w:r>
              <w:rPr>
                <w:rFonts w:ascii="Arial" w:hAnsi="Arial"/>
                <w:b w:val="0"/>
                <w:sz w:val="15"/>
              </w:rPr>
              <w:t>/v1/audiences/{id}/reach-estimates</w:t>
            </w:r>
          </w:p>
        </w:tc>
        <w:tc>
          <w:tcPr>
            <w:tcW w:type="dxa" w:w="4032"/>
            <w:vAlign w:val="center"/>
          </w:tcPr>
          <w:p>
            <w:pPr>
              <w:spacing w:after="0"/>
            </w:pPr>
            <w:r/>
            <w:r>
              <w:rPr>
                <w:rFonts w:ascii="Arial" w:hAnsi="Arial"/>
                <w:b w:val="0"/>
                <w:sz w:val="15"/>
              </w:rPr>
              <w:t>Read estimate states</w:t>
            </w:r>
          </w:p>
        </w:tc>
      </w:tr>
      <w:tr>
        <w:tc>
          <w:tcPr>
            <w:tcW w:type="dxa" w:w="1152"/>
            <w:vAlign w:val="center"/>
          </w:tcPr>
          <w:p>
            <w:pPr>
              <w:spacing w:after="0"/>
            </w:pPr>
            <w:r/>
            <w:r>
              <w:rPr>
                <w:rFonts w:ascii="Arial" w:hAnsi="Arial"/>
                <w:b w:val="0"/>
                <w:sz w:val="15"/>
              </w:rPr>
              <w:t>PUT</w:t>
            </w:r>
          </w:p>
        </w:tc>
        <w:tc>
          <w:tcPr>
            <w:tcW w:type="dxa" w:w="4464"/>
            <w:vAlign w:val="center"/>
          </w:tcPr>
          <w:p>
            <w:pPr>
              <w:spacing w:after="0"/>
            </w:pPr>
            <w:r/>
            <w:r>
              <w:rPr>
                <w:rFonts w:ascii="Arial" w:hAnsi="Arial"/>
                <w:b w:val="0"/>
                <w:sz w:val="15"/>
              </w:rPr>
              <w:t>/v1/partner/capabilities</w:t>
            </w:r>
          </w:p>
        </w:tc>
        <w:tc>
          <w:tcPr>
            <w:tcW w:type="dxa" w:w="4032"/>
            <w:vAlign w:val="center"/>
          </w:tcPr>
          <w:p>
            <w:pPr>
              <w:spacing w:after="0"/>
            </w:pPr>
            <w:r/>
            <w:r>
              <w:rPr>
                <w:rFonts w:ascii="Arial" w:hAnsi="Arial"/>
                <w:b w:val="0"/>
                <w:sz w:val="15"/>
              </w:rPr>
              <w:t>Publish safe Partner capabilities</w:t>
            </w:r>
          </w:p>
        </w:tc>
      </w:tr>
      <w:tr>
        <w:tc>
          <w:tcPr>
            <w:tcW w:type="dxa" w:w="1152"/>
            <w:vAlign w:val="center"/>
          </w:tcPr>
          <w:p>
            <w:pPr>
              <w:spacing w:after="0"/>
            </w:pPr>
            <w:r/>
            <w:r>
              <w:rPr>
                <w:rFonts w:ascii="Arial" w:hAnsi="Arial"/>
                <w:b w:val="0"/>
                <w:sz w:val="15"/>
              </w:rPr>
              <w:t>POST</w:t>
            </w:r>
          </w:p>
        </w:tc>
        <w:tc>
          <w:tcPr>
            <w:tcW w:type="dxa" w:w="4464"/>
            <w:vAlign w:val="center"/>
          </w:tcPr>
          <w:p>
            <w:pPr>
              <w:spacing w:after="0"/>
            </w:pPr>
            <w:r/>
            <w:r>
              <w:rPr>
                <w:rFonts w:ascii="Arial" w:hAnsi="Arial"/>
                <w:b w:val="0"/>
                <w:sz w:val="15"/>
              </w:rPr>
              <w:t>/v1/campaigns/{id}/audience-link</w:t>
            </w:r>
          </w:p>
        </w:tc>
        <w:tc>
          <w:tcPr>
            <w:tcW w:type="dxa" w:w="4032"/>
            <w:vAlign w:val="center"/>
          </w:tcPr>
          <w:p>
            <w:pPr>
              <w:spacing w:after="0"/>
            </w:pPr>
            <w:r/>
            <w:r>
              <w:rPr>
                <w:rFonts w:ascii="Arial" w:hAnsi="Arial"/>
                <w:b w:val="0"/>
                <w:sz w:val="15"/>
              </w:rPr>
              <w:t>Link Audience Group version</w:t>
            </w:r>
          </w:p>
        </w:tc>
      </w:tr>
      <w:tr>
        <w:tc>
          <w:tcPr>
            <w:tcW w:type="dxa" w:w="1152"/>
            <w:vAlign w:val="center"/>
          </w:tcPr>
          <w:p>
            <w:pPr>
              <w:spacing w:after="0"/>
            </w:pPr>
            <w:r/>
            <w:r>
              <w:rPr>
                <w:rFonts w:ascii="Arial" w:hAnsi="Arial"/>
                <w:b w:val="0"/>
                <w:sz w:val="15"/>
              </w:rPr>
              <w:t>POST</w:t>
            </w:r>
          </w:p>
        </w:tc>
        <w:tc>
          <w:tcPr>
            <w:tcW w:type="dxa" w:w="4464"/>
            <w:vAlign w:val="center"/>
          </w:tcPr>
          <w:p>
            <w:pPr>
              <w:spacing w:after="0"/>
            </w:pPr>
            <w:r/>
            <w:r>
              <w:rPr>
                <w:rFonts w:ascii="Arial" w:hAnsi="Arial"/>
                <w:b w:val="0"/>
                <w:sz w:val="15"/>
              </w:rPr>
              <w:t>/v1/campaigns/{id}/partner-requests</w:t>
            </w:r>
          </w:p>
        </w:tc>
        <w:tc>
          <w:tcPr>
            <w:tcW w:type="dxa" w:w="4032"/>
            <w:vAlign w:val="center"/>
          </w:tcPr>
          <w:p>
            <w:pPr>
              <w:spacing w:after="0"/>
            </w:pPr>
            <w:r/>
            <w:r>
              <w:rPr>
                <w:rFonts w:ascii="Arial" w:hAnsi="Arial"/>
                <w:b w:val="0"/>
                <w:sz w:val="15"/>
              </w:rPr>
              <w:t>Create Partner requests</w:t>
            </w:r>
          </w:p>
        </w:tc>
      </w:tr>
    </w:tbl>
    <w:p/>
    <w:p>
      <w:pPr>
        <w:pStyle w:val="Heading2"/>
      </w:pPr>
      <w:r>
        <w:t>14.1 Create Audience</w:t>
      </w:r>
    </w:p>
    <w:p>
      <w:pPr>
        <w:spacing w:before="40" w:after="80"/>
        <w:ind w:left="216" w:right="115"/>
        <w:shd w:fill="F3F4F6"/>
      </w:pPr>
      <w:r>
        <w:rPr>
          <w:rFonts w:ascii="Courier New" w:hAnsi="Courier New"/>
          <w:sz w:val="14"/>
        </w:rPr>
        <w:t>POST /v1/audiences</w:t>
        <w:br/>
        <w:t>{</w:t>
        <w:br/>
        <w:t xml:space="preserve">  "name":"Urban Shoe Shoppers",</w:t>
        <w:br/>
        <w:t xml:space="preserve">  "description":"Likely footwear buyers",</w:t>
        <w:br/>
        <w:t xml:space="preserve">  "rules":[</w:t>
        <w:br/>
        <w:t xml:space="preserve">    {"attribute":"age","operator":"BETWEEN","value":[18,35],"required":true,"weight":5},</w:t>
        <w:br/>
        <w:t xml:space="preserve">    {"attribute":"online_shopper","operator":"EQ","value":true,"required":true,"weight":5},</w:t>
        <w:br/>
        <w:t xml:space="preserve">    {"attribute":"purchase_category","operator":"IN","value":["FOOTWEAR"],"required":true,"weight":5},</w:t>
        <w:br/>
        <w:t xml:space="preserve">    {"attribute":"payment_method","operator":"IN","value":["UPI","CREDIT_CARD"],"required":false,"weight":2}</w:t>
        <w:br/>
        <w:t xml:space="preserve">  ]</w:t>
        <w:br/>
        <w:t>}</w:t>
        <w:br/>
        <w:br/>
        <w:t>201</w:t>
        <w:br/>
        <w:t>{"id":"aud_100","version":1,"status":"DRAFT"}</w:t>
      </w:r>
    </w:p>
    <w:p>
      <w:pPr>
        <w:pStyle w:val="Heading2"/>
      </w:pPr>
      <w:r>
        <w:t>14.2 Partner match response</w:t>
      </w:r>
    </w:p>
    <w:p>
      <w:pPr>
        <w:spacing w:before="40" w:after="80"/>
        <w:ind w:left="216" w:right="115"/>
        <w:shd w:fill="F3F4F6"/>
      </w:pPr>
      <w:r>
        <w:rPr>
          <w:rFonts w:ascii="Courier New" w:hAnsi="Courier New"/>
          <w:sz w:val="14"/>
        </w:rPr>
        <w:t>{</w:t>
        <w:br/>
        <w:t xml:space="preserve">  "partner_org_id":"org_partner_a",</w:t>
        <w:br/>
        <w:t xml:space="preserve">  "status":"COMPATIBLE",</w:t>
        <w:br/>
        <w:t xml:space="preserve">  "match_score":100,</w:t>
        <w:br/>
        <w:t xml:space="preserve">  "supported_rules":["age","online_shopper","purchase_category","payment_method"],</w:t>
        <w:br/>
        <w:t xml:space="preserve">  "missing_required_rules":[],</w:t>
        <w:br/>
        <w:t xml:space="preserve">  "missing_optional_rules":[],</w:t>
        <w:br/>
        <w:t xml:space="preserve">  "channels":[</w:t>
        <w:br/>
        <w:t xml:space="preserve">    {"channel":"PARTNER_WEB","status":"AVAILABLE"},</w:t>
        <w:br/>
        <w:t xml:space="preserve">    {"channel":"META","status":"CONDITIONAL"}</w:t>
        <w:br/>
        <w:t xml:space="preserve">  ],</w:t>
        <w:br/>
        <w:t xml:space="preserve">  "capability_version":4</w:t>
        <w:br/>
        <w:t>}</w:t>
      </w:r>
    </w:p>
    <w:p>
      <w:pPr>
        <w:pStyle w:val="Heading1"/>
      </w:pPr>
      <w:r>
        <w:t>15. Database / Migration Changes</w:t>
      </w:r>
    </w:p>
    <w:p>
      <w:pPr>
        <w:jc w:val="center"/>
      </w:pPr>
      <w:r>
        <w:drawing>
          <wp:inline xmlns:a="http://schemas.openxmlformats.org/drawingml/2006/main" xmlns:pic="http://schemas.openxmlformats.org/drawingml/2006/picture">
            <wp:extent cx="6217920" cy="2982160"/>
            <wp:docPr id="5" name="Picture 5"/>
            <wp:cNvGraphicFramePr>
              <a:graphicFrameLocks noChangeAspect="1"/>
            </wp:cNvGraphicFramePr>
            <a:graphic>
              <a:graphicData uri="http://schemas.openxmlformats.org/drawingml/2006/picture">
                <pic:pic>
                  <pic:nvPicPr>
                    <pic:cNvPr id="0" name="schema.png"/>
                    <pic:cNvPicPr/>
                  </pic:nvPicPr>
                  <pic:blipFill>
                    <a:blip r:embed="rId13"/>
                    <a:stretch>
                      <a:fillRect/>
                    </a:stretch>
                  </pic:blipFill>
                  <pic:spPr>
                    <a:xfrm>
                      <a:off x="0" y="0"/>
                      <a:ext cx="6217920" cy="2982160"/>
                    </a:xfrm>
                    <a:prstGeom prst="rect"/>
                  </pic:spPr>
                </pic:pic>
              </a:graphicData>
            </a:graphic>
          </wp:inline>
        </w:drawing>
      </w:r>
    </w:p>
    <w:p>
      <w:pPr>
        <w:jc w:val="center"/>
      </w:pPr>
      <w:r>
        <w:rPr>
          <w:i/>
          <w:color w:val="475569"/>
          <w:sz w:val="15"/>
        </w:rPr>
        <w:t>Figure 5. Central model additions for Buyer-defined audiences.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64E63"/>
          </w:tcPr>
          <w:p>
            <w:pPr>
              <w:spacing w:after="0"/>
            </w:pPr>
            <w:r/>
            <w:r>
              <w:rPr>
                <w:rFonts w:ascii="Arial" w:hAnsi="Arial"/>
                <w:b/>
                <w:color w:val="FFFFFF"/>
                <w:sz w:val="16"/>
              </w:rPr>
              <w:t>Table</w:t>
            </w:r>
          </w:p>
        </w:tc>
        <w:tc>
          <w:tcPr>
            <w:tcW w:type="dxa" w:w="6768"/>
            <w:vAlign w:val="center"/>
            <w:shd w:fill="164E63"/>
          </w:tcPr>
          <w:p>
            <w:pPr>
              <w:spacing w:after="0"/>
            </w:pPr>
            <w:r/>
            <w:r>
              <w:rPr>
                <w:rFonts w:ascii="Arial" w:hAnsi="Arial"/>
                <w:b/>
                <w:color w:val="FFFFFF"/>
                <w:sz w:val="16"/>
              </w:rPr>
              <w:t>Important fields</w:t>
            </w:r>
          </w:p>
        </w:tc>
      </w:tr>
      <w:tr>
        <w:tc>
          <w:tcPr>
            <w:tcW w:type="dxa" w:w="2880"/>
            <w:vAlign w:val="center"/>
          </w:tcPr>
          <w:p>
            <w:pPr>
              <w:spacing w:after="0"/>
            </w:pPr>
            <w:r/>
            <w:r>
              <w:rPr>
                <w:rFonts w:ascii="Arial" w:hAnsi="Arial"/>
                <w:b w:val="0"/>
                <w:sz w:val="15"/>
              </w:rPr>
              <w:t>attribute_definitions</w:t>
            </w:r>
          </w:p>
        </w:tc>
        <w:tc>
          <w:tcPr>
            <w:tcW w:type="dxa" w:w="6768"/>
            <w:vAlign w:val="center"/>
          </w:tcPr>
          <w:p>
            <w:pPr>
              <w:spacing w:after="0"/>
            </w:pPr>
            <w:r/>
            <w:r>
              <w:rPr>
                <w:rFonts w:ascii="Arial" w:hAnsi="Arial"/>
                <w:b w:val="0"/>
                <w:sz w:val="15"/>
              </w:rPr>
              <w:t>key, display_name, category, data_type, operators_json, allowed_values_json, policy_class, version</w:t>
            </w:r>
          </w:p>
        </w:tc>
      </w:tr>
      <w:tr>
        <w:tc>
          <w:tcPr>
            <w:tcW w:type="dxa" w:w="2880"/>
            <w:vAlign w:val="center"/>
          </w:tcPr>
          <w:p>
            <w:pPr>
              <w:spacing w:after="0"/>
            </w:pPr>
            <w:r/>
            <w:r>
              <w:rPr>
                <w:rFonts w:ascii="Arial" w:hAnsi="Arial"/>
                <w:b w:val="0"/>
                <w:sz w:val="15"/>
              </w:rPr>
              <w:t>partner_capabilities</w:t>
            </w:r>
          </w:p>
        </w:tc>
        <w:tc>
          <w:tcPr>
            <w:tcW w:type="dxa" w:w="6768"/>
            <w:vAlign w:val="center"/>
          </w:tcPr>
          <w:p>
            <w:pPr>
              <w:spacing w:after="0"/>
            </w:pPr>
            <w:r/>
            <w:r>
              <w:rPr>
                <w:rFonts w:ascii="Arial" w:hAnsi="Arial"/>
                <w:b w:val="0"/>
                <w:sz w:val="15"/>
              </w:rPr>
              <w:t>partner_org_id, capability_version, attributes_json, geographies_json, channels_json, status</w:t>
            </w:r>
          </w:p>
        </w:tc>
      </w:tr>
      <w:tr>
        <w:tc>
          <w:tcPr>
            <w:tcW w:type="dxa" w:w="2880"/>
            <w:vAlign w:val="center"/>
          </w:tcPr>
          <w:p>
            <w:pPr>
              <w:spacing w:after="0"/>
            </w:pPr>
            <w:r/>
            <w:r>
              <w:rPr>
                <w:rFonts w:ascii="Arial" w:hAnsi="Arial"/>
                <w:b w:val="0"/>
                <w:sz w:val="15"/>
              </w:rPr>
              <w:t>audience_groups</w:t>
            </w:r>
          </w:p>
        </w:tc>
        <w:tc>
          <w:tcPr>
            <w:tcW w:type="dxa" w:w="6768"/>
            <w:vAlign w:val="center"/>
          </w:tcPr>
          <w:p>
            <w:pPr>
              <w:spacing w:after="0"/>
            </w:pPr>
            <w:r/>
            <w:r>
              <w:rPr>
                <w:rFonts w:ascii="Arial" w:hAnsi="Arial"/>
                <w:b w:val="0"/>
                <w:sz w:val="15"/>
              </w:rPr>
              <w:t>id, buyer_org_id, name, description, status, current_version, created_by</w:t>
            </w:r>
          </w:p>
        </w:tc>
      </w:tr>
      <w:tr>
        <w:tc>
          <w:tcPr>
            <w:tcW w:type="dxa" w:w="2880"/>
            <w:vAlign w:val="center"/>
          </w:tcPr>
          <w:p>
            <w:pPr>
              <w:spacing w:after="0"/>
            </w:pPr>
            <w:r/>
            <w:r>
              <w:rPr>
                <w:rFonts w:ascii="Arial" w:hAnsi="Arial"/>
                <w:b w:val="0"/>
                <w:sz w:val="15"/>
              </w:rPr>
              <w:t>audience_group_versions</w:t>
            </w:r>
          </w:p>
        </w:tc>
        <w:tc>
          <w:tcPr>
            <w:tcW w:type="dxa" w:w="6768"/>
            <w:vAlign w:val="center"/>
          </w:tcPr>
          <w:p>
            <w:pPr>
              <w:spacing w:after="0"/>
            </w:pPr>
            <w:r/>
            <w:r>
              <w:rPr>
                <w:rFonts w:ascii="Arial" w:hAnsi="Arial"/>
                <w:b w:val="0"/>
                <w:sz w:val="15"/>
              </w:rPr>
              <w:t>audience_group_id, version, rules_json, rule_hash, status</w:t>
            </w:r>
          </w:p>
        </w:tc>
      </w:tr>
      <w:tr>
        <w:tc>
          <w:tcPr>
            <w:tcW w:type="dxa" w:w="2880"/>
            <w:vAlign w:val="center"/>
          </w:tcPr>
          <w:p>
            <w:pPr>
              <w:spacing w:after="0"/>
            </w:pPr>
            <w:r/>
            <w:r>
              <w:rPr>
                <w:rFonts w:ascii="Arial" w:hAnsi="Arial"/>
                <w:b w:val="0"/>
                <w:sz w:val="15"/>
              </w:rPr>
              <w:t>partner_match_snapshots</w:t>
            </w:r>
          </w:p>
        </w:tc>
        <w:tc>
          <w:tcPr>
            <w:tcW w:type="dxa" w:w="6768"/>
            <w:vAlign w:val="center"/>
          </w:tcPr>
          <w:p>
            <w:pPr>
              <w:spacing w:after="0"/>
            </w:pPr>
            <w:r/>
            <w:r>
              <w:rPr>
                <w:rFonts w:ascii="Arial" w:hAnsi="Arial"/>
                <w:b w:val="0"/>
                <w:sz w:val="15"/>
              </w:rPr>
              <w:t>audience_group_id, version, partner_org_id, capability_version, match_score, supported/missing JSON</w:t>
            </w:r>
          </w:p>
        </w:tc>
      </w:tr>
      <w:tr>
        <w:tc>
          <w:tcPr>
            <w:tcW w:type="dxa" w:w="2880"/>
            <w:vAlign w:val="center"/>
          </w:tcPr>
          <w:p>
            <w:pPr>
              <w:spacing w:after="0"/>
            </w:pPr>
            <w:r/>
            <w:r>
              <w:rPr>
                <w:rFonts w:ascii="Arial" w:hAnsi="Arial"/>
                <w:b w:val="0"/>
                <w:sz w:val="15"/>
              </w:rPr>
              <w:t>reach_estimates</w:t>
            </w:r>
          </w:p>
        </w:tc>
        <w:tc>
          <w:tcPr>
            <w:tcW w:type="dxa" w:w="6768"/>
            <w:vAlign w:val="center"/>
          </w:tcPr>
          <w:p>
            <w:pPr>
              <w:spacing w:after="0"/>
            </w:pPr>
            <w:r/>
            <w:r>
              <w:rPr>
                <w:rFonts w:ascii="Arial" w:hAnsi="Arial"/>
                <w:b w:val="0"/>
                <w:sz w:val="15"/>
              </w:rPr>
              <w:t>id, audience_group_id/version, partner_org_id, status, reach_bucket, freshness, rule_hash, mapping_version</w:t>
            </w:r>
          </w:p>
        </w:tc>
      </w:tr>
      <w:tr>
        <w:tc>
          <w:tcPr>
            <w:tcW w:type="dxa" w:w="2880"/>
            <w:vAlign w:val="center"/>
          </w:tcPr>
          <w:p>
            <w:pPr>
              <w:spacing w:after="0"/>
            </w:pPr>
            <w:r/>
            <w:r>
              <w:rPr>
                <w:rFonts w:ascii="Arial" w:hAnsi="Arial"/>
                <w:b w:val="0"/>
                <w:sz w:val="15"/>
              </w:rPr>
              <w:t>campaign_audience_links</w:t>
            </w:r>
          </w:p>
        </w:tc>
        <w:tc>
          <w:tcPr>
            <w:tcW w:type="dxa" w:w="6768"/>
            <w:vAlign w:val="center"/>
          </w:tcPr>
          <w:p>
            <w:pPr>
              <w:spacing w:after="0"/>
            </w:pPr>
            <w:r/>
            <w:r>
              <w:rPr>
                <w:rFonts w:ascii="Arial" w:hAnsi="Arial"/>
                <w:b w:val="0"/>
                <w:sz w:val="15"/>
              </w:rPr>
              <w:t>campaign_id, audience_group_id, audience_version</w:t>
            </w:r>
          </w:p>
        </w:tc>
      </w:tr>
      <w:tr>
        <w:tc>
          <w:tcPr>
            <w:tcW w:type="dxa" w:w="2880"/>
            <w:vAlign w:val="center"/>
          </w:tcPr>
          <w:p>
            <w:pPr>
              <w:spacing w:after="0"/>
            </w:pPr>
            <w:r/>
            <w:r>
              <w:rPr>
                <w:rFonts w:ascii="Arial" w:hAnsi="Arial"/>
                <w:b w:val="0"/>
                <w:sz w:val="15"/>
              </w:rPr>
              <w:t>partner_requests</w:t>
            </w:r>
          </w:p>
        </w:tc>
        <w:tc>
          <w:tcPr>
            <w:tcW w:type="dxa" w:w="6768"/>
            <w:vAlign w:val="center"/>
          </w:tcPr>
          <w:p>
            <w:pPr>
              <w:spacing w:after="0"/>
            </w:pPr>
            <w:r/>
            <w:r>
              <w:rPr>
                <w:rFonts w:ascii="Arial" w:hAnsi="Arial"/>
                <w:b w:val="0"/>
                <w:sz w:val="15"/>
              </w:rPr>
              <w:t>add audience_group_id, audience_version, audience_rule_hash, reach_estimate_id</w:t>
            </w:r>
          </w:p>
        </w:tc>
      </w:tr>
    </w:tbl>
    <w:p/>
    <w:p>
      <w:pPr>
        <w:pStyle w:val="Heading2"/>
      </w:pPr>
      <w:r>
        <w:t>15.1 Representative migration</w:t>
      </w:r>
    </w:p>
    <w:p>
      <w:pPr>
        <w:spacing w:before="40" w:after="80"/>
        <w:ind w:left="216" w:right="115"/>
        <w:shd w:fill="F3F4F6"/>
      </w:pPr>
      <w:r>
        <w:rPr>
          <w:rFonts w:ascii="Courier New" w:hAnsi="Courier New"/>
          <w:sz w:val="14"/>
        </w:rPr>
        <w:t>CREATE TABLE audience_groups (</w:t>
        <w:br/>
        <w:t xml:space="preserve">  id UUID PRIMARY KEY,</w:t>
        <w:br/>
        <w:t xml:space="preserve">  buyer_org_id UUID NOT NULL REFERENCES organizations(id),</w:t>
        <w:br/>
        <w:t xml:space="preserve">  name VARCHAR(120) NOT NULL,</w:t>
        <w:br/>
        <w:t xml:space="preserve">  description TEXT,</w:t>
        <w:br/>
        <w:t xml:space="preserve">  status VARCHAR(24) NOT NULL DEFAULT 'DRAFT',</w:t>
        <w:br/>
        <w:t xml:space="preserve">  current_version INTEGER NOT NULL DEFAULT 1,</w:t>
        <w:br/>
        <w:t xml:space="preserve">  created_by UUID NOT NULL REFERENCES users(id),</w:t>
        <w:br/>
        <w:t xml:space="preserve">  created_at TIMESTAMPTZ NOT NULL DEFAULT NOW(),</w:t>
        <w:br/>
        <w:t xml:space="preserve">  updated_at TIMESTAMPTZ NOT NULL DEFAULT NOW()</w:t>
        <w:br/>
        <w:t>);</w:t>
        <w:br/>
        <w:br/>
        <w:t>CREATE TABLE audience_group_versions (</w:t>
        <w:br/>
        <w:t xml:space="preserve">  audience_group_id UUID NOT NULL REFERENCES audience_groups(id),</w:t>
        <w:br/>
        <w:t xml:space="preserve">  version INTEGER NOT NULL,</w:t>
        <w:br/>
        <w:t xml:space="preserve">  rules_json JSONB NOT NULL,</w:t>
        <w:br/>
        <w:t xml:space="preserve">  rule_hash CHAR(64) NOT NULL,</w:t>
        <w:br/>
        <w:t xml:space="preserve">  status VARCHAR(24) NOT NULL,</w:t>
        <w:br/>
        <w:t xml:space="preserve">  created_at TIMESTAMPTZ NOT NULL DEFAULT NOW(),</w:t>
        <w:br/>
        <w:t xml:space="preserve">  PRIMARY KEY (audience_group_id, version)</w:t>
        <w:br/>
        <w:t>);</w:t>
      </w:r>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Keep existing prebuilt segments</w:t>
            </w:r>
          </w:p>
          <w:p>
            <w:r>
              <w:rPr>
                <w:rFonts w:ascii="Arial" w:hAnsi="Arial"/>
                <w:sz w:val="17"/>
              </w:rPr>
              <w:t>Do not delete the current segment model immediately. Treat it as optional PREBUILT_SEGMENT supply for Partners that already have CDP audiences. The v6 Audience Builder becomes the primary Buyer flow.</w:t>
            </w:r>
          </w:p>
        </w:tc>
      </w:tr>
    </w:tbl>
    <w:p/>
    <w:p>
      <w:pPr>
        <w:pStyle w:val="Heading1"/>
      </w:pPr>
      <w:r>
        <w:t>16. States and Versioning</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64E63"/>
          </w:tcPr>
          <w:p>
            <w:pPr>
              <w:spacing w:after="0"/>
            </w:pPr>
            <w:r/>
            <w:r>
              <w:rPr>
                <w:rFonts w:ascii="Arial" w:hAnsi="Arial"/>
                <w:b/>
                <w:color w:val="FFFFFF"/>
                <w:sz w:val="16"/>
              </w:rPr>
              <w:t>Object</w:t>
            </w:r>
          </w:p>
        </w:tc>
        <w:tc>
          <w:tcPr>
            <w:tcW w:type="dxa" w:w="6480"/>
            <w:vAlign w:val="center"/>
            <w:shd w:fill="164E63"/>
          </w:tcPr>
          <w:p>
            <w:pPr>
              <w:spacing w:after="0"/>
            </w:pPr>
            <w:r/>
            <w:r>
              <w:rPr>
                <w:rFonts w:ascii="Arial" w:hAnsi="Arial"/>
                <w:b/>
                <w:color w:val="FFFFFF"/>
                <w:sz w:val="16"/>
              </w:rPr>
              <w:t>States</w:t>
            </w:r>
          </w:p>
        </w:tc>
      </w:tr>
      <w:tr>
        <w:tc>
          <w:tcPr>
            <w:tcW w:type="dxa" w:w="3168"/>
            <w:vAlign w:val="center"/>
          </w:tcPr>
          <w:p>
            <w:pPr>
              <w:spacing w:after="0"/>
            </w:pPr>
            <w:r/>
            <w:r>
              <w:rPr>
                <w:rFonts w:ascii="Arial" w:hAnsi="Arial"/>
                <w:b w:val="0"/>
                <w:sz w:val="15"/>
              </w:rPr>
              <w:t>AudienceGroup</w:t>
            </w:r>
          </w:p>
        </w:tc>
        <w:tc>
          <w:tcPr>
            <w:tcW w:type="dxa" w:w="6480"/>
            <w:vAlign w:val="center"/>
          </w:tcPr>
          <w:p>
            <w:pPr>
              <w:spacing w:after="0"/>
            </w:pPr>
            <w:r/>
            <w:r>
              <w:rPr>
                <w:rFonts w:ascii="Arial" w:hAnsi="Arial"/>
                <w:b w:val="0"/>
                <w:sz w:val="15"/>
              </w:rPr>
              <w:t>DRAFT, READY, ARCHIVED</w:t>
            </w:r>
          </w:p>
        </w:tc>
      </w:tr>
      <w:tr>
        <w:tc>
          <w:tcPr>
            <w:tcW w:type="dxa" w:w="3168"/>
            <w:vAlign w:val="center"/>
          </w:tcPr>
          <w:p>
            <w:pPr>
              <w:spacing w:after="0"/>
            </w:pPr>
            <w:r/>
            <w:r>
              <w:rPr>
                <w:rFonts w:ascii="Arial" w:hAnsi="Arial"/>
                <w:b w:val="0"/>
                <w:sz w:val="15"/>
              </w:rPr>
              <w:t>AudienceVersion</w:t>
            </w:r>
          </w:p>
        </w:tc>
        <w:tc>
          <w:tcPr>
            <w:tcW w:type="dxa" w:w="6480"/>
            <w:vAlign w:val="center"/>
          </w:tcPr>
          <w:p>
            <w:pPr>
              <w:spacing w:after="0"/>
            </w:pPr>
            <w:r/>
            <w:r>
              <w:rPr>
                <w:rFonts w:ascii="Arial" w:hAnsi="Arial"/>
                <w:b w:val="0"/>
                <w:sz w:val="15"/>
              </w:rPr>
              <w:t>DRAFT, READY, SUPERSEDED</w:t>
            </w:r>
          </w:p>
        </w:tc>
      </w:tr>
      <w:tr>
        <w:tc>
          <w:tcPr>
            <w:tcW w:type="dxa" w:w="3168"/>
            <w:vAlign w:val="center"/>
          </w:tcPr>
          <w:p>
            <w:pPr>
              <w:spacing w:after="0"/>
            </w:pPr>
            <w:r/>
            <w:r>
              <w:rPr>
                <w:rFonts w:ascii="Arial" w:hAnsi="Arial"/>
                <w:b w:val="0"/>
                <w:sz w:val="15"/>
              </w:rPr>
              <w:t>PartnerMatch</w:t>
            </w:r>
          </w:p>
        </w:tc>
        <w:tc>
          <w:tcPr>
            <w:tcW w:type="dxa" w:w="6480"/>
            <w:vAlign w:val="center"/>
          </w:tcPr>
          <w:p>
            <w:pPr>
              <w:spacing w:after="0"/>
            </w:pPr>
            <w:r/>
            <w:r>
              <w:rPr>
                <w:rFonts w:ascii="Arial" w:hAnsi="Arial"/>
                <w:b w:val="0"/>
                <w:sz w:val="15"/>
              </w:rPr>
              <w:t>COMPATIBLE, INCOMPATIBLE</w:t>
            </w:r>
          </w:p>
        </w:tc>
      </w:tr>
      <w:tr>
        <w:tc>
          <w:tcPr>
            <w:tcW w:type="dxa" w:w="3168"/>
            <w:vAlign w:val="center"/>
          </w:tcPr>
          <w:p>
            <w:pPr>
              <w:spacing w:after="0"/>
            </w:pPr>
            <w:r/>
            <w:r>
              <w:rPr>
                <w:rFonts w:ascii="Arial" w:hAnsi="Arial"/>
                <w:b w:val="0"/>
                <w:sz w:val="15"/>
              </w:rPr>
              <w:t>ReachEstimate</w:t>
            </w:r>
          </w:p>
        </w:tc>
        <w:tc>
          <w:tcPr>
            <w:tcW w:type="dxa" w:w="6480"/>
            <w:vAlign w:val="center"/>
          </w:tcPr>
          <w:p>
            <w:pPr>
              <w:spacing w:after="0"/>
            </w:pPr>
            <w:r/>
            <w:r>
              <w:rPr>
                <w:rFonts w:ascii="Arial" w:hAnsi="Arial"/>
                <w:b w:val="0"/>
                <w:sz w:val="15"/>
              </w:rPr>
              <w:t>REQUESTED, PROCESSING, READY, BELOW_THRESHOLD, UNAVAILABLE, FAILED, EXPIRED</w:t>
            </w:r>
          </w:p>
        </w:tc>
      </w:tr>
      <w:tr>
        <w:tc>
          <w:tcPr>
            <w:tcW w:type="dxa" w:w="3168"/>
            <w:vAlign w:val="center"/>
          </w:tcPr>
          <w:p>
            <w:pPr>
              <w:spacing w:after="0"/>
            </w:pPr>
            <w:r/>
            <w:r>
              <w:rPr>
                <w:rFonts w:ascii="Arial" w:hAnsi="Arial"/>
                <w:b w:val="0"/>
                <w:sz w:val="15"/>
              </w:rPr>
              <w:t>PartnerRequest</w:t>
            </w:r>
          </w:p>
        </w:tc>
        <w:tc>
          <w:tcPr>
            <w:tcW w:type="dxa" w:w="6480"/>
            <w:vAlign w:val="center"/>
          </w:tcPr>
          <w:p>
            <w:pPr>
              <w:spacing w:after="0"/>
            </w:pPr>
            <w:r/>
            <w:r>
              <w:rPr>
                <w:rFonts w:ascii="Arial" w:hAnsi="Arial"/>
                <w:b w:val="0"/>
                <w:sz w:val="15"/>
              </w:rPr>
              <w:t>DRAFT, PARTNER_REVIEW, CHANGE_REQUESTED, APPROVED, REJECTED, EXPIRED, REVOKED</w:t>
            </w:r>
          </w:p>
        </w:tc>
      </w:tr>
      <w:tr>
        <w:tc>
          <w:tcPr>
            <w:tcW w:type="dxa" w:w="3168"/>
            <w:vAlign w:val="center"/>
          </w:tcPr>
          <w:p>
            <w:pPr>
              <w:spacing w:after="0"/>
            </w:pPr>
            <w:r/>
            <w:r>
              <w:rPr>
                <w:rFonts w:ascii="Arial" w:hAnsi="Arial"/>
                <w:b w:val="0"/>
                <w:sz w:val="15"/>
              </w:rPr>
              <w:t>AudienceMaterialization local</w:t>
            </w:r>
          </w:p>
        </w:tc>
        <w:tc>
          <w:tcPr>
            <w:tcW w:type="dxa" w:w="6480"/>
            <w:vAlign w:val="center"/>
          </w:tcPr>
          <w:p>
            <w:pPr>
              <w:spacing w:after="0"/>
            </w:pPr>
            <w:r/>
            <w:r>
              <w:rPr>
                <w:rFonts w:ascii="Arial" w:hAnsi="Arial"/>
                <w:b w:val="0"/>
                <w:sz w:val="15"/>
              </w:rPr>
              <w:t>NOT_STARTED, BUILDING, READY, STALE, FAILED, REMOVED</w:t>
            </w:r>
          </w:p>
        </w:tc>
      </w:tr>
      <w:tr>
        <w:tc>
          <w:tcPr>
            <w:tcW w:type="dxa" w:w="3168"/>
            <w:vAlign w:val="center"/>
          </w:tcPr>
          <w:p>
            <w:pPr>
              <w:spacing w:after="0"/>
            </w:pPr>
            <w:r/>
            <w:r>
              <w:rPr>
                <w:rFonts w:ascii="Arial" w:hAnsi="Arial"/>
                <w:b w:val="0"/>
                <w:sz w:val="15"/>
              </w:rPr>
              <w:t>Activation</w:t>
            </w:r>
          </w:p>
        </w:tc>
        <w:tc>
          <w:tcPr>
            <w:tcW w:type="dxa" w:w="6480"/>
            <w:vAlign w:val="center"/>
          </w:tcPr>
          <w:p>
            <w:pPr>
              <w:spacing w:after="0"/>
            </w:pPr>
            <w:r/>
            <w:r>
              <w:rPr>
                <w:rFonts w:ascii="Arial" w:hAnsi="Arial"/>
                <w:b w:val="0"/>
                <w:sz w:val="15"/>
              </w:rPr>
              <w:t>PENDING_CHANNEL_CHECK, READY, SYNCING, LIVE, PAUSED, FAILED, ENDING, ENDED</w:t>
            </w:r>
          </w:p>
        </w:tc>
      </w:tr>
    </w:tbl>
    <w:p/>
    <w:p>
      <w:pPr>
        <w:pStyle w:val="ListBullet"/>
        <w:spacing w:after="40"/>
      </w:pPr>
      <w:r>
        <w:t>Editing a READY Audience Group creates a new version; live campaigns stay on their approved version.</w:t>
      </w:r>
    </w:p>
    <w:p>
      <w:pPr>
        <w:pStyle w:val="ListBullet"/>
        <w:spacing w:after="40"/>
      </w:pPr>
      <w:r>
        <w:t>Reach estimate is valid only for audience_version + rule_hash + Partner capability/mapping version.</w:t>
      </w:r>
    </w:p>
    <w:p>
      <w:pPr>
        <w:pStyle w:val="ListBullet"/>
        <w:spacing w:after="40"/>
      </w:pPr>
      <w:r>
        <w:t>Partner approval is invalidated by changes to audience version, creative, channel/placement, budget or purpose.</w:t>
      </w:r>
    </w:p>
    <w:p>
      <w:pPr>
        <w:pStyle w:val="Heading1"/>
      </w:pPr>
      <w:r>
        <w:t>17. Privacy, Anti-Differencing and Policy Controls</w:t>
      </w:r>
    </w:p>
    <w:p>
      <w:pPr>
        <w:pStyle w:val="ListBullet"/>
        <w:spacing w:after="40"/>
      </w:pPr>
      <w:r>
        <w:t>Oolix stores audience rules and Partner capability metadata, not Partner customer records or Partner local field names.</w:t>
      </w:r>
    </w:p>
    <w:p>
      <w:pPr>
        <w:pStyle w:val="ListBullet"/>
        <w:spacing w:after="40"/>
      </w:pPr>
      <w:r>
        <w:t>Exact audience counts remain local; Buyer sees reach buckets only.</w:t>
      </w:r>
    </w:p>
    <w:p>
      <w:pPr>
        <w:pStyle w:val="ListBullet"/>
        <w:spacing w:after="40"/>
      </w:pPr>
      <w:r>
        <w:t>Minimum cohort size applies before a reach bucket is returned.</w:t>
      </w:r>
    </w:p>
    <w:p>
      <w:pPr>
        <w:pStyle w:val="ListBullet"/>
        <w:spacing w:after="40"/>
      </w:pPr>
      <w:r>
        <w:t>Repeated estimate requests for same audience/Partner/version are cached and rate-limited.</w:t>
      </w:r>
    </w:p>
    <w:p>
      <w:pPr>
        <w:pStyle w:val="ListBullet"/>
        <w:spacing w:after="40"/>
      </w:pPr>
      <w:r>
        <w:t>Do not allow arbitrary SQL, JavaScript or regex rules.</w:t>
      </w:r>
    </w:p>
    <w:p>
      <w:pPr>
        <w:pStyle w:val="ListBullet"/>
        <w:spacing w:after="40"/>
      </w:pPr>
      <w:r>
        <w:t>Allowed fields/operators come from versioned AttributeDefinitions.</w:t>
      </w:r>
    </w:p>
    <w:p>
      <w:pPr>
        <w:pStyle w:val="ListBullet"/>
        <w:spacing w:after="40"/>
      </w:pPr>
      <w:r>
        <w:t>Partner may block attributes, Buyers, categories, purposes or channels.</w:t>
      </w:r>
    </w:p>
    <w:p>
      <w:pPr>
        <w:pStyle w:val="ListBullet"/>
        <w:spacing w:after="40"/>
      </w:pPr>
      <w:r>
        <w:t>Consent/purpose eligibility is re-checked locally during materialization and serving.</w:t>
      </w:r>
    </w:p>
    <w:p>
      <w:pPr>
        <w:pStyle w:val="ListBullet"/>
        <w:spacing w:after="40"/>
      </w:pPr>
      <w:r>
        <w:t>External platform targeting/data-use restrictions still apply even if Partner can evaluate the attribute.</w:t>
      </w:r>
    </w:p>
    <w:p>
      <w:pPr>
        <w:pStyle w:val="Heading1"/>
      </w:pPr>
      <w:r>
        <w:t>18. Buyer and Partner UI Changes</w:t>
      </w:r>
    </w:p>
    <w:p>
      <w:pPr>
        <w:pStyle w:val="Heading2"/>
      </w:pPr>
      <w:r>
        <w:t>18.1 Buyer</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64E63"/>
          </w:tcPr>
          <w:p>
            <w:pPr>
              <w:spacing w:after="0"/>
            </w:pPr>
            <w:r/>
            <w:r>
              <w:rPr>
                <w:rFonts w:ascii="Arial" w:hAnsi="Arial"/>
                <w:b/>
                <w:color w:val="FFFFFF"/>
                <w:sz w:val="16"/>
              </w:rPr>
              <w:t>Current</w:t>
            </w:r>
          </w:p>
        </w:tc>
        <w:tc>
          <w:tcPr>
            <w:tcW w:type="dxa" w:w="5328"/>
            <w:vAlign w:val="center"/>
            <w:shd w:fill="164E63"/>
          </w:tcPr>
          <w:p>
            <w:pPr>
              <w:spacing w:after="0"/>
            </w:pPr>
            <w:r/>
            <w:r>
              <w:rPr>
                <w:rFonts w:ascii="Arial" w:hAnsi="Arial"/>
                <w:b/>
                <w:color w:val="FFFFFF"/>
                <w:sz w:val="16"/>
              </w:rPr>
              <w:t>Change</w:t>
            </w:r>
          </w:p>
        </w:tc>
      </w:tr>
      <w:tr>
        <w:tc>
          <w:tcPr>
            <w:tcW w:type="dxa" w:w="4320"/>
            <w:vAlign w:val="center"/>
          </w:tcPr>
          <w:p>
            <w:pPr>
              <w:spacing w:after="0"/>
            </w:pPr>
            <w:r/>
            <w:r>
              <w:rPr>
                <w:rFonts w:ascii="Arial" w:hAnsi="Arial"/>
                <w:b w:val="0"/>
                <w:sz w:val="15"/>
              </w:rPr>
              <w:t>Audience Discovery route</w:t>
            </w:r>
          </w:p>
        </w:tc>
        <w:tc>
          <w:tcPr>
            <w:tcW w:type="dxa" w:w="5328"/>
            <w:vAlign w:val="center"/>
          </w:tcPr>
          <w:p>
            <w:pPr>
              <w:spacing w:after="0"/>
            </w:pPr>
            <w:r/>
            <w:r>
              <w:rPr>
                <w:rFonts w:ascii="Arial" w:hAnsi="Arial"/>
                <w:b w:val="0"/>
                <w:sz w:val="15"/>
              </w:rPr>
              <w:t>Replace primary route with Audiences / Audience Groups.</w:t>
            </w:r>
          </w:p>
        </w:tc>
      </w:tr>
      <w:tr>
        <w:tc>
          <w:tcPr>
            <w:tcW w:type="dxa" w:w="4320"/>
            <w:vAlign w:val="center"/>
          </w:tcPr>
          <w:p>
            <w:pPr>
              <w:spacing w:after="0"/>
            </w:pPr>
            <w:r/>
            <w:r>
              <w:rPr>
                <w:rFonts w:ascii="Arial" w:hAnsi="Arial"/>
                <w:b w:val="0"/>
                <w:sz w:val="15"/>
              </w:rPr>
              <w:t>Search Partner segments first</w:t>
            </w:r>
          </w:p>
        </w:tc>
        <w:tc>
          <w:tcPr>
            <w:tcW w:type="dxa" w:w="5328"/>
            <w:vAlign w:val="center"/>
          </w:tcPr>
          <w:p>
            <w:pPr>
              <w:spacing w:after="0"/>
            </w:pPr>
            <w:r/>
            <w:r>
              <w:rPr>
                <w:rFonts w:ascii="Arial" w:hAnsi="Arial"/>
                <w:b w:val="0"/>
                <w:sz w:val="15"/>
              </w:rPr>
              <w:t>Create audience rules first, then find Partners.</w:t>
            </w:r>
          </w:p>
        </w:tc>
      </w:tr>
      <w:tr>
        <w:tc>
          <w:tcPr>
            <w:tcW w:type="dxa" w:w="4320"/>
            <w:vAlign w:val="center"/>
          </w:tcPr>
          <w:p>
            <w:pPr>
              <w:spacing w:after="0"/>
            </w:pPr>
            <w:r/>
            <w:r>
              <w:rPr>
                <w:rFonts w:ascii="Arial" w:hAnsi="Arial"/>
                <w:b w:val="0"/>
                <w:sz w:val="15"/>
              </w:rPr>
              <w:t>Segment cards</w:t>
            </w:r>
          </w:p>
        </w:tc>
        <w:tc>
          <w:tcPr>
            <w:tcW w:type="dxa" w:w="5328"/>
            <w:vAlign w:val="center"/>
          </w:tcPr>
          <w:p>
            <w:pPr>
              <w:spacing w:after="0"/>
            </w:pPr>
            <w:r/>
            <w:r>
              <w:rPr>
                <w:rFonts w:ascii="Arial" w:hAnsi="Arial"/>
                <w:b w:val="0"/>
                <w:sz w:val="15"/>
              </w:rPr>
              <w:t>Partner-match cards with supported/missing fields and estimate status.</w:t>
            </w:r>
          </w:p>
        </w:tc>
      </w:tr>
      <w:tr>
        <w:tc>
          <w:tcPr>
            <w:tcW w:type="dxa" w:w="4320"/>
            <w:vAlign w:val="center"/>
          </w:tcPr>
          <w:p>
            <w:pPr>
              <w:spacing w:after="0"/>
            </w:pPr>
            <w:r/>
            <w:r>
              <w:rPr>
                <w:rFonts w:ascii="Arial" w:hAnsi="Arial"/>
                <w:b w:val="0"/>
                <w:sz w:val="15"/>
              </w:rPr>
              <w:t>Campaign Step 3 Audience Discovery</w:t>
            </w:r>
          </w:p>
        </w:tc>
        <w:tc>
          <w:tcPr>
            <w:tcW w:type="dxa" w:w="5328"/>
            <w:vAlign w:val="center"/>
          </w:tcPr>
          <w:p>
            <w:pPr>
              <w:spacing w:after="0"/>
            </w:pPr>
            <w:r/>
            <w:r>
              <w:rPr>
                <w:rFonts w:ascii="Arial" w:hAnsi="Arial"/>
                <w:b w:val="0"/>
                <w:sz w:val="15"/>
              </w:rPr>
              <w:t>Change to choose/create Audience Group.</w:t>
            </w:r>
          </w:p>
        </w:tc>
      </w:tr>
    </w:tbl>
    <w:p/>
    <w:p>
      <w:pPr>
        <w:pStyle w:val="ListBullet"/>
        <w:spacing w:after="40"/>
      </w:pPr>
      <w:r>
        <w:t>Audience list: name, status, rule summary, compatible Partner count, linked campaigns.</w:t>
      </w:r>
    </w:p>
    <w:p>
      <w:pPr>
        <w:pStyle w:val="ListBullet"/>
        <w:spacing w:after="40"/>
      </w:pPr>
      <w:r>
        <w:t>Audience Builder: attribute/operator/value/required/optional/weight.</w:t>
      </w:r>
    </w:p>
    <w:p>
      <w:pPr>
        <w:pStyle w:val="ListBullet"/>
        <w:spacing w:after="40"/>
      </w:pPr>
      <w:r>
        <w:t>Partner Matches: compatible first, incompatible below, missing optional rules, channels, Request Estimate.</w:t>
      </w:r>
    </w:p>
    <w:p>
      <w:pPr>
        <w:pStyle w:val="ListBullet"/>
        <w:spacing w:after="40"/>
      </w:pPr>
      <w:r>
        <w:t>Audience Detail: versions, rule hash, estimates and linked campaigns.</w:t>
      </w:r>
    </w:p>
    <w:p>
      <w:pPr>
        <w:pStyle w:val="Heading2"/>
      </w:pPr>
      <w:r>
        <w:t>18.2 Data Partner</w:t>
      </w:r>
    </w:p>
    <w:p>
      <w:pPr>
        <w:pStyle w:val="ListBullet"/>
        <w:spacing w:after="40"/>
      </w:pPr>
      <w:r>
        <w:t>Capabilities page: standardized attributes the Partner can evaluate.</w:t>
      </w:r>
    </w:p>
    <w:p>
      <w:pPr>
        <w:pStyle w:val="ListBullet"/>
        <w:spacing w:after="40"/>
      </w:pPr>
      <w:r>
        <w:t>Local mapping health: mapping version, connector health, freshness - no Buyer access to field names.</w:t>
      </w:r>
    </w:p>
    <w:p>
      <w:pPr>
        <w:pStyle w:val="ListBullet"/>
        <w:spacing w:after="40"/>
      </w:pPr>
      <w:r>
        <w:t>Campaign Request: audience rule, field coverage, safe reach, campaign terms and approval actions.</w:t>
      </w:r>
    </w:p>
    <w:p>
      <w:pPr>
        <w:pStyle w:val="ListBullet"/>
        <w:spacing w:after="40"/>
      </w:pPr>
      <w:r>
        <w:t>Activation page: local materialization freshness/version, delivery, payout and kill switch.</w:t>
      </w:r>
    </w:p>
    <w:p>
      <w:pPr>
        <w:pStyle w:val="Heading1"/>
      </w:pPr>
      <w:r>
        <w:t>19. Migration From Current Implementation</w:t>
      </w:r>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Do not discard working modules</w:t>
            </w:r>
          </w:p>
          <w:p>
            <w:r>
              <w:rPr>
                <w:rFonts w:ascii="Arial" w:hAnsi="Arial"/>
                <w:sz w:val="17"/>
              </w:rPr>
              <w:t>Current dashboard, campaign basics, creative, lead definition, reporting, billing, RBAC and most approval infrastructure remain valid. The main rewrite is Audience -&gt; Partner Matching -&gt; local materialization.</w:t>
            </w:r>
          </w:p>
        </w:tc>
      </w:tr>
    </w:tbl>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64E63"/>
          </w:tcPr>
          <w:p>
            <w:pPr>
              <w:spacing w:after="0"/>
            </w:pPr>
            <w:r/>
            <w:r>
              <w:rPr>
                <w:rFonts w:ascii="Arial" w:hAnsi="Arial"/>
                <w:b/>
                <w:color w:val="FFFFFF"/>
                <w:sz w:val="16"/>
              </w:rPr>
              <w:t>Current implementation</w:t>
            </w:r>
          </w:p>
        </w:tc>
        <w:tc>
          <w:tcPr>
            <w:tcW w:type="dxa" w:w="5328"/>
            <w:vAlign w:val="center"/>
            <w:shd w:fill="164E63"/>
          </w:tcPr>
          <w:p>
            <w:pPr>
              <w:spacing w:after="0"/>
            </w:pPr>
            <w:r/>
            <w:r>
              <w:rPr>
                <w:rFonts w:ascii="Arial" w:hAnsi="Arial"/>
                <w:b/>
                <w:color w:val="FFFFFF"/>
                <w:sz w:val="16"/>
              </w:rPr>
              <w:t>Developer action</w:t>
            </w:r>
          </w:p>
        </w:tc>
      </w:tr>
      <w:tr>
        <w:tc>
          <w:tcPr>
            <w:tcW w:type="dxa" w:w="4320"/>
            <w:vAlign w:val="center"/>
          </w:tcPr>
          <w:p>
            <w:pPr>
              <w:spacing w:after="0"/>
            </w:pPr>
            <w:r/>
            <w:r>
              <w:rPr>
                <w:rFonts w:ascii="Arial" w:hAnsi="Arial"/>
                <w:b w:val="0"/>
                <w:sz w:val="15"/>
              </w:rPr>
              <w:t>/discover</w:t>
            </w:r>
          </w:p>
        </w:tc>
        <w:tc>
          <w:tcPr>
            <w:tcW w:type="dxa" w:w="5328"/>
            <w:vAlign w:val="center"/>
          </w:tcPr>
          <w:p>
            <w:pPr>
              <w:spacing w:after="0"/>
            </w:pPr>
            <w:r/>
            <w:r>
              <w:rPr>
                <w:rFonts w:ascii="Arial" w:hAnsi="Arial"/>
                <w:b w:val="0"/>
                <w:sz w:val="15"/>
              </w:rPr>
              <w:t>Replace with /audiences; temporary redirect is fine.</w:t>
            </w:r>
          </w:p>
        </w:tc>
      </w:tr>
      <w:tr>
        <w:tc>
          <w:tcPr>
            <w:tcW w:type="dxa" w:w="4320"/>
            <w:vAlign w:val="center"/>
          </w:tcPr>
          <w:p>
            <w:pPr>
              <w:spacing w:after="0"/>
            </w:pPr>
            <w:r/>
            <w:r>
              <w:rPr>
                <w:rFonts w:ascii="Arial" w:hAnsi="Arial"/>
                <w:b w:val="0"/>
                <w:sz w:val="15"/>
              </w:rPr>
              <w:t>Partner segment catalogue</w:t>
            </w:r>
          </w:p>
        </w:tc>
        <w:tc>
          <w:tcPr>
            <w:tcW w:type="dxa" w:w="5328"/>
            <w:vAlign w:val="center"/>
          </w:tcPr>
          <w:p>
            <w:pPr>
              <w:spacing w:after="0"/>
            </w:pPr>
            <w:r/>
            <w:r>
              <w:rPr>
                <w:rFonts w:ascii="Arial" w:hAnsi="Arial"/>
                <w:b w:val="0"/>
                <w:sz w:val="15"/>
              </w:rPr>
              <w:t>Keep as optional legacy/prebuilt supply.</w:t>
            </w:r>
          </w:p>
        </w:tc>
      </w:tr>
      <w:tr>
        <w:tc>
          <w:tcPr>
            <w:tcW w:type="dxa" w:w="4320"/>
            <w:vAlign w:val="center"/>
          </w:tcPr>
          <w:p>
            <w:pPr>
              <w:spacing w:after="0"/>
            </w:pPr>
            <w:r/>
            <w:r>
              <w:rPr>
                <w:rFonts w:ascii="Arial" w:hAnsi="Arial"/>
                <w:b w:val="0"/>
                <w:sz w:val="15"/>
              </w:rPr>
              <w:t>Campaign Step 3</w:t>
            </w:r>
          </w:p>
        </w:tc>
        <w:tc>
          <w:tcPr>
            <w:tcW w:type="dxa" w:w="5328"/>
            <w:vAlign w:val="center"/>
          </w:tcPr>
          <w:p>
            <w:pPr>
              <w:spacing w:after="0"/>
            </w:pPr>
            <w:r/>
            <w:r>
              <w:rPr>
                <w:rFonts w:ascii="Arial" w:hAnsi="Arial"/>
                <w:b w:val="0"/>
                <w:sz w:val="15"/>
              </w:rPr>
              <w:t>Choose/create Audience Group.</w:t>
            </w:r>
          </w:p>
        </w:tc>
      </w:tr>
      <w:tr>
        <w:tc>
          <w:tcPr>
            <w:tcW w:type="dxa" w:w="4320"/>
            <w:vAlign w:val="center"/>
          </w:tcPr>
          <w:p>
            <w:pPr>
              <w:spacing w:after="0"/>
            </w:pPr>
            <w:r/>
            <w:r>
              <w:rPr>
                <w:rFonts w:ascii="Arial" w:hAnsi="Arial"/>
                <w:b w:val="0"/>
                <w:sz w:val="15"/>
              </w:rPr>
              <w:t>Partner selection</w:t>
            </w:r>
          </w:p>
        </w:tc>
        <w:tc>
          <w:tcPr>
            <w:tcW w:type="dxa" w:w="5328"/>
            <w:vAlign w:val="center"/>
          </w:tcPr>
          <w:p>
            <w:pPr>
              <w:spacing w:after="0"/>
            </w:pPr>
            <w:r/>
            <w:r>
              <w:rPr>
                <w:rFonts w:ascii="Arial" w:hAnsi="Arial"/>
                <w:b w:val="0"/>
                <w:sz w:val="15"/>
              </w:rPr>
              <w:t>Drive from PartnerMatchSnapshot.</w:t>
            </w:r>
          </w:p>
        </w:tc>
      </w:tr>
      <w:tr>
        <w:tc>
          <w:tcPr>
            <w:tcW w:type="dxa" w:w="4320"/>
            <w:vAlign w:val="center"/>
          </w:tcPr>
          <w:p>
            <w:pPr>
              <w:spacing w:after="0"/>
            </w:pPr>
            <w:r/>
            <w:r>
              <w:rPr>
                <w:rFonts w:ascii="Arial" w:hAnsi="Arial"/>
                <w:b w:val="0"/>
                <w:sz w:val="15"/>
              </w:rPr>
              <w:t>partner_requests.segment_id</w:t>
            </w:r>
          </w:p>
        </w:tc>
        <w:tc>
          <w:tcPr>
            <w:tcW w:type="dxa" w:w="5328"/>
            <w:vAlign w:val="center"/>
          </w:tcPr>
          <w:p>
            <w:pPr>
              <w:spacing w:after="0"/>
            </w:pPr>
            <w:r/>
            <w:r>
              <w:rPr>
                <w:rFonts w:ascii="Arial" w:hAnsi="Arial"/>
                <w:b w:val="0"/>
                <w:sz w:val="15"/>
              </w:rPr>
              <w:t>Make legacy/nullable; add audience_group_id/version/rule_hash.</w:t>
            </w:r>
          </w:p>
        </w:tc>
      </w:tr>
      <w:tr>
        <w:tc>
          <w:tcPr>
            <w:tcW w:type="dxa" w:w="4320"/>
            <w:vAlign w:val="center"/>
          </w:tcPr>
          <w:p>
            <w:pPr>
              <w:spacing w:after="0"/>
            </w:pPr>
            <w:r/>
            <w:r>
              <w:rPr>
                <w:rFonts w:ascii="Arial" w:hAnsi="Arial"/>
                <w:b w:val="0"/>
                <w:sz w:val="15"/>
              </w:rPr>
              <w:t>Agent segment lookup</w:t>
            </w:r>
          </w:p>
        </w:tc>
        <w:tc>
          <w:tcPr>
            <w:tcW w:type="dxa" w:w="5328"/>
            <w:vAlign w:val="center"/>
          </w:tcPr>
          <w:p>
            <w:pPr>
              <w:spacing w:after="0"/>
            </w:pPr>
            <w:r/>
            <w:r>
              <w:rPr>
                <w:rFonts w:ascii="Arial" w:hAnsi="Arial"/>
                <w:b w:val="0"/>
                <w:sz w:val="15"/>
              </w:rPr>
              <w:t>Add rule compile/materialization; keep fast runtime membership lookup.</w:t>
            </w:r>
          </w:p>
        </w:tc>
      </w:tr>
      <w:tr>
        <w:tc>
          <w:tcPr>
            <w:tcW w:type="dxa" w:w="4320"/>
            <w:vAlign w:val="center"/>
          </w:tcPr>
          <w:p>
            <w:pPr>
              <w:spacing w:after="0"/>
            </w:pPr>
            <w:r/>
            <w:r>
              <w:rPr>
                <w:rFonts w:ascii="Arial" w:hAnsi="Arial"/>
                <w:b w:val="0"/>
                <w:sz w:val="15"/>
              </w:rPr>
              <w:t>Reach buckets</w:t>
            </w:r>
          </w:p>
        </w:tc>
        <w:tc>
          <w:tcPr>
            <w:tcW w:type="dxa" w:w="5328"/>
            <w:vAlign w:val="center"/>
          </w:tcPr>
          <w:p>
            <w:pPr>
              <w:spacing w:after="0"/>
            </w:pPr>
            <w:r/>
            <w:r>
              <w:rPr>
                <w:rFonts w:ascii="Arial" w:hAnsi="Arial"/>
                <w:b w:val="0"/>
                <w:sz w:val="15"/>
              </w:rPr>
              <w:t>Reuse existing bucket/minimum-cohort controls.</w:t>
            </w:r>
          </w:p>
        </w:tc>
      </w:tr>
      <w:tr>
        <w:tc>
          <w:tcPr>
            <w:tcW w:type="dxa" w:w="4320"/>
            <w:vAlign w:val="center"/>
          </w:tcPr>
          <w:p>
            <w:pPr>
              <w:spacing w:after="0"/>
            </w:pPr>
            <w:r/>
            <w:r>
              <w:rPr>
                <w:rFonts w:ascii="Arial" w:hAnsi="Arial"/>
                <w:b w:val="0"/>
                <w:sz w:val="15"/>
              </w:rPr>
              <w:t>Signed manifests</w:t>
            </w:r>
          </w:p>
        </w:tc>
        <w:tc>
          <w:tcPr>
            <w:tcW w:type="dxa" w:w="5328"/>
            <w:vAlign w:val="center"/>
          </w:tcPr>
          <w:p>
            <w:pPr>
              <w:spacing w:after="0"/>
            </w:pPr>
            <w:r/>
            <w:r>
              <w:rPr>
                <w:rFonts w:ascii="Arial" w:hAnsi="Arial"/>
                <w:b w:val="0"/>
                <w:sz w:val="15"/>
              </w:rPr>
              <w:t>Add audience IDs/version/rule hash/capability/mapping version.</w:t>
            </w:r>
          </w:p>
        </w:tc>
      </w:tr>
      <w:tr>
        <w:tc>
          <w:tcPr>
            <w:tcW w:type="dxa" w:w="4320"/>
            <w:vAlign w:val="center"/>
          </w:tcPr>
          <w:p>
            <w:pPr>
              <w:spacing w:after="0"/>
            </w:pPr>
            <w:r/>
            <w:r>
              <w:rPr>
                <w:rFonts w:ascii="Arial" w:hAnsi="Arial"/>
                <w:b w:val="0"/>
                <w:sz w:val="15"/>
              </w:rPr>
              <w:t>Meta/Google</w:t>
            </w:r>
          </w:p>
        </w:tc>
        <w:tc>
          <w:tcPr>
            <w:tcW w:type="dxa" w:w="5328"/>
            <w:vAlign w:val="center"/>
          </w:tcPr>
          <w:p>
            <w:pPr>
              <w:spacing w:after="0"/>
            </w:pPr>
            <w:r/>
            <w:r>
              <w:rPr>
                <w:rFonts w:ascii="Arial" w:hAnsi="Arial"/>
                <w:b w:val="0"/>
                <w:sz w:val="15"/>
              </w:rPr>
              <w:t>Use locally materialized approved Audience Group.</w:t>
            </w:r>
          </w:p>
        </w:tc>
      </w:tr>
    </w:tbl>
    <w:p/>
    <w:p>
      <w:pPr>
        <w:spacing w:before="40" w:after="80"/>
        <w:ind w:left="216" w:right="115"/>
        <w:shd w:fill="F3F4F6"/>
      </w:pPr>
      <w:r>
        <w:rPr>
          <w:rFonts w:ascii="Courier New" w:hAnsi="Courier New"/>
          <w:sz w:val="14"/>
        </w:rPr>
        <w:t>Migration compatibility:</w:t>
        <w:br/>
        <w:t>targeting_source = AUDIENCE_GROUP | PREBUILT_SEGMENT</w:t>
        <w:br/>
        <w:br/>
        <w:t>New Buyer UI defaults to AUDIENCE_GROUP.</w:t>
        <w:br/>
        <w:t>PREBUILT_SEGMENT remains optional for existing Partner integrations.</w:t>
      </w:r>
    </w:p>
    <w:p>
      <w:pPr>
        <w:pStyle w:val="Heading1"/>
      </w:pPr>
      <w:r>
        <w:t>20. MVP Acceptance Criteria</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64E63"/>
          </w:tcPr>
          <w:p>
            <w:pPr>
              <w:spacing w:after="0"/>
            </w:pPr>
            <w:r/>
            <w:r>
              <w:rPr>
                <w:rFonts w:ascii="Arial" w:hAnsi="Arial"/>
                <w:b/>
                <w:color w:val="FFFFFF"/>
                <w:sz w:val="16"/>
              </w:rPr>
              <w:t>Area</w:t>
            </w:r>
          </w:p>
        </w:tc>
        <w:tc>
          <w:tcPr>
            <w:tcW w:type="dxa" w:w="6768"/>
            <w:vAlign w:val="center"/>
            <w:shd w:fill="164E63"/>
          </w:tcPr>
          <w:p>
            <w:pPr>
              <w:spacing w:after="0"/>
            </w:pPr>
            <w:r/>
            <w:r>
              <w:rPr>
                <w:rFonts w:ascii="Arial" w:hAnsi="Arial"/>
                <w:b/>
                <w:color w:val="FFFFFF"/>
                <w:sz w:val="16"/>
              </w:rPr>
              <w:t>Pass condition</w:t>
            </w:r>
          </w:p>
        </w:tc>
      </w:tr>
      <w:tr>
        <w:tc>
          <w:tcPr>
            <w:tcW w:type="dxa" w:w="2880"/>
            <w:vAlign w:val="center"/>
          </w:tcPr>
          <w:p>
            <w:pPr>
              <w:spacing w:after="0"/>
            </w:pPr>
            <w:r/>
            <w:r>
              <w:rPr>
                <w:rFonts w:ascii="Arial" w:hAnsi="Arial"/>
                <w:b w:val="0"/>
                <w:sz w:val="15"/>
              </w:rPr>
              <w:t>Audience Builder</w:t>
            </w:r>
          </w:p>
        </w:tc>
        <w:tc>
          <w:tcPr>
            <w:tcW w:type="dxa" w:w="6768"/>
            <w:vAlign w:val="center"/>
          </w:tcPr>
          <w:p>
            <w:pPr>
              <w:spacing w:after="0"/>
            </w:pPr>
            <w:r/>
            <w:r>
              <w:rPr>
                <w:rFonts w:ascii="Arial" w:hAnsi="Arial"/>
                <w:b w:val="0"/>
                <w:sz w:val="15"/>
              </w:rPr>
              <w:t>Buyer creates versioned audience with &gt;=4 rules and REQUIRED/OPTIONAL semantics.</w:t>
            </w:r>
          </w:p>
        </w:tc>
      </w:tr>
      <w:tr>
        <w:tc>
          <w:tcPr>
            <w:tcW w:type="dxa" w:w="2880"/>
            <w:vAlign w:val="center"/>
          </w:tcPr>
          <w:p>
            <w:pPr>
              <w:spacing w:after="0"/>
            </w:pPr>
            <w:r/>
            <w:r>
              <w:rPr>
                <w:rFonts w:ascii="Arial" w:hAnsi="Arial"/>
                <w:b w:val="0"/>
                <w:sz w:val="15"/>
              </w:rPr>
              <w:t>Capability match</w:t>
            </w:r>
          </w:p>
        </w:tc>
        <w:tc>
          <w:tcPr>
            <w:tcW w:type="dxa" w:w="6768"/>
            <w:vAlign w:val="center"/>
          </w:tcPr>
          <w:p>
            <w:pPr>
              <w:spacing w:after="0"/>
            </w:pPr>
            <w:r/>
            <w:r>
              <w:rPr>
                <w:rFonts w:ascii="Arial" w:hAnsi="Arial"/>
                <w:b w:val="0"/>
                <w:sz w:val="15"/>
              </w:rPr>
              <w:t>Missing required rule =&gt; INCOMPATIBLE; missing optional only lowers score.</w:t>
            </w:r>
          </w:p>
        </w:tc>
      </w:tr>
      <w:tr>
        <w:tc>
          <w:tcPr>
            <w:tcW w:type="dxa" w:w="2880"/>
            <w:vAlign w:val="center"/>
          </w:tcPr>
          <w:p>
            <w:pPr>
              <w:spacing w:after="0"/>
            </w:pPr>
            <w:r/>
            <w:r>
              <w:rPr>
                <w:rFonts w:ascii="Arial" w:hAnsi="Arial"/>
                <w:b w:val="0"/>
                <w:sz w:val="15"/>
              </w:rPr>
              <w:t>Privacy</w:t>
            </w:r>
          </w:p>
        </w:tc>
        <w:tc>
          <w:tcPr>
            <w:tcW w:type="dxa" w:w="6768"/>
            <w:vAlign w:val="center"/>
          </w:tcPr>
          <w:p>
            <w:pPr>
              <w:spacing w:after="0"/>
            </w:pPr>
            <w:r/>
            <w:r>
              <w:rPr>
                <w:rFonts w:ascii="Arial" w:hAnsi="Arial"/>
                <w:b w:val="0"/>
                <w:sz w:val="15"/>
              </w:rPr>
              <w:t>No customer rows, internal Partner field names or exact reach count enter Oolix.</w:t>
            </w:r>
          </w:p>
        </w:tc>
      </w:tr>
      <w:tr>
        <w:tc>
          <w:tcPr>
            <w:tcW w:type="dxa" w:w="2880"/>
            <w:vAlign w:val="center"/>
          </w:tcPr>
          <w:p>
            <w:pPr>
              <w:spacing w:after="0"/>
            </w:pPr>
            <w:r/>
            <w:r>
              <w:rPr>
                <w:rFonts w:ascii="Arial" w:hAnsi="Arial"/>
                <w:b w:val="0"/>
                <w:sz w:val="15"/>
              </w:rPr>
              <w:t>Reach estimate</w:t>
            </w:r>
          </w:p>
        </w:tc>
        <w:tc>
          <w:tcPr>
            <w:tcW w:type="dxa" w:w="6768"/>
            <w:vAlign w:val="center"/>
          </w:tcPr>
          <w:p>
            <w:pPr>
              <w:spacing w:after="0"/>
            </w:pPr>
            <w:r/>
            <w:r>
              <w:rPr>
                <w:rFonts w:ascii="Arial" w:hAnsi="Arial"/>
                <w:b w:val="0"/>
                <w:sz w:val="15"/>
              </w:rPr>
              <w:t>Selected Partner Agent evaluates locally and returns bucket/BELOW_THRESHOLD.</w:t>
            </w:r>
          </w:p>
        </w:tc>
      </w:tr>
      <w:tr>
        <w:tc>
          <w:tcPr>
            <w:tcW w:type="dxa" w:w="2880"/>
            <w:vAlign w:val="center"/>
          </w:tcPr>
          <w:p>
            <w:pPr>
              <w:spacing w:after="0"/>
            </w:pPr>
            <w:r/>
            <w:r>
              <w:rPr>
                <w:rFonts w:ascii="Arial" w:hAnsi="Arial"/>
                <w:b w:val="0"/>
                <w:sz w:val="15"/>
              </w:rPr>
              <w:t>Campaign link</w:t>
            </w:r>
          </w:p>
        </w:tc>
        <w:tc>
          <w:tcPr>
            <w:tcW w:type="dxa" w:w="6768"/>
            <w:vAlign w:val="center"/>
          </w:tcPr>
          <w:p>
            <w:pPr>
              <w:spacing w:after="0"/>
            </w:pPr>
            <w:r/>
            <w:r>
              <w:rPr>
                <w:rFonts w:ascii="Arial" w:hAnsi="Arial"/>
                <w:b w:val="0"/>
                <w:sz w:val="15"/>
              </w:rPr>
              <w:t>Campaign binds to one audience version and rule hash.</w:t>
            </w:r>
          </w:p>
        </w:tc>
      </w:tr>
      <w:tr>
        <w:tc>
          <w:tcPr>
            <w:tcW w:type="dxa" w:w="2880"/>
            <w:vAlign w:val="center"/>
          </w:tcPr>
          <w:p>
            <w:pPr>
              <w:spacing w:after="0"/>
            </w:pPr>
            <w:r/>
            <w:r>
              <w:rPr>
                <w:rFonts w:ascii="Arial" w:hAnsi="Arial"/>
                <w:b w:val="0"/>
                <w:sz w:val="15"/>
              </w:rPr>
              <w:t>Partner review</w:t>
            </w:r>
          </w:p>
        </w:tc>
        <w:tc>
          <w:tcPr>
            <w:tcW w:type="dxa" w:w="6768"/>
            <w:vAlign w:val="center"/>
          </w:tcPr>
          <w:p>
            <w:pPr>
              <w:spacing w:after="0"/>
            </w:pPr>
            <w:r/>
            <w:r>
              <w:rPr>
                <w:rFonts w:ascii="Arial" w:hAnsi="Arial"/>
                <w:b w:val="0"/>
                <w:sz w:val="15"/>
              </w:rPr>
              <w:t>Partner sees complete rule, field coverage, safe reach and campaign terms.</w:t>
            </w:r>
          </w:p>
        </w:tc>
      </w:tr>
      <w:tr>
        <w:tc>
          <w:tcPr>
            <w:tcW w:type="dxa" w:w="2880"/>
            <w:vAlign w:val="center"/>
          </w:tcPr>
          <w:p>
            <w:pPr>
              <w:spacing w:after="0"/>
            </w:pPr>
            <w:r/>
            <w:r>
              <w:rPr>
                <w:rFonts w:ascii="Arial" w:hAnsi="Arial"/>
                <w:b w:val="0"/>
                <w:sz w:val="15"/>
              </w:rPr>
              <w:t>Materialization</w:t>
            </w:r>
          </w:p>
        </w:tc>
        <w:tc>
          <w:tcPr>
            <w:tcW w:type="dxa" w:w="6768"/>
            <w:vAlign w:val="center"/>
          </w:tcPr>
          <w:p>
            <w:pPr>
              <w:spacing w:after="0"/>
            </w:pPr>
            <w:r/>
            <w:r>
              <w:rPr>
                <w:rFonts w:ascii="Arial" w:hAnsi="Arial"/>
                <w:b w:val="0"/>
                <w:sz w:val="15"/>
              </w:rPr>
              <w:t>Approved rule materializes locally; runtime uses membership lookup.</w:t>
            </w:r>
          </w:p>
        </w:tc>
      </w:tr>
      <w:tr>
        <w:tc>
          <w:tcPr>
            <w:tcW w:type="dxa" w:w="2880"/>
            <w:vAlign w:val="center"/>
          </w:tcPr>
          <w:p>
            <w:pPr>
              <w:spacing w:after="0"/>
            </w:pPr>
            <w:r/>
            <w:r>
              <w:rPr>
                <w:rFonts w:ascii="Arial" w:hAnsi="Arial"/>
                <w:b w:val="0"/>
                <w:sz w:val="15"/>
              </w:rPr>
              <w:t>Owned media</w:t>
            </w:r>
          </w:p>
        </w:tc>
        <w:tc>
          <w:tcPr>
            <w:tcW w:type="dxa" w:w="6768"/>
            <w:vAlign w:val="center"/>
          </w:tcPr>
          <w:p>
            <w:pPr>
              <w:spacing w:after="0"/>
            </w:pPr>
            <w:r/>
            <w:r>
              <w:rPr>
                <w:rFonts w:ascii="Arial" w:hAnsi="Arial"/>
                <w:b w:val="0"/>
                <w:sz w:val="15"/>
              </w:rPr>
              <w:t>Eligible local user sees ad; ineligible user gets NO_AD.</w:t>
            </w:r>
          </w:p>
        </w:tc>
      </w:tr>
      <w:tr>
        <w:tc>
          <w:tcPr>
            <w:tcW w:type="dxa" w:w="2880"/>
            <w:vAlign w:val="center"/>
          </w:tcPr>
          <w:p>
            <w:pPr>
              <w:spacing w:after="0"/>
            </w:pPr>
            <w:r/>
            <w:r>
              <w:rPr>
                <w:rFonts w:ascii="Arial" w:hAnsi="Arial"/>
                <w:b w:val="0"/>
                <w:sz w:val="15"/>
              </w:rPr>
              <w:t>Multi-Partner</w:t>
            </w:r>
          </w:p>
        </w:tc>
        <w:tc>
          <w:tcPr>
            <w:tcW w:type="dxa" w:w="6768"/>
            <w:vAlign w:val="center"/>
          </w:tcPr>
          <w:p>
            <w:pPr>
              <w:spacing w:after="0"/>
            </w:pPr>
            <w:r/>
            <w:r>
              <w:rPr>
                <w:rFonts w:ascii="Arial" w:hAnsi="Arial"/>
                <w:b w:val="0"/>
                <w:sz w:val="15"/>
              </w:rPr>
              <w:t>Same Audience Group works across &gt;=2 independent Partners with different capabilities/reach.</w:t>
            </w:r>
          </w:p>
        </w:tc>
      </w:tr>
      <w:tr>
        <w:tc>
          <w:tcPr>
            <w:tcW w:type="dxa" w:w="2880"/>
            <w:vAlign w:val="center"/>
          </w:tcPr>
          <w:p>
            <w:pPr>
              <w:spacing w:after="0"/>
            </w:pPr>
            <w:r/>
            <w:r>
              <w:rPr>
                <w:rFonts w:ascii="Arial" w:hAnsi="Arial"/>
                <w:b w:val="0"/>
                <w:sz w:val="15"/>
              </w:rPr>
              <w:t>External</w:t>
            </w:r>
          </w:p>
        </w:tc>
        <w:tc>
          <w:tcPr>
            <w:tcW w:type="dxa" w:w="6768"/>
            <w:vAlign w:val="center"/>
          </w:tcPr>
          <w:p>
            <w:pPr>
              <w:spacing w:after="0"/>
            </w:pPr>
            <w:r/>
            <w:r>
              <w:rPr>
                <w:rFonts w:ascii="Arial" w:hAnsi="Arial"/>
                <w:b w:val="0"/>
                <w:sz w:val="15"/>
              </w:rPr>
              <w:t>Meta/Google cannot run before approval, eligibility and local materialization.</w:t>
            </w:r>
          </w:p>
        </w:tc>
      </w:tr>
      <w:tr>
        <w:tc>
          <w:tcPr>
            <w:tcW w:type="dxa" w:w="2880"/>
            <w:vAlign w:val="center"/>
          </w:tcPr>
          <w:p>
            <w:pPr>
              <w:spacing w:after="0"/>
            </w:pPr>
            <w:r/>
            <w:r>
              <w:rPr>
                <w:rFonts w:ascii="Arial" w:hAnsi="Arial"/>
                <w:b w:val="0"/>
                <w:sz w:val="15"/>
              </w:rPr>
              <w:t>Revocation</w:t>
            </w:r>
          </w:p>
        </w:tc>
        <w:tc>
          <w:tcPr>
            <w:tcW w:type="dxa" w:w="6768"/>
            <w:vAlign w:val="center"/>
          </w:tcPr>
          <w:p>
            <w:pPr>
              <w:spacing w:after="0"/>
            </w:pPr>
            <w:r/>
            <w:r>
              <w:rPr>
                <w:rFonts w:ascii="Arial" w:hAnsi="Arial"/>
                <w:b w:val="0"/>
                <w:sz w:val="15"/>
              </w:rPr>
              <w:t>Partner revoke stops local serving and prevents further audience use.</w:t>
            </w:r>
          </w:p>
        </w:tc>
      </w:tr>
    </w:tbl>
    <w:p/>
    <w:p>
      <w:pPr>
        <w:pStyle w:val="Heading1"/>
      </w:pPr>
      <w:r>
        <w:t>21. Recommended Developer Sprint Change Plan</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64E63"/>
          </w:tcPr>
          <w:p>
            <w:pPr>
              <w:spacing w:after="0"/>
            </w:pPr>
            <w:r/>
            <w:r>
              <w:rPr>
                <w:rFonts w:ascii="Arial" w:hAnsi="Arial"/>
                <w:b/>
                <w:color w:val="FFFFFF"/>
                <w:sz w:val="16"/>
              </w:rPr>
              <w:t>Sprint</w:t>
            </w:r>
          </w:p>
        </w:tc>
        <w:tc>
          <w:tcPr>
            <w:tcW w:type="dxa" w:w="6048"/>
            <w:vAlign w:val="center"/>
            <w:shd w:fill="164E63"/>
          </w:tcPr>
          <w:p>
            <w:pPr>
              <w:spacing w:after="0"/>
            </w:pPr>
            <w:r/>
            <w:r>
              <w:rPr>
                <w:rFonts w:ascii="Arial" w:hAnsi="Arial"/>
                <w:b/>
                <w:color w:val="FFFFFF"/>
                <w:sz w:val="16"/>
              </w:rPr>
              <w:t>Build work</w:t>
            </w:r>
          </w:p>
        </w:tc>
        <w:tc>
          <w:tcPr>
            <w:tcW w:type="dxa" w:w="2448"/>
            <w:vAlign w:val="center"/>
            <w:shd w:fill="164E63"/>
          </w:tcPr>
          <w:p>
            <w:pPr>
              <w:spacing w:after="0"/>
            </w:pPr>
            <w:r/>
            <w:r>
              <w:rPr>
                <w:rFonts w:ascii="Arial" w:hAnsi="Arial"/>
                <w:b/>
                <w:color w:val="FFFFFF"/>
                <w:sz w:val="16"/>
              </w:rPr>
              <w:t>Checkpoint</w:t>
            </w:r>
          </w:p>
        </w:tc>
      </w:tr>
      <w:tr>
        <w:tc>
          <w:tcPr>
            <w:tcW w:type="dxa" w:w="1440"/>
            <w:vAlign w:val="center"/>
          </w:tcPr>
          <w:p>
            <w:pPr>
              <w:spacing w:after="0"/>
            </w:pPr>
            <w:r/>
            <w:r>
              <w:rPr>
                <w:rFonts w:ascii="Arial" w:hAnsi="Arial"/>
                <w:b w:val="0"/>
                <w:sz w:val="15"/>
              </w:rPr>
              <w:t>V6-1</w:t>
            </w:r>
          </w:p>
        </w:tc>
        <w:tc>
          <w:tcPr>
            <w:tcW w:type="dxa" w:w="6048"/>
            <w:vAlign w:val="center"/>
          </w:tcPr>
          <w:p>
            <w:pPr>
              <w:spacing w:after="0"/>
            </w:pPr>
            <w:r/>
            <w:r>
              <w:rPr>
                <w:rFonts w:ascii="Arial" w:hAnsi="Arial"/>
                <w:b w:val="0"/>
                <w:sz w:val="15"/>
              </w:rPr>
              <w:t>Taxonomy + AudienceGroup/version DB + seed attributes.</w:t>
            </w:r>
          </w:p>
        </w:tc>
        <w:tc>
          <w:tcPr>
            <w:tcW w:type="dxa" w:w="2448"/>
            <w:vAlign w:val="center"/>
          </w:tcPr>
          <w:p>
            <w:pPr>
              <w:spacing w:after="0"/>
            </w:pPr>
            <w:r/>
            <w:r>
              <w:rPr>
                <w:rFonts w:ascii="Arial" w:hAnsi="Arial"/>
                <w:b w:val="0"/>
                <w:sz w:val="15"/>
              </w:rPr>
              <w:t>Create/read versioned Shoe audience.</w:t>
            </w:r>
          </w:p>
        </w:tc>
      </w:tr>
      <w:tr>
        <w:tc>
          <w:tcPr>
            <w:tcW w:type="dxa" w:w="1440"/>
            <w:vAlign w:val="center"/>
          </w:tcPr>
          <w:p>
            <w:pPr>
              <w:spacing w:after="0"/>
            </w:pPr>
            <w:r/>
            <w:r>
              <w:rPr>
                <w:rFonts w:ascii="Arial" w:hAnsi="Arial"/>
                <w:b w:val="0"/>
                <w:sz w:val="15"/>
              </w:rPr>
              <w:t>V6-2</w:t>
            </w:r>
          </w:p>
        </w:tc>
        <w:tc>
          <w:tcPr>
            <w:tcW w:type="dxa" w:w="6048"/>
            <w:vAlign w:val="center"/>
          </w:tcPr>
          <w:p>
            <w:pPr>
              <w:spacing w:after="0"/>
            </w:pPr>
            <w:r/>
            <w:r>
              <w:rPr>
                <w:rFonts w:ascii="Arial" w:hAnsi="Arial"/>
                <w:b w:val="0"/>
                <w:sz w:val="15"/>
              </w:rPr>
              <w:t>Audience Builder UI/API.</w:t>
            </w:r>
          </w:p>
        </w:tc>
        <w:tc>
          <w:tcPr>
            <w:tcW w:type="dxa" w:w="2448"/>
            <w:vAlign w:val="center"/>
          </w:tcPr>
          <w:p>
            <w:pPr>
              <w:spacing w:after="0"/>
            </w:pPr>
            <w:r/>
            <w:r>
              <w:rPr>
                <w:rFonts w:ascii="Arial" w:hAnsi="Arial"/>
                <w:b w:val="0"/>
                <w:sz w:val="15"/>
              </w:rPr>
              <w:t>Rules validate and publish.</w:t>
            </w:r>
          </w:p>
        </w:tc>
      </w:tr>
      <w:tr>
        <w:tc>
          <w:tcPr>
            <w:tcW w:type="dxa" w:w="1440"/>
            <w:vAlign w:val="center"/>
          </w:tcPr>
          <w:p>
            <w:pPr>
              <w:spacing w:after="0"/>
            </w:pPr>
            <w:r/>
            <w:r>
              <w:rPr>
                <w:rFonts w:ascii="Arial" w:hAnsi="Arial"/>
                <w:b w:val="0"/>
                <w:sz w:val="15"/>
              </w:rPr>
              <w:t>V6-3</w:t>
            </w:r>
          </w:p>
        </w:tc>
        <w:tc>
          <w:tcPr>
            <w:tcW w:type="dxa" w:w="6048"/>
            <w:vAlign w:val="center"/>
          </w:tcPr>
          <w:p>
            <w:pPr>
              <w:spacing w:after="0"/>
            </w:pPr>
            <w:r/>
            <w:r>
              <w:rPr>
                <w:rFonts w:ascii="Arial" w:hAnsi="Arial"/>
                <w:b w:val="0"/>
                <w:sz w:val="15"/>
              </w:rPr>
              <w:t>Partner capability API/UI + Agent mapping contract.</w:t>
            </w:r>
          </w:p>
        </w:tc>
        <w:tc>
          <w:tcPr>
            <w:tcW w:type="dxa" w:w="2448"/>
            <w:vAlign w:val="center"/>
          </w:tcPr>
          <w:p>
            <w:pPr>
              <w:spacing w:after="0"/>
            </w:pPr>
            <w:r/>
            <w:r>
              <w:rPr>
                <w:rFonts w:ascii="Arial" w:hAnsi="Arial"/>
                <w:b w:val="0"/>
                <w:sz w:val="15"/>
              </w:rPr>
              <w:t>Partner A publishes supported fields.</w:t>
            </w:r>
          </w:p>
        </w:tc>
      </w:tr>
      <w:tr>
        <w:tc>
          <w:tcPr>
            <w:tcW w:type="dxa" w:w="1440"/>
            <w:vAlign w:val="center"/>
          </w:tcPr>
          <w:p>
            <w:pPr>
              <w:spacing w:after="0"/>
            </w:pPr>
            <w:r/>
            <w:r>
              <w:rPr>
                <w:rFonts w:ascii="Arial" w:hAnsi="Arial"/>
                <w:b w:val="0"/>
                <w:sz w:val="15"/>
              </w:rPr>
              <w:t>V6-4</w:t>
            </w:r>
          </w:p>
        </w:tc>
        <w:tc>
          <w:tcPr>
            <w:tcW w:type="dxa" w:w="6048"/>
            <w:vAlign w:val="center"/>
          </w:tcPr>
          <w:p>
            <w:pPr>
              <w:spacing w:after="0"/>
            </w:pPr>
            <w:r/>
            <w:r>
              <w:rPr>
                <w:rFonts w:ascii="Arial" w:hAnsi="Arial"/>
                <w:b w:val="0"/>
                <w:sz w:val="15"/>
              </w:rPr>
              <w:t>Match engine + match result UI.</w:t>
            </w:r>
          </w:p>
        </w:tc>
        <w:tc>
          <w:tcPr>
            <w:tcW w:type="dxa" w:w="2448"/>
            <w:vAlign w:val="center"/>
          </w:tcPr>
          <w:p>
            <w:pPr>
              <w:spacing w:after="0"/>
            </w:pPr>
            <w:r/>
            <w:r>
              <w:rPr>
                <w:rFonts w:ascii="Arial" w:hAnsi="Arial"/>
                <w:b w:val="0"/>
                <w:sz w:val="15"/>
              </w:rPr>
              <w:t>100/partial/incompatible results correct.</w:t>
            </w:r>
          </w:p>
        </w:tc>
      </w:tr>
      <w:tr>
        <w:tc>
          <w:tcPr>
            <w:tcW w:type="dxa" w:w="1440"/>
            <w:vAlign w:val="center"/>
          </w:tcPr>
          <w:p>
            <w:pPr>
              <w:spacing w:after="0"/>
            </w:pPr>
            <w:r/>
            <w:r>
              <w:rPr>
                <w:rFonts w:ascii="Arial" w:hAnsi="Arial"/>
                <w:b w:val="0"/>
                <w:sz w:val="15"/>
              </w:rPr>
              <w:t>V6-5</w:t>
            </w:r>
          </w:p>
        </w:tc>
        <w:tc>
          <w:tcPr>
            <w:tcW w:type="dxa" w:w="6048"/>
            <w:vAlign w:val="center"/>
          </w:tcPr>
          <w:p>
            <w:pPr>
              <w:spacing w:after="0"/>
            </w:pPr>
            <w:r/>
            <w:r>
              <w:rPr>
                <w:rFonts w:ascii="Arial" w:hAnsi="Arial"/>
                <w:b w:val="0"/>
                <w:sz w:val="15"/>
              </w:rPr>
              <w:t>Reach estimate service + Agent evaluator + bucket controls.</w:t>
            </w:r>
          </w:p>
        </w:tc>
        <w:tc>
          <w:tcPr>
            <w:tcW w:type="dxa" w:w="2448"/>
            <w:vAlign w:val="center"/>
          </w:tcPr>
          <w:p>
            <w:pPr>
              <w:spacing w:after="0"/>
            </w:pPr>
            <w:r/>
            <w:r>
              <w:rPr>
                <w:rFonts w:ascii="Arial" w:hAnsi="Arial"/>
                <w:b w:val="0"/>
                <w:sz w:val="15"/>
              </w:rPr>
              <w:t>Partner-local estimate works.</w:t>
            </w:r>
          </w:p>
        </w:tc>
      </w:tr>
      <w:tr>
        <w:tc>
          <w:tcPr>
            <w:tcW w:type="dxa" w:w="1440"/>
            <w:vAlign w:val="center"/>
          </w:tcPr>
          <w:p>
            <w:pPr>
              <w:spacing w:after="0"/>
            </w:pPr>
            <w:r/>
            <w:r>
              <w:rPr>
                <w:rFonts w:ascii="Arial" w:hAnsi="Arial"/>
                <w:b w:val="0"/>
                <w:sz w:val="15"/>
              </w:rPr>
              <w:t>V6-6</w:t>
            </w:r>
          </w:p>
        </w:tc>
        <w:tc>
          <w:tcPr>
            <w:tcW w:type="dxa" w:w="6048"/>
            <w:vAlign w:val="center"/>
          </w:tcPr>
          <w:p>
            <w:pPr>
              <w:spacing w:after="0"/>
            </w:pPr>
            <w:r/>
            <w:r>
              <w:rPr>
                <w:rFonts w:ascii="Arial" w:hAnsi="Arial"/>
                <w:b w:val="0"/>
                <w:sz w:val="15"/>
              </w:rPr>
              <w:t>Campaign Audience link + wizard rewrite.</w:t>
            </w:r>
          </w:p>
        </w:tc>
        <w:tc>
          <w:tcPr>
            <w:tcW w:type="dxa" w:w="2448"/>
            <w:vAlign w:val="center"/>
          </w:tcPr>
          <w:p>
            <w:pPr>
              <w:spacing w:after="0"/>
            </w:pPr>
            <w:r/>
            <w:r>
              <w:rPr>
                <w:rFonts w:ascii="Arial" w:hAnsi="Arial"/>
                <w:b w:val="0"/>
                <w:sz w:val="15"/>
              </w:rPr>
              <w:t>Campaign frozen to aud_100 v3.</w:t>
            </w:r>
          </w:p>
        </w:tc>
      </w:tr>
      <w:tr>
        <w:tc>
          <w:tcPr>
            <w:tcW w:type="dxa" w:w="1440"/>
            <w:vAlign w:val="center"/>
          </w:tcPr>
          <w:p>
            <w:pPr>
              <w:spacing w:after="0"/>
            </w:pPr>
            <w:r/>
            <w:r>
              <w:rPr>
                <w:rFonts w:ascii="Arial" w:hAnsi="Arial"/>
                <w:b w:val="0"/>
                <w:sz w:val="15"/>
              </w:rPr>
              <w:t>V6-7</w:t>
            </w:r>
          </w:p>
        </w:tc>
        <w:tc>
          <w:tcPr>
            <w:tcW w:type="dxa" w:w="6048"/>
            <w:vAlign w:val="center"/>
          </w:tcPr>
          <w:p>
            <w:pPr>
              <w:spacing w:after="0"/>
            </w:pPr>
            <w:r/>
            <w:r>
              <w:rPr>
                <w:rFonts w:ascii="Arial" w:hAnsi="Arial"/>
                <w:b w:val="0"/>
                <w:sz w:val="15"/>
              </w:rPr>
              <w:t>Partner review changes.</w:t>
            </w:r>
          </w:p>
        </w:tc>
        <w:tc>
          <w:tcPr>
            <w:tcW w:type="dxa" w:w="2448"/>
            <w:vAlign w:val="center"/>
          </w:tcPr>
          <w:p>
            <w:pPr>
              <w:spacing w:after="0"/>
            </w:pPr>
            <w:r/>
            <w:r>
              <w:rPr>
                <w:rFonts w:ascii="Arial" w:hAnsi="Arial"/>
                <w:b w:val="0"/>
                <w:sz w:val="15"/>
              </w:rPr>
              <w:t>Approval snapshot includes audience rules.</w:t>
            </w:r>
          </w:p>
        </w:tc>
      </w:tr>
      <w:tr>
        <w:tc>
          <w:tcPr>
            <w:tcW w:type="dxa" w:w="1440"/>
            <w:vAlign w:val="center"/>
          </w:tcPr>
          <w:p>
            <w:pPr>
              <w:spacing w:after="0"/>
            </w:pPr>
            <w:r/>
            <w:r>
              <w:rPr>
                <w:rFonts w:ascii="Arial" w:hAnsi="Arial"/>
                <w:b w:val="0"/>
                <w:sz w:val="15"/>
              </w:rPr>
              <w:t>V6-8</w:t>
            </w:r>
          </w:p>
        </w:tc>
        <w:tc>
          <w:tcPr>
            <w:tcW w:type="dxa" w:w="6048"/>
            <w:vAlign w:val="center"/>
          </w:tcPr>
          <w:p>
            <w:pPr>
              <w:spacing w:after="0"/>
            </w:pPr>
            <w:r/>
            <w:r>
              <w:rPr>
                <w:rFonts w:ascii="Arial" w:hAnsi="Arial"/>
                <w:b w:val="0"/>
                <w:sz w:val="15"/>
              </w:rPr>
              <w:t>Agent local materialization + refresh + runtime lookup.</w:t>
            </w:r>
          </w:p>
        </w:tc>
        <w:tc>
          <w:tcPr>
            <w:tcW w:type="dxa" w:w="2448"/>
            <w:vAlign w:val="center"/>
          </w:tcPr>
          <w:p>
            <w:pPr>
              <w:spacing w:after="0"/>
            </w:pPr>
            <w:r/>
            <w:r>
              <w:rPr>
                <w:rFonts w:ascii="Arial" w:hAnsi="Arial"/>
                <w:b w:val="0"/>
                <w:sz w:val="15"/>
              </w:rPr>
              <w:t>Eligible/ineligible mock users pass.</w:t>
            </w:r>
          </w:p>
        </w:tc>
      </w:tr>
      <w:tr>
        <w:tc>
          <w:tcPr>
            <w:tcW w:type="dxa" w:w="1440"/>
            <w:vAlign w:val="center"/>
          </w:tcPr>
          <w:p>
            <w:pPr>
              <w:spacing w:after="0"/>
            </w:pPr>
            <w:r/>
            <w:r>
              <w:rPr>
                <w:rFonts w:ascii="Arial" w:hAnsi="Arial"/>
                <w:b w:val="0"/>
                <w:sz w:val="15"/>
              </w:rPr>
              <w:t>V6-9</w:t>
            </w:r>
          </w:p>
        </w:tc>
        <w:tc>
          <w:tcPr>
            <w:tcW w:type="dxa" w:w="6048"/>
            <w:vAlign w:val="center"/>
          </w:tcPr>
          <w:p>
            <w:pPr>
              <w:spacing w:after="0"/>
            </w:pPr>
            <w:r/>
            <w:r>
              <w:rPr>
                <w:rFonts w:ascii="Arial" w:hAnsi="Arial"/>
                <w:b w:val="0"/>
                <w:sz w:val="15"/>
              </w:rPr>
              <w:t>Regression: attribution/reporting/billing/multi-Partner/channels.</w:t>
            </w:r>
          </w:p>
        </w:tc>
        <w:tc>
          <w:tcPr>
            <w:tcW w:type="dxa" w:w="2448"/>
            <w:vAlign w:val="center"/>
          </w:tcPr>
          <w:p>
            <w:pPr>
              <w:spacing w:after="0"/>
            </w:pPr>
            <w:r/>
            <w:r>
              <w:rPr>
                <w:rFonts w:ascii="Arial" w:hAnsi="Arial"/>
                <w:b w:val="0"/>
                <w:sz w:val="15"/>
              </w:rPr>
              <w:t>Existing downstream modules still pass.</w:t>
            </w:r>
          </w:p>
        </w:tc>
      </w:tr>
    </w:tbl>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Execution priority</w:t>
            </w:r>
          </w:p>
          <w:p>
            <w:r>
              <w:rPr>
                <w:rFonts w:ascii="Arial" w:hAnsi="Arial"/>
                <w:sz w:val="17"/>
              </w:rPr>
              <w:t>Do not rewrite reporting or billing first. Replace the audience model end-to-end through Partner approval and local materialization, then run regression on downstream modules.</w:t>
            </w:r>
          </w:p>
        </w:tc>
      </w:tr>
    </w:tbl>
    <w:p/>
    <w:p>
      <w:pPr>
        <w:pStyle w:val="Heading1"/>
      </w:pPr>
      <w:r>
        <w:t>22. Developer Handoff Summary</w:t>
      </w:r>
    </w:p>
    <w:p>
      <w:r>
        <w:t>The v6 change makes Oolix a Buyer-led audience finding and activation platform. The Buyer defines who they want to reach; Oolix finds which Data Partners can evaluate those conditions; selected Partners calculate safe reach locally; the Audience Group is linked to the campaign; each Partner independently approves; and the Partner Agent materializes/serves the audience locally.</w:t>
      </w:r>
    </w:p>
    <w:p>
      <w:pPr>
        <w:spacing w:before="40" w:after="80"/>
        <w:ind w:left="216" w:right="115"/>
        <w:shd w:fill="F3F4F6"/>
      </w:pPr>
      <w:r>
        <w:rPr>
          <w:rFonts w:ascii="Courier New" w:hAnsi="Courier New"/>
          <w:sz w:val="14"/>
        </w:rPr>
        <w:t>Buyer creates Audience Group</w:t>
        <w:br/>
        <w:t xml:space="preserve">  ↓</w:t>
        <w:br/>
        <w:t>Standard Oolix attribute rules</w:t>
        <w:br/>
        <w:t xml:space="preserve">  ↓</w:t>
        <w:br/>
        <w:t>Oolix capability matching (metadata only)</w:t>
        <w:br/>
        <w:t xml:space="preserve">  ↓</w:t>
        <w:br/>
        <w:t>Compatible Data Partner list</w:t>
        <w:br/>
        <w:t xml:space="preserve">  ↓</w:t>
        <w:br/>
        <w:t>Selected Partner local reach estimate</w:t>
        <w:br/>
        <w:t xml:space="preserve">  ↓</w:t>
        <w:br/>
        <w:t>Audience Group linked to Campaign</w:t>
        <w:br/>
        <w:t xml:space="preserve">  ↓</w:t>
        <w:br/>
        <w:t>Partner-specific campaign request</w:t>
        <w:br/>
        <w:t xml:space="preserve">  ↓</w:t>
        <w:br/>
        <w:t>Partner approval</w:t>
        <w:br/>
        <w:t xml:space="preserve">  ↓</w:t>
        <w:br/>
        <w:t>Local audience materialization</w:t>
        <w:br/>
        <w:t xml:space="preserve">  ↓</w:t>
        <w:br/>
        <w:t>Partner Web/App or eligible Meta/Google</w:t>
        <w:br/>
        <w:t xml:space="preserve">  ↓</w:t>
        <w:br/>
        <w:t>Aggregate results + qualified outcomes</w:t>
      </w:r>
    </w:p>
    <w:tbl>
      <w:tblPr>
        <w:tblStyle w:val="TableGrid"/>
        <w:tblW w:type="auto" w:w="0"/>
        <w:tblLook w:firstColumn="1" w:firstRow="1" w:lastColumn="0" w:lastRow="0" w:noHBand="0" w:noVBand="1" w:val="04A0"/>
      </w:tblPr>
      <w:tblGrid>
        <w:gridCol w:w="10224"/>
      </w:tblGrid>
      <w:tr>
        <w:tc>
          <w:tcPr>
            <w:tcW w:type="dxa" w:w="10224"/>
            <w:shd w:fill="ECFEFF"/>
          </w:tcPr>
          <w:p>
            <w:r>
              <w:rPr>
                <w:rFonts w:ascii="Arial" w:hAnsi="Arial"/>
                <w:b/>
                <w:color w:val="0E7490"/>
                <w:sz w:val="18"/>
              </w:rPr>
              <w:t>One sentence for the team</w:t>
            </w:r>
          </w:p>
          <w:p>
            <w:r>
              <w:rPr>
                <w:rFonts w:ascii="Arial" w:hAnsi="Arial"/>
                <w:sz w:val="17"/>
              </w:rPr>
              <w:t>Build the audience rule centrally, match capabilities centrally, but evaluate and materialize actual people locally inside each Data Partner.</w:t>
            </w:r>
          </w:p>
        </w:tc>
      </w:tr>
    </w:tbl>
    <w:p/>
    <w:p>
      <w:r>
        <w:br w:type="page"/>
      </w:r>
    </w:p>
    <w:p>
      <w:pPr>
        <w:pStyle w:val="Heading1"/>
      </w:pPr>
      <w:r>
        <w:t>Appendix A - Suggested MVP Attribute Seed Catalogue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164E63"/>
          </w:tcPr>
          <w:p>
            <w:pPr>
              <w:spacing w:after="0"/>
            </w:pPr>
            <w:r/>
            <w:r>
              <w:rPr>
                <w:rFonts w:ascii="Arial" w:hAnsi="Arial"/>
                <w:b/>
                <w:color w:val="FFFFFF"/>
                <w:sz w:val="16"/>
              </w:rPr>
              <w:t>Key</w:t>
            </w:r>
          </w:p>
        </w:tc>
        <w:tc>
          <w:tcPr>
            <w:tcW w:type="dxa" w:w="1728"/>
            <w:vAlign w:val="center"/>
            <w:shd w:fill="164E63"/>
          </w:tcPr>
          <w:p>
            <w:pPr>
              <w:spacing w:after="0"/>
            </w:pPr>
            <w:r/>
            <w:r>
              <w:rPr>
                <w:rFonts w:ascii="Arial" w:hAnsi="Arial"/>
                <w:b/>
                <w:color w:val="FFFFFF"/>
                <w:sz w:val="16"/>
              </w:rPr>
              <w:t>Type</w:t>
            </w:r>
          </w:p>
        </w:tc>
        <w:tc>
          <w:tcPr>
            <w:tcW w:type="dxa" w:w="2016"/>
            <w:vAlign w:val="center"/>
            <w:shd w:fill="164E63"/>
          </w:tcPr>
          <w:p>
            <w:pPr>
              <w:spacing w:after="0"/>
            </w:pPr>
            <w:r/>
            <w:r>
              <w:rPr>
                <w:rFonts w:ascii="Arial" w:hAnsi="Arial"/>
                <w:b/>
                <w:color w:val="FFFFFF"/>
                <w:sz w:val="16"/>
              </w:rPr>
              <w:t>Operators</w:t>
            </w:r>
          </w:p>
        </w:tc>
        <w:tc>
          <w:tcPr>
            <w:tcW w:type="dxa" w:w="3168"/>
            <w:vAlign w:val="center"/>
            <w:shd w:fill="164E63"/>
          </w:tcPr>
          <w:p>
            <w:pPr>
              <w:spacing w:after="0"/>
            </w:pPr>
            <w:r/>
            <w:r>
              <w:rPr>
                <w:rFonts w:ascii="Arial" w:hAnsi="Arial"/>
                <w:b/>
                <w:color w:val="FFFFFF"/>
                <w:sz w:val="16"/>
              </w:rPr>
              <w:t>Example</w:t>
            </w:r>
          </w:p>
        </w:tc>
      </w:tr>
      <w:tr>
        <w:tc>
          <w:tcPr>
            <w:tcW w:type="dxa" w:w="2880"/>
            <w:vAlign w:val="center"/>
          </w:tcPr>
          <w:p>
            <w:pPr>
              <w:spacing w:after="0"/>
            </w:pPr>
            <w:r/>
            <w:r>
              <w:rPr>
                <w:rFonts w:ascii="Arial" w:hAnsi="Arial"/>
                <w:b w:val="0"/>
                <w:sz w:val="15"/>
              </w:rPr>
              <w:t>age</w:t>
            </w:r>
          </w:p>
        </w:tc>
        <w:tc>
          <w:tcPr>
            <w:tcW w:type="dxa" w:w="1728"/>
            <w:vAlign w:val="center"/>
          </w:tcPr>
          <w:p>
            <w:pPr>
              <w:spacing w:after="0"/>
            </w:pPr>
            <w:r/>
            <w:r>
              <w:rPr>
                <w:rFonts w:ascii="Arial" w:hAnsi="Arial"/>
                <w:b w:val="0"/>
                <w:sz w:val="15"/>
              </w:rPr>
              <w:t>NUMBER</w:t>
            </w:r>
          </w:p>
        </w:tc>
        <w:tc>
          <w:tcPr>
            <w:tcW w:type="dxa" w:w="2016"/>
            <w:vAlign w:val="center"/>
          </w:tcPr>
          <w:p>
            <w:pPr>
              <w:spacing w:after="0"/>
            </w:pPr>
            <w:r/>
            <w:r>
              <w:rPr>
                <w:rFonts w:ascii="Arial" w:hAnsi="Arial"/>
                <w:b w:val="0"/>
                <w:sz w:val="15"/>
              </w:rPr>
              <w:t>BETWEEN</w:t>
            </w:r>
          </w:p>
        </w:tc>
        <w:tc>
          <w:tcPr>
            <w:tcW w:type="dxa" w:w="3168"/>
            <w:vAlign w:val="center"/>
          </w:tcPr>
          <w:p>
            <w:pPr>
              <w:spacing w:after="0"/>
            </w:pPr>
            <w:r/>
            <w:r>
              <w:rPr>
                <w:rFonts w:ascii="Arial" w:hAnsi="Arial"/>
                <w:b w:val="0"/>
                <w:sz w:val="15"/>
              </w:rPr>
              <w:t>18-35</w:t>
            </w:r>
          </w:p>
        </w:tc>
      </w:tr>
      <w:tr>
        <w:tc>
          <w:tcPr>
            <w:tcW w:type="dxa" w:w="2880"/>
            <w:vAlign w:val="center"/>
          </w:tcPr>
          <w:p>
            <w:pPr>
              <w:spacing w:after="0"/>
            </w:pPr>
            <w:r/>
            <w:r>
              <w:rPr>
                <w:rFonts w:ascii="Arial" w:hAnsi="Arial"/>
                <w:b w:val="0"/>
                <w:sz w:val="15"/>
              </w:rPr>
              <w:t>gender</w:t>
            </w:r>
          </w:p>
        </w:tc>
        <w:tc>
          <w:tcPr>
            <w:tcW w:type="dxa" w:w="1728"/>
            <w:vAlign w:val="center"/>
          </w:tcPr>
          <w:p>
            <w:pPr>
              <w:spacing w:after="0"/>
            </w:pPr>
            <w:r/>
            <w:r>
              <w:rPr>
                <w:rFonts w:ascii="Arial" w:hAnsi="Arial"/>
                <w:b w:val="0"/>
                <w:sz w:val="15"/>
              </w:rPr>
              <w:t>ENUM</w:t>
            </w:r>
          </w:p>
        </w:tc>
        <w:tc>
          <w:tcPr>
            <w:tcW w:type="dxa" w:w="2016"/>
            <w:vAlign w:val="center"/>
          </w:tcPr>
          <w:p>
            <w:pPr>
              <w:spacing w:after="0"/>
            </w:pPr>
            <w:r/>
            <w:r>
              <w:rPr>
                <w:rFonts w:ascii="Arial" w:hAnsi="Arial"/>
                <w:b w:val="0"/>
                <w:sz w:val="15"/>
              </w:rPr>
              <w:t>IN</w:t>
            </w:r>
          </w:p>
        </w:tc>
        <w:tc>
          <w:tcPr>
            <w:tcW w:type="dxa" w:w="3168"/>
            <w:vAlign w:val="center"/>
          </w:tcPr>
          <w:p>
            <w:pPr>
              <w:spacing w:after="0"/>
            </w:pPr>
            <w:r/>
            <w:r>
              <w:rPr>
                <w:rFonts w:ascii="Arial" w:hAnsi="Arial"/>
                <w:b w:val="0"/>
                <w:sz w:val="15"/>
              </w:rPr>
              <w:t>MALE, FEMALE</w:t>
            </w:r>
          </w:p>
        </w:tc>
      </w:tr>
      <w:tr>
        <w:tc>
          <w:tcPr>
            <w:tcW w:type="dxa" w:w="2880"/>
            <w:vAlign w:val="center"/>
          </w:tcPr>
          <w:p>
            <w:pPr>
              <w:spacing w:after="0"/>
            </w:pPr>
            <w:r/>
            <w:r>
              <w:rPr>
                <w:rFonts w:ascii="Arial" w:hAnsi="Arial"/>
                <w:b w:val="0"/>
                <w:sz w:val="15"/>
              </w:rPr>
              <w:t>country</w:t>
            </w:r>
          </w:p>
        </w:tc>
        <w:tc>
          <w:tcPr>
            <w:tcW w:type="dxa" w:w="1728"/>
            <w:vAlign w:val="center"/>
          </w:tcPr>
          <w:p>
            <w:pPr>
              <w:spacing w:after="0"/>
            </w:pPr>
            <w:r/>
            <w:r>
              <w:rPr>
                <w:rFonts w:ascii="Arial" w:hAnsi="Arial"/>
                <w:b w:val="0"/>
                <w:sz w:val="15"/>
              </w:rPr>
              <w:t>ENUM</w:t>
            </w:r>
          </w:p>
        </w:tc>
        <w:tc>
          <w:tcPr>
            <w:tcW w:type="dxa" w:w="2016"/>
            <w:vAlign w:val="center"/>
          </w:tcPr>
          <w:p>
            <w:pPr>
              <w:spacing w:after="0"/>
            </w:pPr>
            <w:r/>
            <w:r>
              <w:rPr>
                <w:rFonts w:ascii="Arial" w:hAnsi="Arial"/>
                <w:b w:val="0"/>
                <w:sz w:val="15"/>
              </w:rPr>
              <w:t>IN</w:t>
            </w:r>
          </w:p>
        </w:tc>
        <w:tc>
          <w:tcPr>
            <w:tcW w:type="dxa" w:w="3168"/>
            <w:vAlign w:val="center"/>
          </w:tcPr>
          <w:p>
            <w:pPr>
              <w:spacing w:after="0"/>
            </w:pPr>
            <w:r/>
            <w:r>
              <w:rPr>
                <w:rFonts w:ascii="Arial" w:hAnsi="Arial"/>
                <w:b w:val="0"/>
                <w:sz w:val="15"/>
              </w:rPr>
              <w:t>IN</w:t>
            </w:r>
          </w:p>
        </w:tc>
      </w:tr>
      <w:tr>
        <w:tc>
          <w:tcPr>
            <w:tcW w:type="dxa" w:w="2880"/>
            <w:vAlign w:val="center"/>
          </w:tcPr>
          <w:p>
            <w:pPr>
              <w:spacing w:after="0"/>
            </w:pPr>
            <w:r/>
            <w:r>
              <w:rPr>
                <w:rFonts w:ascii="Arial" w:hAnsi="Arial"/>
                <w:b w:val="0"/>
                <w:sz w:val="15"/>
              </w:rPr>
              <w:t>state_region</w:t>
            </w:r>
          </w:p>
        </w:tc>
        <w:tc>
          <w:tcPr>
            <w:tcW w:type="dxa" w:w="1728"/>
            <w:vAlign w:val="center"/>
          </w:tcPr>
          <w:p>
            <w:pPr>
              <w:spacing w:after="0"/>
            </w:pPr>
            <w:r/>
            <w:r>
              <w:rPr>
                <w:rFonts w:ascii="Arial" w:hAnsi="Arial"/>
                <w:b w:val="0"/>
                <w:sz w:val="15"/>
              </w:rPr>
              <w:t>ENUM</w:t>
            </w:r>
          </w:p>
        </w:tc>
        <w:tc>
          <w:tcPr>
            <w:tcW w:type="dxa" w:w="2016"/>
            <w:vAlign w:val="center"/>
          </w:tcPr>
          <w:p>
            <w:pPr>
              <w:spacing w:after="0"/>
            </w:pPr>
            <w:r/>
            <w:r>
              <w:rPr>
                <w:rFonts w:ascii="Arial" w:hAnsi="Arial"/>
                <w:b w:val="0"/>
                <w:sz w:val="15"/>
              </w:rPr>
              <w:t>IN</w:t>
            </w:r>
          </w:p>
        </w:tc>
        <w:tc>
          <w:tcPr>
            <w:tcW w:type="dxa" w:w="3168"/>
            <w:vAlign w:val="center"/>
          </w:tcPr>
          <w:p>
            <w:pPr>
              <w:spacing w:after="0"/>
            </w:pPr>
            <w:r/>
            <w:r>
              <w:rPr>
                <w:rFonts w:ascii="Arial" w:hAnsi="Arial"/>
                <w:b w:val="0"/>
                <w:sz w:val="15"/>
              </w:rPr>
              <w:t>DL, HR, KA, MH</w:t>
            </w:r>
          </w:p>
        </w:tc>
      </w:tr>
      <w:tr>
        <w:tc>
          <w:tcPr>
            <w:tcW w:type="dxa" w:w="2880"/>
            <w:vAlign w:val="center"/>
          </w:tcPr>
          <w:p>
            <w:pPr>
              <w:spacing w:after="0"/>
            </w:pPr>
            <w:r/>
            <w:r>
              <w:rPr>
                <w:rFonts w:ascii="Arial" w:hAnsi="Arial"/>
                <w:b w:val="0"/>
                <w:sz w:val="15"/>
              </w:rPr>
              <w:t>city</w:t>
            </w:r>
          </w:p>
        </w:tc>
        <w:tc>
          <w:tcPr>
            <w:tcW w:type="dxa" w:w="1728"/>
            <w:vAlign w:val="center"/>
          </w:tcPr>
          <w:p>
            <w:pPr>
              <w:spacing w:after="0"/>
            </w:pPr>
            <w:r/>
            <w:r>
              <w:rPr>
                <w:rFonts w:ascii="Arial" w:hAnsi="Arial"/>
                <w:b w:val="0"/>
                <w:sz w:val="15"/>
              </w:rPr>
              <w:t>ENUM/ID</w:t>
            </w:r>
          </w:p>
        </w:tc>
        <w:tc>
          <w:tcPr>
            <w:tcW w:type="dxa" w:w="2016"/>
            <w:vAlign w:val="center"/>
          </w:tcPr>
          <w:p>
            <w:pPr>
              <w:spacing w:after="0"/>
            </w:pPr>
            <w:r/>
            <w:r>
              <w:rPr>
                <w:rFonts w:ascii="Arial" w:hAnsi="Arial"/>
                <w:b w:val="0"/>
                <w:sz w:val="15"/>
              </w:rPr>
              <w:t>IN</w:t>
            </w:r>
          </w:p>
        </w:tc>
        <w:tc>
          <w:tcPr>
            <w:tcW w:type="dxa" w:w="3168"/>
            <w:vAlign w:val="center"/>
          </w:tcPr>
          <w:p>
            <w:pPr>
              <w:spacing w:after="0"/>
            </w:pPr>
            <w:r/>
            <w:r>
              <w:rPr>
                <w:rFonts w:ascii="Arial" w:hAnsi="Arial"/>
                <w:b w:val="0"/>
                <w:sz w:val="15"/>
              </w:rPr>
              <w:t>standard geo IDs</w:t>
            </w:r>
          </w:p>
        </w:tc>
      </w:tr>
      <w:tr>
        <w:tc>
          <w:tcPr>
            <w:tcW w:type="dxa" w:w="2880"/>
            <w:vAlign w:val="center"/>
          </w:tcPr>
          <w:p>
            <w:pPr>
              <w:spacing w:after="0"/>
            </w:pPr>
            <w:r/>
            <w:r>
              <w:rPr>
                <w:rFonts w:ascii="Arial" w:hAnsi="Arial"/>
                <w:b w:val="0"/>
                <w:sz w:val="15"/>
              </w:rPr>
              <w:t>online_shopper</w:t>
            </w:r>
          </w:p>
        </w:tc>
        <w:tc>
          <w:tcPr>
            <w:tcW w:type="dxa" w:w="1728"/>
            <w:vAlign w:val="center"/>
          </w:tcPr>
          <w:p>
            <w:pPr>
              <w:spacing w:after="0"/>
            </w:pPr>
            <w:r/>
            <w:r>
              <w:rPr>
                <w:rFonts w:ascii="Arial" w:hAnsi="Arial"/>
                <w:b w:val="0"/>
                <w:sz w:val="15"/>
              </w:rPr>
              <w:t>BOOLEAN</w:t>
            </w:r>
          </w:p>
        </w:tc>
        <w:tc>
          <w:tcPr>
            <w:tcW w:type="dxa" w:w="2016"/>
            <w:vAlign w:val="center"/>
          </w:tcPr>
          <w:p>
            <w:pPr>
              <w:spacing w:after="0"/>
            </w:pPr>
            <w:r/>
            <w:r>
              <w:rPr>
                <w:rFonts w:ascii="Arial" w:hAnsi="Arial"/>
                <w:b w:val="0"/>
                <w:sz w:val="15"/>
              </w:rPr>
              <w:t>EQ</w:t>
            </w:r>
          </w:p>
        </w:tc>
        <w:tc>
          <w:tcPr>
            <w:tcW w:type="dxa" w:w="3168"/>
            <w:vAlign w:val="center"/>
          </w:tcPr>
          <w:p>
            <w:pPr>
              <w:spacing w:after="0"/>
            </w:pPr>
            <w:r/>
            <w:r>
              <w:rPr>
                <w:rFonts w:ascii="Arial" w:hAnsi="Arial"/>
                <w:b w:val="0"/>
                <w:sz w:val="15"/>
              </w:rPr>
              <w:t>true</w:t>
            </w:r>
          </w:p>
        </w:tc>
      </w:tr>
      <w:tr>
        <w:tc>
          <w:tcPr>
            <w:tcW w:type="dxa" w:w="2880"/>
            <w:vAlign w:val="center"/>
          </w:tcPr>
          <w:p>
            <w:pPr>
              <w:spacing w:after="0"/>
            </w:pPr>
            <w:r/>
            <w:r>
              <w:rPr>
                <w:rFonts w:ascii="Arial" w:hAnsi="Arial"/>
                <w:b w:val="0"/>
                <w:sz w:val="15"/>
              </w:rPr>
              <w:t>purchase_category</w:t>
            </w:r>
          </w:p>
        </w:tc>
        <w:tc>
          <w:tcPr>
            <w:tcW w:type="dxa" w:w="1728"/>
            <w:vAlign w:val="center"/>
          </w:tcPr>
          <w:p>
            <w:pPr>
              <w:spacing w:after="0"/>
            </w:pPr>
            <w:r/>
            <w:r>
              <w:rPr>
                <w:rFonts w:ascii="Arial" w:hAnsi="Arial"/>
                <w:b w:val="0"/>
                <w:sz w:val="15"/>
              </w:rPr>
              <w:t>ENUM</w:t>
            </w:r>
          </w:p>
        </w:tc>
        <w:tc>
          <w:tcPr>
            <w:tcW w:type="dxa" w:w="2016"/>
            <w:vAlign w:val="center"/>
          </w:tcPr>
          <w:p>
            <w:pPr>
              <w:spacing w:after="0"/>
            </w:pPr>
            <w:r/>
            <w:r>
              <w:rPr>
                <w:rFonts w:ascii="Arial" w:hAnsi="Arial"/>
                <w:b w:val="0"/>
                <w:sz w:val="15"/>
              </w:rPr>
              <w:t>IN</w:t>
            </w:r>
          </w:p>
        </w:tc>
        <w:tc>
          <w:tcPr>
            <w:tcW w:type="dxa" w:w="3168"/>
            <w:vAlign w:val="center"/>
          </w:tcPr>
          <w:p>
            <w:pPr>
              <w:spacing w:after="0"/>
            </w:pPr>
            <w:r/>
            <w:r>
              <w:rPr>
                <w:rFonts w:ascii="Arial" w:hAnsi="Arial"/>
                <w:b w:val="0"/>
                <w:sz w:val="15"/>
              </w:rPr>
              <w:t>FOOTWEAR, FASHION, ELECTRONICS</w:t>
            </w:r>
          </w:p>
        </w:tc>
      </w:tr>
      <w:tr>
        <w:tc>
          <w:tcPr>
            <w:tcW w:type="dxa" w:w="2880"/>
            <w:vAlign w:val="center"/>
          </w:tcPr>
          <w:p>
            <w:pPr>
              <w:spacing w:after="0"/>
            </w:pPr>
            <w:r/>
            <w:r>
              <w:rPr>
                <w:rFonts w:ascii="Arial" w:hAnsi="Arial"/>
                <w:b w:val="0"/>
                <w:sz w:val="15"/>
              </w:rPr>
              <w:t>purchase_recency_days</w:t>
            </w:r>
          </w:p>
        </w:tc>
        <w:tc>
          <w:tcPr>
            <w:tcW w:type="dxa" w:w="1728"/>
            <w:vAlign w:val="center"/>
          </w:tcPr>
          <w:p>
            <w:pPr>
              <w:spacing w:after="0"/>
            </w:pPr>
            <w:r/>
            <w:r>
              <w:rPr>
                <w:rFonts w:ascii="Arial" w:hAnsi="Arial"/>
                <w:b w:val="0"/>
                <w:sz w:val="15"/>
              </w:rPr>
              <w:t>NUMBER</w:t>
            </w:r>
          </w:p>
        </w:tc>
        <w:tc>
          <w:tcPr>
            <w:tcW w:type="dxa" w:w="2016"/>
            <w:vAlign w:val="center"/>
          </w:tcPr>
          <w:p>
            <w:pPr>
              <w:spacing w:after="0"/>
            </w:pPr>
            <w:r/>
            <w:r>
              <w:rPr>
                <w:rFonts w:ascii="Arial" w:hAnsi="Arial"/>
                <w:b w:val="0"/>
                <w:sz w:val="15"/>
              </w:rPr>
              <w:t>LTE</w:t>
            </w:r>
          </w:p>
        </w:tc>
        <w:tc>
          <w:tcPr>
            <w:tcW w:type="dxa" w:w="3168"/>
            <w:vAlign w:val="center"/>
          </w:tcPr>
          <w:p>
            <w:pPr>
              <w:spacing w:after="0"/>
            </w:pPr>
            <w:r/>
            <w:r>
              <w:rPr>
                <w:rFonts w:ascii="Arial" w:hAnsi="Arial"/>
                <w:b w:val="0"/>
                <w:sz w:val="15"/>
              </w:rPr>
              <w:t>90</w:t>
            </w:r>
          </w:p>
        </w:tc>
      </w:tr>
      <w:tr>
        <w:tc>
          <w:tcPr>
            <w:tcW w:type="dxa" w:w="2880"/>
            <w:vAlign w:val="center"/>
          </w:tcPr>
          <w:p>
            <w:pPr>
              <w:spacing w:after="0"/>
            </w:pPr>
            <w:r/>
            <w:r>
              <w:rPr>
                <w:rFonts w:ascii="Arial" w:hAnsi="Arial"/>
                <w:b w:val="0"/>
                <w:sz w:val="15"/>
              </w:rPr>
              <w:t>purchase_frequency</w:t>
            </w:r>
          </w:p>
        </w:tc>
        <w:tc>
          <w:tcPr>
            <w:tcW w:type="dxa" w:w="1728"/>
            <w:vAlign w:val="center"/>
          </w:tcPr>
          <w:p>
            <w:pPr>
              <w:spacing w:after="0"/>
            </w:pPr>
            <w:r/>
            <w:r>
              <w:rPr>
                <w:rFonts w:ascii="Arial" w:hAnsi="Arial"/>
                <w:b w:val="0"/>
                <w:sz w:val="15"/>
              </w:rPr>
              <w:t>NUMBER</w:t>
            </w:r>
          </w:p>
        </w:tc>
        <w:tc>
          <w:tcPr>
            <w:tcW w:type="dxa" w:w="2016"/>
            <w:vAlign w:val="center"/>
          </w:tcPr>
          <w:p>
            <w:pPr>
              <w:spacing w:after="0"/>
            </w:pPr>
            <w:r/>
            <w:r>
              <w:rPr>
                <w:rFonts w:ascii="Arial" w:hAnsi="Arial"/>
                <w:b w:val="0"/>
                <w:sz w:val="15"/>
              </w:rPr>
              <w:t>GTE</w:t>
            </w:r>
          </w:p>
        </w:tc>
        <w:tc>
          <w:tcPr>
            <w:tcW w:type="dxa" w:w="3168"/>
            <w:vAlign w:val="center"/>
          </w:tcPr>
          <w:p>
            <w:pPr>
              <w:spacing w:after="0"/>
            </w:pPr>
            <w:r/>
            <w:r>
              <w:rPr>
                <w:rFonts w:ascii="Arial" w:hAnsi="Arial"/>
                <w:b w:val="0"/>
                <w:sz w:val="15"/>
              </w:rPr>
              <w:t>2</w:t>
            </w:r>
          </w:p>
        </w:tc>
      </w:tr>
      <w:tr>
        <w:tc>
          <w:tcPr>
            <w:tcW w:type="dxa" w:w="2880"/>
            <w:vAlign w:val="center"/>
          </w:tcPr>
          <w:p>
            <w:pPr>
              <w:spacing w:after="0"/>
            </w:pPr>
            <w:r/>
            <w:r>
              <w:rPr>
                <w:rFonts w:ascii="Arial" w:hAnsi="Arial"/>
                <w:b w:val="0"/>
                <w:sz w:val="15"/>
              </w:rPr>
              <w:t>payment_method</w:t>
            </w:r>
          </w:p>
        </w:tc>
        <w:tc>
          <w:tcPr>
            <w:tcW w:type="dxa" w:w="1728"/>
            <w:vAlign w:val="center"/>
          </w:tcPr>
          <w:p>
            <w:pPr>
              <w:spacing w:after="0"/>
            </w:pPr>
            <w:r/>
            <w:r>
              <w:rPr>
                <w:rFonts w:ascii="Arial" w:hAnsi="Arial"/>
                <w:b w:val="0"/>
                <w:sz w:val="15"/>
              </w:rPr>
              <w:t>ENUM</w:t>
            </w:r>
          </w:p>
        </w:tc>
        <w:tc>
          <w:tcPr>
            <w:tcW w:type="dxa" w:w="2016"/>
            <w:vAlign w:val="center"/>
          </w:tcPr>
          <w:p>
            <w:pPr>
              <w:spacing w:after="0"/>
            </w:pPr>
            <w:r/>
            <w:r>
              <w:rPr>
                <w:rFonts w:ascii="Arial" w:hAnsi="Arial"/>
                <w:b w:val="0"/>
                <w:sz w:val="15"/>
              </w:rPr>
              <w:t>IN</w:t>
            </w:r>
          </w:p>
        </w:tc>
        <w:tc>
          <w:tcPr>
            <w:tcW w:type="dxa" w:w="3168"/>
            <w:vAlign w:val="center"/>
          </w:tcPr>
          <w:p>
            <w:pPr>
              <w:spacing w:after="0"/>
            </w:pPr>
            <w:r/>
            <w:r>
              <w:rPr>
                <w:rFonts w:ascii="Arial" w:hAnsi="Arial"/>
                <w:b w:val="0"/>
                <w:sz w:val="15"/>
              </w:rPr>
              <w:t>UPI, CREDIT_CARD, DEBIT_CARD, COD</w:t>
            </w:r>
          </w:p>
        </w:tc>
      </w:tr>
      <w:tr>
        <w:tc>
          <w:tcPr>
            <w:tcW w:type="dxa" w:w="2880"/>
            <w:vAlign w:val="center"/>
          </w:tcPr>
          <w:p>
            <w:pPr>
              <w:spacing w:after="0"/>
            </w:pPr>
            <w:r/>
            <w:r>
              <w:rPr>
                <w:rFonts w:ascii="Arial" w:hAnsi="Arial"/>
                <w:b w:val="0"/>
                <w:sz w:val="15"/>
              </w:rPr>
              <w:t>active_user_days</w:t>
            </w:r>
          </w:p>
        </w:tc>
        <w:tc>
          <w:tcPr>
            <w:tcW w:type="dxa" w:w="1728"/>
            <w:vAlign w:val="center"/>
          </w:tcPr>
          <w:p>
            <w:pPr>
              <w:spacing w:after="0"/>
            </w:pPr>
            <w:r/>
            <w:r>
              <w:rPr>
                <w:rFonts w:ascii="Arial" w:hAnsi="Arial"/>
                <w:b w:val="0"/>
                <w:sz w:val="15"/>
              </w:rPr>
              <w:t>NUMBER</w:t>
            </w:r>
          </w:p>
        </w:tc>
        <w:tc>
          <w:tcPr>
            <w:tcW w:type="dxa" w:w="2016"/>
            <w:vAlign w:val="center"/>
          </w:tcPr>
          <w:p>
            <w:pPr>
              <w:spacing w:after="0"/>
            </w:pPr>
            <w:r/>
            <w:r>
              <w:rPr>
                <w:rFonts w:ascii="Arial" w:hAnsi="Arial"/>
                <w:b w:val="0"/>
                <w:sz w:val="15"/>
              </w:rPr>
              <w:t>LTE</w:t>
            </w:r>
          </w:p>
        </w:tc>
        <w:tc>
          <w:tcPr>
            <w:tcW w:type="dxa" w:w="3168"/>
            <w:vAlign w:val="center"/>
          </w:tcPr>
          <w:p>
            <w:pPr>
              <w:spacing w:after="0"/>
            </w:pPr>
            <w:r/>
            <w:r>
              <w:rPr>
                <w:rFonts w:ascii="Arial" w:hAnsi="Arial"/>
                <w:b w:val="0"/>
                <w:sz w:val="15"/>
              </w:rPr>
              <w:t>30</w:t>
            </w:r>
          </w:p>
        </w:tc>
      </w:tr>
      <w:tr>
        <w:tc>
          <w:tcPr>
            <w:tcW w:type="dxa" w:w="2880"/>
            <w:vAlign w:val="center"/>
          </w:tcPr>
          <w:p>
            <w:pPr>
              <w:spacing w:after="0"/>
            </w:pPr>
            <w:r/>
            <w:r>
              <w:rPr>
                <w:rFonts w:ascii="Arial" w:hAnsi="Arial"/>
                <w:b w:val="0"/>
                <w:sz w:val="15"/>
              </w:rPr>
              <w:t>loyalty_tier</w:t>
            </w:r>
          </w:p>
        </w:tc>
        <w:tc>
          <w:tcPr>
            <w:tcW w:type="dxa" w:w="1728"/>
            <w:vAlign w:val="center"/>
          </w:tcPr>
          <w:p>
            <w:pPr>
              <w:spacing w:after="0"/>
            </w:pPr>
            <w:r/>
            <w:r>
              <w:rPr>
                <w:rFonts w:ascii="Arial" w:hAnsi="Arial"/>
                <w:b w:val="0"/>
                <w:sz w:val="15"/>
              </w:rPr>
              <w:t>ENUM</w:t>
            </w:r>
          </w:p>
        </w:tc>
        <w:tc>
          <w:tcPr>
            <w:tcW w:type="dxa" w:w="2016"/>
            <w:vAlign w:val="center"/>
          </w:tcPr>
          <w:p>
            <w:pPr>
              <w:spacing w:after="0"/>
            </w:pPr>
            <w:r/>
            <w:r>
              <w:rPr>
                <w:rFonts w:ascii="Arial" w:hAnsi="Arial"/>
                <w:b w:val="0"/>
                <w:sz w:val="15"/>
              </w:rPr>
              <w:t>IN</w:t>
            </w:r>
          </w:p>
        </w:tc>
        <w:tc>
          <w:tcPr>
            <w:tcW w:type="dxa" w:w="3168"/>
            <w:vAlign w:val="center"/>
          </w:tcPr>
          <w:p>
            <w:pPr>
              <w:spacing w:after="0"/>
            </w:pPr>
            <w:r/>
            <w:r>
              <w:rPr>
                <w:rFonts w:ascii="Arial" w:hAnsi="Arial"/>
                <w:b w:val="0"/>
                <w:sz w:val="15"/>
              </w:rPr>
              <w:t>GOLD, SILVER</w:t>
            </w:r>
          </w:p>
        </w:tc>
      </w:tr>
    </w:tbl>
    <w:p/>
    <w:p>
      <w:pPr>
        <w:pStyle w:val="Heading1"/>
      </w:pPr>
      <w:r>
        <w:t>Appendix B - Manifest Additions</w:t>
      </w:r>
    </w:p>
    <w:p>
      <w:pPr>
        <w:spacing w:before="40" w:after="80"/>
        <w:ind w:left="216" w:right="115"/>
        <w:shd w:fill="F3F4F6"/>
      </w:pPr>
      <w:r>
        <w:rPr>
          <w:rFonts w:ascii="Courier New" w:hAnsi="Courier New"/>
          <w:sz w:val="14"/>
        </w:rPr>
        <w:t>{</w:t>
        <w:br/>
        <w:t xml:space="preserve">  "activation_id":"act_500_a",</w:t>
        <w:br/>
        <w:t xml:space="preserve">  "audience":{</w:t>
        <w:br/>
        <w:t xml:space="preserve">    "audience_group_id":"aud_100",</w:t>
        <w:br/>
        <w:t xml:space="preserve">    "audience_version":3,</w:t>
        <w:br/>
        <w:t xml:space="preserve">    "rule_hash":"sha256:...",</w:t>
        <w:br/>
        <w:t xml:space="preserve">    "reach_estimate_id":"re_1",</w:t>
        <w:br/>
        <w:t xml:space="preserve">    "capability_version":4,</w:t>
        <w:br/>
        <w:t xml:space="preserve">    "mapping_version":8</w:t>
        <w:br/>
        <w:t xml:space="preserve">  },</w:t>
        <w:br/>
        <w:t xml:space="preserve">  "channel":"PARTNER_APP",</w:t>
        <w:br/>
        <w:t xml:space="preserve">  "placement_ids":["offers_page"],</w:t>
        <w:br/>
        <w:t xml:space="preserve">  "creative_version_ids":["crv_20"],</w:t>
        <w:br/>
        <w:t xml:space="preserve">  "purpose_id":"footwear_offer",</w:t>
        <w:br/>
        <w:t xml:space="preserve">  "frequency":{"max_impressions":2,"window":"P1D"},</w:t>
        <w:br/>
        <w:t xml:space="preserve">  "start_at":"...",</w:t>
        <w:br/>
        <w:t xml:space="preserve">  "end_at":"..."</w:t>
        <w:br/>
        <w: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4E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4E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