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63"/>
          <w:sz w:val="50"/>
        </w:rPr>
        <w:t>OOLIX — PRIVACY-SAFE PARTNER MEDIA ACTIVATION</w:t>
      </w:r>
    </w:p>
    <w:p>
      <w:pPr>
        <w:jc w:val="center"/>
      </w:pPr>
      <w:r>
        <w:rPr>
          <w:b/>
          <w:color w:val="C2410C"/>
          <w:sz w:val="36"/>
        </w:rPr>
        <w:t>MVP Master Functional, Technical &amp; Implementation Specification v5</w:t>
      </w:r>
    </w:p>
    <w:p>
      <w:pPr>
        <w:jc w:val="center"/>
      </w:pPr>
      <w:r>
        <w:rPr>
          <w:color w:val="4B5563"/>
          <w:sz w:val="21"/>
        </w:rPr>
        <w:t>Complete communication flow from signup → Data Partner onboarding → campaign approval → app/web ad serving → Meta/Google activation → reporting &amp; payout</w:t>
      </w:r>
    </w:p>
    <w:p>
      <w:pPr>
        <w:jc w:val="center"/>
      </w:pPr>
      <w:r>
        <w:drawing>
          <wp:inline xmlns:a="http://schemas.openxmlformats.org/drawingml/2006/main" xmlns:pic="http://schemas.openxmlformats.org/drawingml/2006/picture">
            <wp:extent cx="6217920" cy="3339040"/>
            <wp:docPr id="1" name="Picture 1"/>
            <wp:cNvGraphicFramePr>
              <a:graphicFrameLocks noChangeAspect="1"/>
            </wp:cNvGraphicFramePr>
            <a:graphic>
              <a:graphicData uri="http://schemas.openxmlformats.org/drawingml/2006/picture">
                <pic:pic>
                  <pic:nvPicPr>
                    <pic:cNvPr id="0" name="01_context.png"/>
                    <pic:cNvPicPr/>
                  </pic:nvPicPr>
                  <pic:blipFill>
                    <a:blip r:embed="rId9"/>
                    <a:stretch>
                      <a:fillRect/>
                    </a:stretch>
                  </pic:blipFill>
                  <pic:spPr>
                    <a:xfrm>
                      <a:off x="0" y="0"/>
                      <a:ext cx="6217920" cy="3339040"/>
                    </a:xfrm>
                    <a:prstGeom prst="rect"/>
                  </pic:spPr>
                </pic:pic>
              </a:graphicData>
            </a:graphic>
          </wp:inline>
        </w:drawing>
      </w:r>
    </w:p>
    <w:p>
      <w:pPr>
        <w:jc w:val="center"/>
      </w:pPr>
      <w:r>
        <w:rPr>
          <w:i/>
          <w:color w:val="4B5563"/>
          <w:sz w:val="16"/>
        </w:rPr>
        <w:t>Figure 1. Overall product context.</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Architecture rule</w:t>
            </w:r>
          </w:p>
          <w:p>
            <w:pPr>
              <w:spacing w:after="0"/>
            </w:pPr>
            <w:r>
              <w:t>Oolix is the control plane. Data Partners remain the customer-data owners. User-level targeting for partner-owned website/app ads happens inside the Data Partner. External-channel matching data goes directly from the Partner Agent to the approved channel only when the campaign is eligible and approved.</w:t>
            </w:r>
          </w:p>
        </w:tc>
      </w:tr>
    </w:tbl>
    <w:p/>
    <w:p>
      <w:r>
        <w:t>Audience: MVP developers, CTO/engineering leadership, security reviewers, founders and technical investors.</w:t>
      </w:r>
    </w:p>
    <w:p>
      <w:r>
        <w:t>Version: August 2026 - Canonical Developer Handoff v5</w:t>
      </w:r>
    </w:p>
    <w:p>
      <w:r>
        <w:br w:type="page"/>
      </w:r>
    </w:p>
    <w:p>
      <w:pPr>
        <w:pStyle w:val="Heading1"/>
      </w:pPr>
      <w:r>
        <w:t>Contents</w:t>
      </w:r>
    </w:p>
    <w:p>
      <w:r>
        <w:t>1. Product definition and MVP boundaries</w:t>
      </w:r>
    </w:p>
    <w:p>
      <w:r>
        <w:t>2. Product/component architecture</w:t>
      </w:r>
    </w:p>
    <w:p>
      <w:r>
        <w:t>3. Trust boundaries and data ownership</w:t>
      </w:r>
    </w:p>
    <w:p>
      <w:r>
        <w:t>4. Actors, organizations and RBAC</w:t>
      </w:r>
    </w:p>
    <w:p>
      <w:r>
        <w:t>5. Signup and onboarding</w:t>
      </w:r>
    </w:p>
    <w:p>
      <w:r>
        <w:t>6. Data Partner onboarding</w:t>
      </w:r>
    </w:p>
    <w:p>
      <w:r>
        <w:t>7. Data Partner source/database integration</w:t>
      </w:r>
    </w:p>
    <w:p>
      <w:r>
        <w:t>8. Partner Agent internal architecture</w:t>
      </w:r>
    </w:p>
    <w:p>
      <w:r>
        <w:t>9. Web and mobile SDK integration</w:t>
      </w:r>
    </w:p>
    <w:p>
      <w:r>
        <w:t>10. Buyer campaign creation</w:t>
      </w:r>
    </w:p>
    <w:p>
      <w:r>
        <w:t>11. Partner approval and signed manifests</w:t>
      </w:r>
    </w:p>
    <w:p>
      <w:r>
        <w:t>12. Partner-owned website/app ad-serving flow</w:t>
      </w:r>
    </w:p>
    <w:p>
      <w:r>
        <w:t>13. Multi-Data-Partner campaign orchestration</w:t>
      </w:r>
    </w:p>
    <w:p>
      <w:r>
        <w:t>14. Click, lead and conversion attribution</w:t>
      </w:r>
    </w:p>
    <w:p>
      <w:r>
        <w:t>15. Meta external activation</w:t>
      </w:r>
    </w:p>
    <w:p>
      <w:r>
        <w:t>16. Google external activation</w:t>
      </w:r>
    </w:p>
    <w:p>
      <w:r>
        <w:t>17. External account connection strategy</w:t>
      </w:r>
    </w:p>
    <w:p>
      <w:r>
        <w:t>18. Reporting and analytics</w:t>
      </w:r>
    </w:p>
    <w:p>
      <w:r>
        <w:t>19. Billing and partner payout</w:t>
      </w:r>
    </w:p>
    <w:p>
      <w:r>
        <w:t>20. Core data model</w:t>
      </w:r>
    </w:p>
    <w:p>
      <w:r>
        <w:t>21. API contracts</w:t>
      </w:r>
    </w:p>
    <w:p>
      <w:r>
        <w:t>22. Events, queues and idempotency</w:t>
      </w:r>
    </w:p>
    <w:p>
      <w:r>
        <w:t>23. Security and privacy controls</w:t>
      </w:r>
    </w:p>
    <w:p>
      <w:r>
        <w:t>24. Failure handling and kill switches</w:t>
      </w:r>
    </w:p>
    <w:p>
      <w:r>
        <w:t>25. Observability and audit</w:t>
      </w:r>
    </w:p>
    <w:p>
      <w:r>
        <w:t>26. Deployment topology and recommended stack</w:t>
      </w:r>
    </w:p>
    <w:p>
      <w:r>
        <w:t>27. Scaling and performance</w:t>
      </w:r>
    </w:p>
    <w:p>
      <w:r>
        <w:t>28. TEE / protected processing — later phase</w:t>
      </w:r>
    </w:p>
    <w:p>
      <w:r>
        <w:t>29. MVP build sequence</w:t>
      </w:r>
    </w:p>
    <w:p>
      <w:r>
        <w:t>30. Developer acceptance criteria</w:t>
      </w:r>
    </w:p>
    <w:p>
      <w:r>
        <w:t>31. Responsibility matrix</w:t>
      </w:r>
    </w:p>
    <w:p>
      <w:r>
        <w:t>32. Known policy/product risks</w:t>
      </w:r>
    </w:p>
    <w:p>
      <w:r>
        <w:t>33. Official external-channel references</w:t>
      </w:r>
    </w:p>
    <w:p>
      <w:r>
        <w:br w:type="page"/>
      </w:r>
    </w:p>
    <w:p>
      <w:pPr>
        <w:pStyle w:val="Heading1"/>
      </w:pPr>
      <w:r>
        <w:t>1. Product Definition and MVP Boundaries</w:t>
      </w:r>
    </w:p>
    <w:p>
      <w:r>
        <w:t>Oolix is a multi-party media orchestration platform. One Buyer can create one campaign and request activation across multiple independent Data Partners. Every Partner decides whether to approve the campaign and where it may run. The MVP must prove that a Buyer can acquire qualified demand through partner-owned websites/apps without any Data Partner handing its customer database to Oolix or to the Buyer.</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MVP first</w:t>
            </w:r>
          </w:p>
          <w:p>
            <w:pPr>
              <w:spacing w:after="0"/>
            </w:pPr>
            <w:r>
              <w:t>The first production MVP should be partner-owned website/app activation. Meta and Google connectors should exist behind feature flags/interfaces but should only be activated after exact account, rights and policy eligibility is validated for the selected Buyer/Partner relationship.</w:t>
            </w:r>
          </w:p>
        </w:tc>
      </w:tr>
    </w:tbl>
    <w:p/>
    <w:tbl>
      <w:tblPr>
        <w:tblStyle w:val="TableGrid"/>
        <w:tblW w:type="auto" w:w="0"/>
        <w:jc w:val="center"/>
        <w:tblLook w:firstColumn="1" w:firstRow="1" w:lastColumn="0" w:lastRow="0" w:noHBand="0" w:noVBand="1" w:val="04A0"/>
      </w:tblPr>
      <w:tblGrid>
        <w:gridCol w:w="5227"/>
        <w:gridCol w:w="5227"/>
      </w:tblGrid>
      <w:tr>
        <w:tc>
          <w:tcPr>
            <w:tcW w:type="dxa" w:w="4896"/>
            <w:vAlign w:val="center"/>
            <w:shd w:fill="1B4363"/>
          </w:tcPr>
          <w:p>
            <w:r/>
            <w:r>
              <w:rPr>
                <w:rFonts w:ascii="Arial" w:hAnsi="Arial"/>
                <w:b/>
                <w:color w:val="FFFFFF"/>
                <w:sz w:val="16"/>
              </w:rPr>
              <w:t>In MVP</w:t>
            </w:r>
          </w:p>
        </w:tc>
        <w:tc>
          <w:tcPr>
            <w:tcW w:type="dxa" w:w="4896"/>
            <w:vAlign w:val="center"/>
            <w:shd w:fill="1B4363"/>
          </w:tcPr>
          <w:p>
            <w:r/>
            <w:r>
              <w:rPr>
                <w:rFonts w:ascii="Arial" w:hAnsi="Arial"/>
                <w:b/>
                <w:color w:val="FFFFFF"/>
                <w:sz w:val="16"/>
              </w:rPr>
              <w:t>Not required for first production pilot</w:t>
            </w:r>
          </w:p>
        </w:tc>
      </w:tr>
      <w:tr>
        <w:tc>
          <w:tcPr>
            <w:tcW w:type="dxa" w:w="4896"/>
            <w:vAlign w:val="center"/>
          </w:tcPr>
          <w:p>
            <w:r/>
            <w:r>
              <w:rPr>
                <w:rFonts w:ascii="Arial" w:hAnsi="Arial"/>
                <w:b w:val="0"/>
                <w:sz w:val="15"/>
              </w:rPr>
              <w:t>Buyer + Data Partner + VC/private network accounts</w:t>
            </w:r>
          </w:p>
        </w:tc>
        <w:tc>
          <w:tcPr>
            <w:tcW w:type="dxa" w:w="4896"/>
            <w:vAlign w:val="center"/>
          </w:tcPr>
          <w:p>
            <w:r/>
            <w:r>
              <w:rPr>
                <w:rFonts w:ascii="Arial" w:hAnsi="Arial"/>
                <w:b w:val="0"/>
                <w:sz w:val="15"/>
              </w:rPr>
              <w:t>Cross-partner user graph</w:t>
            </w:r>
          </w:p>
        </w:tc>
      </w:tr>
      <w:tr>
        <w:tc>
          <w:tcPr>
            <w:tcW w:type="dxa" w:w="4896"/>
            <w:vAlign w:val="center"/>
          </w:tcPr>
          <w:p>
            <w:r/>
            <w:r>
              <w:rPr>
                <w:rFonts w:ascii="Arial" w:hAnsi="Arial"/>
                <w:b w:val="0"/>
                <w:sz w:val="15"/>
              </w:rPr>
              <w:t>Multi-Data-Partner campaign requests</w:t>
            </w:r>
          </w:p>
        </w:tc>
        <w:tc>
          <w:tcPr>
            <w:tcW w:type="dxa" w:w="4896"/>
            <w:vAlign w:val="center"/>
          </w:tcPr>
          <w:p>
            <w:r/>
            <w:r>
              <w:rPr>
                <w:rFonts w:ascii="Arial" w:hAnsi="Arial"/>
                <w:b w:val="0"/>
                <w:sz w:val="15"/>
              </w:rPr>
              <w:t>Global user frequency across Partners</w:t>
            </w:r>
          </w:p>
        </w:tc>
      </w:tr>
      <w:tr>
        <w:tc>
          <w:tcPr>
            <w:tcW w:type="dxa" w:w="4896"/>
            <w:vAlign w:val="center"/>
          </w:tcPr>
          <w:p>
            <w:r/>
            <w:r>
              <w:rPr>
                <w:rFonts w:ascii="Arial" w:hAnsi="Arial"/>
                <w:b w:val="0"/>
                <w:sz w:val="15"/>
              </w:rPr>
              <w:t>Partner Agent</w:t>
            </w:r>
          </w:p>
        </w:tc>
        <w:tc>
          <w:tcPr>
            <w:tcW w:type="dxa" w:w="4896"/>
            <w:vAlign w:val="center"/>
          </w:tcPr>
          <w:p>
            <w:r/>
            <w:r>
              <w:rPr>
                <w:rFonts w:ascii="Arial" w:hAnsi="Arial"/>
                <w:b w:val="0"/>
                <w:sz w:val="15"/>
              </w:rPr>
              <w:t>TEE / clean-room processing</w:t>
            </w:r>
          </w:p>
        </w:tc>
      </w:tr>
      <w:tr>
        <w:tc>
          <w:tcPr>
            <w:tcW w:type="dxa" w:w="4896"/>
            <w:vAlign w:val="center"/>
          </w:tcPr>
          <w:p>
            <w:r/>
            <w:r>
              <w:rPr>
                <w:rFonts w:ascii="Arial" w:hAnsi="Arial"/>
                <w:b w:val="0"/>
                <w:sz w:val="15"/>
              </w:rPr>
              <w:t>Web ad slot / SDK</w:t>
            </w:r>
          </w:p>
        </w:tc>
        <w:tc>
          <w:tcPr>
            <w:tcW w:type="dxa" w:w="4896"/>
            <w:vAlign w:val="center"/>
          </w:tcPr>
          <w:p>
            <w:r/>
            <w:r>
              <w:rPr>
                <w:rFonts w:ascii="Arial" w:hAnsi="Arial"/>
                <w:b w:val="0"/>
                <w:sz w:val="15"/>
              </w:rPr>
              <w:t>Complex real-time auction</w:t>
            </w:r>
          </w:p>
        </w:tc>
      </w:tr>
      <w:tr>
        <w:tc>
          <w:tcPr>
            <w:tcW w:type="dxa" w:w="4896"/>
            <w:vAlign w:val="center"/>
          </w:tcPr>
          <w:p>
            <w:r/>
            <w:r>
              <w:rPr>
                <w:rFonts w:ascii="Arial" w:hAnsi="Arial"/>
                <w:b w:val="0"/>
                <w:sz w:val="15"/>
              </w:rPr>
              <w:t>Local segment lookup</w:t>
            </w:r>
          </w:p>
        </w:tc>
        <w:tc>
          <w:tcPr>
            <w:tcW w:type="dxa" w:w="4896"/>
            <w:vAlign w:val="center"/>
          </w:tcPr>
          <w:p>
            <w:r/>
            <w:r>
              <w:rPr>
                <w:rFonts w:ascii="Arial" w:hAnsi="Arial"/>
                <w:b w:val="0"/>
                <w:sz w:val="15"/>
              </w:rPr>
              <w:t>Arbitrary query builder over partner raw data</w:t>
            </w:r>
          </w:p>
        </w:tc>
      </w:tr>
      <w:tr>
        <w:tc>
          <w:tcPr>
            <w:tcW w:type="dxa" w:w="4896"/>
            <w:vAlign w:val="center"/>
          </w:tcPr>
          <w:p>
            <w:r/>
            <w:r>
              <w:rPr>
                <w:rFonts w:ascii="Arial" w:hAnsi="Arial"/>
                <w:b w:val="0"/>
                <w:sz w:val="15"/>
              </w:rPr>
              <w:t>Approve / reject / change</w:t>
            </w:r>
          </w:p>
        </w:tc>
        <w:tc>
          <w:tcPr>
            <w:tcW w:type="dxa" w:w="4896"/>
            <w:vAlign w:val="center"/>
          </w:tcPr>
          <w:p>
            <w:r/>
            <w:r>
              <w:rPr>
                <w:rFonts w:ascii="Arial" w:hAnsi="Arial"/>
                <w:b w:val="0"/>
                <w:sz w:val="15"/>
              </w:rPr>
              <w:t>Universal Google/Meta activation guarantee</w:t>
            </w:r>
          </w:p>
        </w:tc>
      </w:tr>
      <w:tr>
        <w:tc>
          <w:tcPr>
            <w:tcW w:type="dxa" w:w="4896"/>
            <w:vAlign w:val="center"/>
          </w:tcPr>
          <w:p>
            <w:r/>
            <w:r>
              <w:rPr>
                <w:rFonts w:ascii="Arial" w:hAnsi="Arial"/>
                <w:b w:val="0"/>
                <w:sz w:val="15"/>
              </w:rPr>
              <w:t>Anonymous click / lead attribution</w:t>
            </w:r>
          </w:p>
        </w:tc>
        <w:tc>
          <w:tcPr>
            <w:tcW w:type="dxa" w:w="4896"/>
            <w:vAlign w:val="center"/>
          </w:tcPr>
          <w:p>
            <w:r/>
            <w:r>
              <w:rPr>
                <w:rFonts w:ascii="Arial" w:hAnsi="Arial"/>
                <w:b w:val="0"/>
                <w:sz w:val="15"/>
              </w:rPr>
              <w:t>Combined cross-partner audience export</w:t>
            </w:r>
          </w:p>
        </w:tc>
      </w:tr>
      <w:tr>
        <w:tc>
          <w:tcPr>
            <w:tcW w:type="dxa" w:w="4896"/>
            <w:vAlign w:val="center"/>
          </w:tcPr>
          <w:p>
            <w:r/>
            <w:r>
              <w:rPr>
                <w:rFonts w:ascii="Arial" w:hAnsi="Arial"/>
                <w:b w:val="0"/>
                <w:sz w:val="15"/>
              </w:rPr>
              <w:t>Aggregate reporting + basic billing</w:t>
            </w:r>
          </w:p>
        </w:tc>
        <w:tc>
          <w:tcPr>
            <w:tcW w:type="dxa" w:w="4896"/>
            <w:vAlign w:val="center"/>
          </w:tcPr>
          <w:p>
            <w:r/>
            <w:r>
              <w:rPr>
                <w:rFonts w:ascii="Arial" w:hAnsi="Arial"/>
                <w:b w:val="0"/>
                <w:sz w:val="15"/>
              </w:rPr>
              <w:t>Advanced ML optimization</w:t>
            </w:r>
          </w:p>
        </w:tc>
      </w:tr>
    </w:tbl>
    <w:p/>
    <w:p>
      <w:r>
        <w:br w:type="page"/>
      </w:r>
    </w:p>
    <w:p>
      <w:pPr>
        <w:pStyle w:val="Heading1"/>
      </w:pPr>
      <w:r>
        <w:t>2. Product / Component Architecture</w:t>
      </w:r>
    </w:p>
    <w:p>
      <w:pPr>
        <w:jc w:val="center"/>
      </w:pPr>
      <w:r>
        <w:drawing>
          <wp:inline xmlns:a="http://schemas.openxmlformats.org/drawingml/2006/main" xmlns:pic="http://schemas.openxmlformats.org/drawingml/2006/picture">
            <wp:extent cx="6217920" cy="1981573"/>
            <wp:docPr id="2" name="Picture 2"/>
            <wp:cNvGraphicFramePr>
              <a:graphicFrameLocks noChangeAspect="1"/>
            </wp:cNvGraphicFramePr>
            <a:graphic>
              <a:graphicData uri="http://schemas.openxmlformats.org/drawingml/2006/picture">
                <pic:pic>
                  <pic:nvPicPr>
                    <pic:cNvPr id="0" name="02_products.png"/>
                    <pic:cNvPicPr/>
                  </pic:nvPicPr>
                  <pic:blipFill>
                    <a:blip r:embed="rId10"/>
                    <a:stretch>
                      <a:fillRect/>
                    </a:stretch>
                  </pic:blipFill>
                  <pic:spPr>
                    <a:xfrm>
                      <a:off x="0" y="0"/>
                      <a:ext cx="6217920" cy="1981573"/>
                    </a:xfrm>
                    <a:prstGeom prst="rect"/>
                  </pic:spPr>
                </pic:pic>
              </a:graphicData>
            </a:graphic>
          </wp:inline>
        </w:drawing>
      </w:r>
    </w:p>
    <w:p>
      <w:pPr>
        <w:jc w:val="center"/>
      </w:pPr>
      <w:r>
        <w:rPr>
          <w:i/>
          <w:color w:val="4B5563"/>
          <w:sz w:val="16"/>
        </w:rPr>
        <w:t>Figure 2. Three MVP deliverables plus optional future TEE layer.</w:t>
      </w:r>
    </w:p>
    <w:p>
      <w:pPr>
        <w:pStyle w:val="Heading2"/>
      </w:pPr>
      <w:r>
        <w:t>2.1 Product 1 — Oolix Cloud Platform</w:t>
      </w:r>
    </w:p>
    <w:p>
      <w:pPr>
        <w:pStyle w:val="ListBullet"/>
        <w:spacing w:after="30"/>
      </w:pPr>
      <w:r>
        <w:t>Hosted by us.</w:t>
      </w:r>
    </w:p>
    <w:p>
      <w:pPr>
        <w:pStyle w:val="ListBullet"/>
        <w:spacing w:after="30"/>
      </w:pPr>
      <w:r>
        <w:t>Single web application for Buyer, Data Partner, VC/NETWORK_ADMIN and OOLIX_ADMIN.</w:t>
      </w:r>
    </w:p>
    <w:p>
      <w:pPr>
        <w:pStyle w:val="ListBullet"/>
        <w:spacing w:after="30"/>
      </w:pPr>
      <w:r>
        <w:t>Control-plane backend: organizations, networks, segment metadata, placements, campaigns, approvals, creatives, activation state, reporting, billing and payout.</w:t>
      </w:r>
    </w:p>
    <w:p>
      <w:pPr>
        <w:pStyle w:val="ListBullet"/>
        <w:spacing w:after="30"/>
      </w:pPr>
      <w:r>
        <w:t>Must not store partner customer membership lists.</w:t>
      </w:r>
    </w:p>
    <w:p>
      <w:pPr>
        <w:pStyle w:val="Heading2"/>
      </w:pPr>
      <w:r>
        <w:t>2.2 Product 2 — Oolix Partner Agent</w:t>
      </w:r>
    </w:p>
    <w:p>
      <w:pPr>
        <w:pStyle w:val="ListBullet"/>
        <w:spacing w:after="30"/>
      </w:pPr>
      <w:r>
        <w:t>One deployable service inside each Data Partner environment.</w:t>
      </w:r>
    </w:p>
    <w:p>
      <w:pPr>
        <w:pStyle w:val="ListBullet"/>
        <w:spacing w:after="30"/>
      </w:pPr>
      <w:r>
        <w:t>Do not split app/web and Meta/Google into two separate partner backends for MVP. Use one Agent with modules/adapters.</w:t>
      </w:r>
    </w:p>
    <w:p>
      <w:pPr>
        <w:pStyle w:val="ListBullet"/>
        <w:spacing w:after="30"/>
      </w:pPr>
      <w:r>
        <w:t>Handles local audience lookup, consent/policy enforcement, local ad decisions, local counters and optional external-channel audience activation.</w:t>
      </w:r>
    </w:p>
    <w:p>
      <w:pPr>
        <w:pStyle w:val="ListBullet"/>
        <w:spacing w:after="30"/>
      </w:pPr>
      <w:r>
        <w:t>Normally communicates outbound to Oolix.</w:t>
      </w:r>
    </w:p>
    <w:p>
      <w:pPr>
        <w:pStyle w:val="Heading2"/>
      </w:pPr>
      <w:r>
        <w:t>2.3 Product 3 — Oolix Ad SDK / Components</w:t>
      </w:r>
    </w:p>
    <w:p>
      <w:pPr>
        <w:pStyle w:val="ListBullet"/>
        <w:spacing w:after="30"/>
      </w:pPr>
      <w:r>
        <w:t>Small web/mobile package installed by the Data Partner.</w:t>
      </w:r>
    </w:p>
    <w:p>
      <w:pPr>
        <w:pStyle w:val="ListBullet"/>
        <w:spacing w:after="30"/>
      </w:pPr>
      <w:r>
        <w:t>Renders approved ads at partner-defined placements.</w:t>
      </w:r>
    </w:p>
    <w:p>
      <w:pPr>
        <w:pStyle w:val="ListBullet"/>
        <w:spacing w:after="30"/>
      </w:pPr>
      <w:r>
        <w:t>Does not contain customer-segmentation rules.</w:t>
      </w:r>
    </w:p>
    <w:p>
      <w:pPr>
        <w:pStyle w:val="ListBullet"/>
        <w:spacing w:after="30"/>
      </w:pPr>
      <w:r>
        <w:t>Calls partner backend/local Agent path, not Oolix with a raw partner user ID.</w:t>
      </w:r>
    </w:p>
    <w:p>
      <w:pPr>
        <w:pStyle w:val="Heading2"/>
      </w:pPr>
      <w:r>
        <w:t>2.4 Optional later — TEE</w:t>
      </w:r>
    </w:p>
    <w:p>
      <w:r>
        <w:t>Used only when multiple Data Partners must be compared or combined (dedupe, overlap, union, unique reach, cross-partner frequency or protected multi-partner external payloads). It is not required for the MVP app/web flow.</w:t>
      </w:r>
    </w:p>
    <w:p>
      <w:r>
        <w:br w:type="page"/>
      </w:r>
    </w:p>
    <w:p>
      <w:pPr>
        <w:pStyle w:val="Heading1"/>
      </w:pPr>
      <w:r>
        <w:t>3. Trust Boundaries and Data Ownership</w:t>
      </w:r>
    </w:p>
    <w:p>
      <w:pPr>
        <w:jc w:val="center"/>
      </w:pPr>
      <w:r>
        <w:drawing>
          <wp:inline xmlns:a="http://schemas.openxmlformats.org/drawingml/2006/main" xmlns:pic="http://schemas.openxmlformats.org/drawingml/2006/picture">
            <wp:extent cx="6217920" cy="3273792"/>
            <wp:docPr id="3" name="Picture 3"/>
            <wp:cNvGraphicFramePr>
              <a:graphicFrameLocks noChangeAspect="1"/>
            </wp:cNvGraphicFramePr>
            <a:graphic>
              <a:graphicData uri="http://schemas.openxmlformats.org/drawingml/2006/picture">
                <pic:pic>
                  <pic:nvPicPr>
                    <pic:cNvPr id="0" name="03_trust_boundaries.png"/>
                    <pic:cNvPicPr/>
                  </pic:nvPicPr>
                  <pic:blipFill>
                    <a:blip r:embed="rId11"/>
                    <a:stretch>
                      <a:fillRect/>
                    </a:stretch>
                  </pic:blipFill>
                  <pic:spPr>
                    <a:xfrm>
                      <a:off x="0" y="0"/>
                      <a:ext cx="6217920" cy="3273792"/>
                    </a:xfrm>
                    <a:prstGeom prst="rect"/>
                  </pic:spPr>
                </pic:pic>
              </a:graphicData>
            </a:graphic>
          </wp:inline>
        </w:drawing>
      </w:r>
    </w:p>
    <w:p>
      <w:pPr>
        <w:jc w:val="center"/>
      </w:pPr>
      <w:r>
        <w:rPr>
          <w:i/>
          <w:color w:val="4B5563"/>
          <w:sz w:val="16"/>
        </w:rPr>
        <w:t>Figure 3. Data ownership and trust boundaries.</w:t>
      </w:r>
    </w:p>
    <w:tbl>
      <w:tblPr>
        <w:tblStyle w:val="TableGrid"/>
        <w:tblW w:type="auto" w:w="0"/>
        <w:jc w:val="center"/>
        <w:tblLook w:firstColumn="1" w:firstRow="1" w:lastColumn="0" w:lastRow="0" w:noHBand="0" w:noVBand="1" w:val="04A0"/>
      </w:tblPr>
      <w:tblGrid>
        <w:gridCol w:w="3485"/>
        <w:gridCol w:w="3485"/>
        <w:gridCol w:w="3485"/>
      </w:tblGrid>
      <w:tr>
        <w:tc>
          <w:tcPr>
            <w:tcW w:type="dxa" w:w="3600"/>
            <w:vAlign w:val="center"/>
            <w:shd w:fill="1B4363"/>
          </w:tcPr>
          <w:p>
            <w:r/>
            <w:r>
              <w:rPr>
                <w:rFonts w:ascii="Arial" w:hAnsi="Arial"/>
                <w:b/>
                <w:color w:val="FFFFFF"/>
                <w:sz w:val="16"/>
              </w:rPr>
              <w:t>Data / object</w:t>
            </w:r>
          </w:p>
        </w:tc>
        <w:tc>
          <w:tcPr>
            <w:tcW w:type="dxa" w:w="3456"/>
            <w:vAlign w:val="center"/>
            <w:shd w:fill="1B4363"/>
          </w:tcPr>
          <w:p>
            <w:r/>
            <w:r>
              <w:rPr>
                <w:rFonts w:ascii="Arial" w:hAnsi="Arial"/>
                <w:b/>
                <w:color w:val="FFFFFF"/>
                <w:sz w:val="16"/>
              </w:rPr>
              <w:t>Location</w:t>
            </w:r>
          </w:p>
        </w:tc>
        <w:tc>
          <w:tcPr>
            <w:tcW w:type="dxa" w:w="2880"/>
            <w:vAlign w:val="center"/>
            <w:shd w:fill="1B4363"/>
          </w:tcPr>
          <w:p>
            <w:r/>
            <w:r>
              <w:rPr>
                <w:rFonts w:ascii="Arial" w:hAnsi="Arial"/>
                <w:b/>
                <w:color w:val="FFFFFF"/>
                <w:sz w:val="16"/>
              </w:rPr>
              <w:t>Can Oolix see it?</w:t>
            </w:r>
          </w:p>
        </w:tc>
      </w:tr>
      <w:tr>
        <w:tc>
          <w:tcPr>
            <w:tcW w:type="dxa" w:w="3600"/>
            <w:vAlign w:val="center"/>
          </w:tcPr>
          <w:p>
            <w:r/>
            <w:r>
              <w:rPr>
                <w:rFonts w:ascii="Arial" w:hAnsi="Arial"/>
                <w:b w:val="0"/>
                <w:sz w:val="15"/>
              </w:rPr>
              <w:t>Customer names / email / phone</w:t>
            </w:r>
          </w:p>
        </w:tc>
        <w:tc>
          <w:tcPr>
            <w:tcW w:type="dxa" w:w="3456"/>
            <w:vAlign w:val="center"/>
          </w:tcPr>
          <w:p>
            <w:r/>
            <w:r>
              <w:rPr>
                <w:rFonts w:ascii="Arial" w:hAnsi="Arial"/>
                <w:b w:val="0"/>
                <w:sz w:val="15"/>
              </w:rPr>
              <w:t>Partner existing systems</w:t>
            </w:r>
          </w:p>
        </w:tc>
        <w:tc>
          <w:tcPr>
            <w:tcW w:type="dxa" w:w="2880"/>
            <w:vAlign w:val="center"/>
          </w:tcPr>
          <w:p>
            <w:r/>
            <w:r>
              <w:rPr>
                <w:rFonts w:ascii="Arial" w:hAnsi="Arial"/>
                <w:b w:val="0"/>
                <w:sz w:val="15"/>
              </w:rPr>
              <w:t>No, except a user later submits/consents as a Buyer lead</w:t>
            </w:r>
          </w:p>
        </w:tc>
      </w:tr>
      <w:tr>
        <w:tc>
          <w:tcPr>
            <w:tcW w:type="dxa" w:w="3600"/>
            <w:vAlign w:val="center"/>
          </w:tcPr>
          <w:p>
            <w:r/>
            <w:r>
              <w:rPr>
                <w:rFonts w:ascii="Arial" w:hAnsi="Arial"/>
                <w:b w:val="0"/>
                <w:sz w:val="15"/>
              </w:rPr>
              <w:t>Partner internal user ID</w:t>
            </w:r>
          </w:p>
        </w:tc>
        <w:tc>
          <w:tcPr>
            <w:tcW w:type="dxa" w:w="3456"/>
            <w:vAlign w:val="center"/>
          </w:tcPr>
          <w:p>
            <w:r/>
            <w:r>
              <w:rPr>
                <w:rFonts w:ascii="Arial" w:hAnsi="Arial"/>
                <w:b w:val="0"/>
                <w:sz w:val="15"/>
              </w:rPr>
              <w:t>Partner only</w:t>
            </w:r>
          </w:p>
        </w:tc>
        <w:tc>
          <w:tcPr>
            <w:tcW w:type="dxa" w:w="2880"/>
            <w:vAlign w:val="center"/>
          </w:tcPr>
          <w:p>
            <w:r/>
            <w:r>
              <w:rPr>
                <w:rFonts w:ascii="Arial" w:hAnsi="Arial"/>
                <w:b w:val="0"/>
                <w:sz w:val="15"/>
              </w:rPr>
              <w:t>No central storage</w:t>
            </w:r>
          </w:p>
        </w:tc>
      </w:tr>
      <w:tr>
        <w:tc>
          <w:tcPr>
            <w:tcW w:type="dxa" w:w="3600"/>
            <w:vAlign w:val="center"/>
          </w:tcPr>
          <w:p>
            <w:r/>
            <w:r>
              <w:rPr>
                <w:rFonts w:ascii="Arial" w:hAnsi="Arial"/>
                <w:b w:val="0"/>
                <w:sz w:val="15"/>
              </w:rPr>
              <w:t>Segment membership</w:t>
            </w:r>
          </w:p>
        </w:tc>
        <w:tc>
          <w:tcPr>
            <w:tcW w:type="dxa" w:w="3456"/>
            <w:vAlign w:val="center"/>
          </w:tcPr>
          <w:p>
            <w:r/>
            <w:r>
              <w:rPr>
                <w:rFonts w:ascii="Arial" w:hAnsi="Arial"/>
                <w:b w:val="0"/>
                <w:sz w:val="15"/>
              </w:rPr>
              <w:t>Partner local segment store/API</w:t>
            </w:r>
          </w:p>
        </w:tc>
        <w:tc>
          <w:tcPr>
            <w:tcW w:type="dxa" w:w="2880"/>
            <w:vAlign w:val="center"/>
          </w:tcPr>
          <w:p>
            <w:r/>
            <w:r>
              <w:rPr>
                <w:rFonts w:ascii="Arial" w:hAnsi="Arial"/>
                <w:b w:val="0"/>
                <w:sz w:val="15"/>
              </w:rPr>
              <w:t>No</w:t>
            </w:r>
          </w:p>
        </w:tc>
      </w:tr>
      <w:tr>
        <w:tc>
          <w:tcPr>
            <w:tcW w:type="dxa" w:w="3600"/>
            <w:vAlign w:val="center"/>
          </w:tcPr>
          <w:p>
            <w:r/>
            <w:r>
              <w:rPr>
                <w:rFonts w:ascii="Arial" w:hAnsi="Arial"/>
                <w:b w:val="0"/>
                <w:sz w:val="15"/>
              </w:rPr>
              <w:t>Segment name / definition / reach bucket</w:t>
            </w:r>
          </w:p>
        </w:tc>
        <w:tc>
          <w:tcPr>
            <w:tcW w:type="dxa" w:w="3456"/>
            <w:vAlign w:val="center"/>
          </w:tcPr>
          <w:p>
            <w:r/>
            <w:r>
              <w:rPr>
                <w:rFonts w:ascii="Arial" w:hAnsi="Arial"/>
                <w:b w:val="0"/>
                <w:sz w:val="15"/>
              </w:rPr>
              <w:t>Oolix catalogue</w:t>
            </w:r>
          </w:p>
        </w:tc>
        <w:tc>
          <w:tcPr>
            <w:tcW w:type="dxa" w:w="2880"/>
            <w:vAlign w:val="center"/>
          </w:tcPr>
          <w:p>
            <w:r/>
            <w:r>
              <w:rPr>
                <w:rFonts w:ascii="Arial" w:hAnsi="Arial"/>
                <w:b w:val="0"/>
                <w:sz w:val="15"/>
              </w:rPr>
              <w:t>Yes</w:t>
            </w:r>
          </w:p>
        </w:tc>
      </w:tr>
      <w:tr>
        <w:tc>
          <w:tcPr>
            <w:tcW w:type="dxa" w:w="3600"/>
            <w:vAlign w:val="center"/>
          </w:tcPr>
          <w:p>
            <w:r/>
            <w:r>
              <w:rPr>
                <w:rFonts w:ascii="Arial" w:hAnsi="Arial"/>
                <w:b w:val="0"/>
                <w:sz w:val="15"/>
              </w:rPr>
              <w:t>Campaign / creative / budget</w:t>
            </w:r>
          </w:p>
        </w:tc>
        <w:tc>
          <w:tcPr>
            <w:tcW w:type="dxa" w:w="3456"/>
            <w:vAlign w:val="center"/>
          </w:tcPr>
          <w:p>
            <w:r/>
            <w:r>
              <w:rPr>
                <w:rFonts w:ascii="Arial" w:hAnsi="Arial"/>
                <w:b w:val="0"/>
                <w:sz w:val="15"/>
              </w:rPr>
              <w:t>Oolix</w:t>
            </w:r>
          </w:p>
        </w:tc>
        <w:tc>
          <w:tcPr>
            <w:tcW w:type="dxa" w:w="2880"/>
            <w:vAlign w:val="center"/>
          </w:tcPr>
          <w:p>
            <w:r/>
            <w:r>
              <w:rPr>
                <w:rFonts w:ascii="Arial" w:hAnsi="Arial"/>
                <w:b w:val="0"/>
                <w:sz w:val="15"/>
              </w:rPr>
              <w:t>Yes</w:t>
            </w:r>
          </w:p>
        </w:tc>
      </w:tr>
      <w:tr>
        <w:tc>
          <w:tcPr>
            <w:tcW w:type="dxa" w:w="3600"/>
            <w:vAlign w:val="center"/>
          </w:tcPr>
          <w:p>
            <w:r/>
            <w:r>
              <w:rPr>
                <w:rFonts w:ascii="Arial" w:hAnsi="Arial"/>
                <w:b w:val="0"/>
                <w:sz w:val="15"/>
              </w:rPr>
              <w:t>Approval state</w:t>
            </w:r>
          </w:p>
        </w:tc>
        <w:tc>
          <w:tcPr>
            <w:tcW w:type="dxa" w:w="3456"/>
            <w:vAlign w:val="center"/>
          </w:tcPr>
          <w:p>
            <w:r/>
            <w:r>
              <w:rPr>
                <w:rFonts w:ascii="Arial" w:hAnsi="Arial"/>
                <w:b w:val="0"/>
                <w:sz w:val="15"/>
              </w:rPr>
              <w:t>Oolix + cached/signed in Agent</w:t>
            </w:r>
          </w:p>
        </w:tc>
        <w:tc>
          <w:tcPr>
            <w:tcW w:type="dxa" w:w="2880"/>
            <w:vAlign w:val="center"/>
          </w:tcPr>
          <w:p>
            <w:r/>
            <w:r>
              <w:rPr>
                <w:rFonts w:ascii="Arial" w:hAnsi="Arial"/>
                <w:b w:val="0"/>
                <w:sz w:val="15"/>
              </w:rPr>
              <w:t>Yes</w:t>
            </w:r>
          </w:p>
        </w:tc>
      </w:tr>
      <w:tr>
        <w:tc>
          <w:tcPr>
            <w:tcW w:type="dxa" w:w="3600"/>
            <w:vAlign w:val="center"/>
          </w:tcPr>
          <w:p>
            <w:r/>
            <w:r>
              <w:rPr>
                <w:rFonts w:ascii="Arial" w:hAnsi="Arial"/>
                <w:b w:val="0"/>
                <w:sz w:val="15"/>
              </w:rPr>
              <w:t>Per-user frequency state</w:t>
            </w:r>
          </w:p>
        </w:tc>
        <w:tc>
          <w:tcPr>
            <w:tcW w:type="dxa" w:w="3456"/>
            <w:vAlign w:val="center"/>
          </w:tcPr>
          <w:p>
            <w:r/>
            <w:r>
              <w:rPr>
                <w:rFonts w:ascii="Arial" w:hAnsi="Arial"/>
                <w:b w:val="0"/>
                <w:sz w:val="15"/>
              </w:rPr>
              <w:t>Partner local</w:t>
            </w:r>
          </w:p>
        </w:tc>
        <w:tc>
          <w:tcPr>
            <w:tcW w:type="dxa" w:w="2880"/>
            <w:vAlign w:val="center"/>
          </w:tcPr>
          <w:p>
            <w:r/>
            <w:r>
              <w:rPr>
                <w:rFonts w:ascii="Arial" w:hAnsi="Arial"/>
                <w:b w:val="0"/>
                <w:sz w:val="15"/>
              </w:rPr>
              <w:t>No</w:t>
            </w:r>
          </w:p>
        </w:tc>
      </w:tr>
      <w:tr>
        <w:tc>
          <w:tcPr>
            <w:tcW w:type="dxa" w:w="3600"/>
            <w:vAlign w:val="center"/>
          </w:tcPr>
          <w:p>
            <w:r/>
            <w:r>
              <w:rPr>
                <w:rFonts w:ascii="Arial" w:hAnsi="Arial"/>
                <w:b w:val="0"/>
                <w:sz w:val="15"/>
              </w:rPr>
              <w:t>Aggregate impressions/clicks</w:t>
            </w:r>
          </w:p>
        </w:tc>
        <w:tc>
          <w:tcPr>
            <w:tcW w:type="dxa" w:w="3456"/>
            <w:vAlign w:val="center"/>
          </w:tcPr>
          <w:p>
            <w:r/>
            <w:r>
              <w:rPr>
                <w:rFonts w:ascii="Arial" w:hAnsi="Arial"/>
                <w:b w:val="0"/>
                <w:sz w:val="15"/>
              </w:rPr>
              <w:t>Oolix analytics</w:t>
            </w:r>
          </w:p>
        </w:tc>
        <w:tc>
          <w:tcPr>
            <w:tcW w:type="dxa" w:w="2880"/>
            <w:vAlign w:val="center"/>
          </w:tcPr>
          <w:p>
            <w:r/>
            <w:r>
              <w:rPr>
                <w:rFonts w:ascii="Arial" w:hAnsi="Arial"/>
                <w:b w:val="0"/>
                <w:sz w:val="15"/>
              </w:rPr>
              <w:t>Yes</w:t>
            </w:r>
          </w:p>
        </w:tc>
      </w:tr>
      <w:tr>
        <w:tc>
          <w:tcPr>
            <w:tcW w:type="dxa" w:w="3600"/>
            <w:vAlign w:val="center"/>
          </w:tcPr>
          <w:p>
            <w:r/>
            <w:r>
              <w:rPr>
                <w:rFonts w:ascii="Arial" w:hAnsi="Arial"/>
                <w:b w:val="0"/>
                <w:sz w:val="15"/>
              </w:rPr>
              <w:t>Meta/Google audience IDs</w:t>
            </w:r>
          </w:p>
        </w:tc>
        <w:tc>
          <w:tcPr>
            <w:tcW w:type="dxa" w:w="3456"/>
            <w:vAlign w:val="center"/>
          </w:tcPr>
          <w:p>
            <w:r/>
            <w:r>
              <w:rPr>
                <w:rFonts w:ascii="Arial" w:hAnsi="Arial"/>
                <w:b w:val="0"/>
                <w:sz w:val="15"/>
              </w:rPr>
              <w:t>Oolix control metadata</w:t>
            </w:r>
          </w:p>
        </w:tc>
        <w:tc>
          <w:tcPr>
            <w:tcW w:type="dxa" w:w="2880"/>
            <w:vAlign w:val="center"/>
          </w:tcPr>
          <w:p>
            <w:r/>
            <w:r>
              <w:rPr>
                <w:rFonts w:ascii="Arial" w:hAnsi="Arial"/>
                <w:b w:val="0"/>
                <w:sz w:val="15"/>
              </w:rPr>
              <w:t>Yes</w:t>
            </w:r>
          </w:p>
        </w:tc>
      </w:tr>
      <w:tr>
        <w:tc>
          <w:tcPr>
            <w:tcW w:type="dxa" w:w="3600"/>
            <w:vAlign w:val="center"/>
          </w:tcPr>
          <w:p>
            <w:r/>
            <w:r>
              <w:rPr>
                <w:rFonts w:ascii="Arial" w:hAnsi="Arial"/>
                <w:b w:val="0"/>
                <w:sz w:val="15"/>
              </w:rPr>
              <w:t>Raw matching payload for Meta/Google</w:t>
            </w:r>
          </w:p>
        </w:tc>
        <w:tc>
          <w:tcPr>
            <w:tcW w:type="dxa" w:w="3456"/>
            <w:vAlign w:val="center"/>
          </w:tcPr>
          <w:p>
            <w:r/>
            <w:r>
              <w:rPr>
                <w:rFonts w:ascii="Arial" w:hAnsi="Arial"/>
                <w:b w:val="0"/>
                <w:sz w:val="15"/>
              </w:rPr>
              <w:t>Partner Agent → external channel</w:t>
            </w:r>
          </w:p>
        </w:tc>
        <w:tc>
          <w:tcPr>
            <w:tcW w:type="dxa" w:w="2880"/>
            <w:vAlign w:val="center"/>
          </w:tcPr>
          <w:p>
            <w:r/>
            <w:r>
              <w:rPr>
                <w:rFonts w:ascii="Arial" w:hAnsi="Arial"/>
                <w:b w:val="0"/>
                <w:sz w:val="15"/>
              </w:rPr>
              <w:t>No central persistence</w:t>
            </w:r>
          </w:p>
        </w:tc>
      </w:tr>
    </w:tbl>
    <w:p/>
    <w:p>
      <w:r>
        <w:br w:type="page"/>
      </w:r>
    </w:p>
    <w:p>
      <w:pPr>
        <w:pStyle w:val="Heading1"/>
      </w:pPr>
      <w:r>
        <w:t>4. Actors, Organizations and RBAC (Legacy Summary - Canonical RBAC: §66)</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Role</w:t>
            </w:r>
          </w:p>
        </w:tc>
        <w:tc>
          <w:tcPr>
            <w:tcW w:type="dxa" w:w="7200"/>
            <w:vAlign w:val="center"/>
            <w:shd w:fill="1B4363"/>
          </w:tcPr>
          <w:p>
            <w:r/>
            <w:r>
              <w:rPr>
                <w:rFonts w:ascii="Arial" w:hAnsi="Arial"/>
                <w:b/>
                <w:color w:val="FFFFFF"/>
                <w:sz w:val="16"/>
              </w:rPr>
              <w:t>Main actions</w:t>
            </w:r>
          </w:p>
        </w:tc>
      </w:tr>
      <w:tr>
        <w:tc>
          <w:tcPr>
            <w:tcW w:type="dxa" w:w="2592"/>
            <w:vAlign w:val="center"/>
          </w:tcPr>
          <w:p>
            <w:r>
              <w:t>BUYER_ADMIN</w:t>
            </w:r>
          </w:p>
        </w:tc>
        <w:tc>
          <w:tcPr>
            <w:tcW w:type="dxa" w:w="7200"/>
            <w:vAlign w:val="center"/>
          </w:tcPr>
          <w:p>
            <w:r/>
            <w:r>
              <w:rPr>
                <w:rFonts w:ascii="Arial" w:hAnsi="Arial"/>
                <w:b w:val="0"/>
                <w:sz w:val="15"/>
              </w:rPr>
              <w:t>Create campaigns, upload creative, choose Partners/channels, fund campaign, view performance.</w:t>
            </w:r>
          </w:p>
        </w:tc>
      </w:tr>
      <w:tr>
        <w:tc>
          <w:tcPr>
            <w:tcW w:type="dxa" w:w="2592"/>
            <w:vAlign w:val="center"/>
          </w:tcPr>
          <w:p>
            <w:r>
              <w:t>PARTNER_ADMIN</w:t>
            </w:r>
          </w:p>
        </w:tc>
        <w:tc>
          <w:tcPr>
            <w:tcW w:type="dxa" w:w="7200"/>
            <w:vAlign w:val="center"/>
          </w:tcPr>
          <w:p>
            <w:r/>
            <w:r>
              <w:rPr>
                <w:rFonts w:ascii="Arial" w:hAnsi="Arial"/>
                <w:b w:val="0"/>
                <w:sz w:val="15"/>
              </w:rPr>
              <w:t>Publish segment metadata/placements, approve/reject campaigns, manage Agent and channel connections, view payout.</w:t>
            </w:r>
          </w:p>
        </w:tc>
      </w:tr>
      <w:tr>
        <w:tc>
          <w:tcPr>
            <w:tcW w:type="dxa" w:w="2592"/>
            <w:vAlign w:val="center"/>
          </w:tcPr>
          <w:p>
            <w:r>
              <w:t>PARTNER_SECURITY_ADMIN</w:t>
            </w:r>
          </w:p>
        </w:tc>
        <w:tc>
          <w:tcPr>
            <w:tcW w:type="dxa" w:w="7200"/>
            <w:vAlign w:val="center"/>
          </w:tcPr>
          <w:p>
            <w:r/>
            <w:r>
              <w:rPr>
                <w:rFonts w:ascii="Arial" w:hAnsi="Arial"/>
                <w:b w:val="0"/>
                <w:sz w:val="15"/>
              </w:rPr>
              <w:t>Approve connector, Agent credentials, egress, channel account connection and kill switch.</w:t>
            </w:r>
          </w:p>
        </w:tc>
      </w:tr>
      <w:tr>
        <w:tc>
          <w:tcPr>
            <w:tcW w:type="dxa" w:w="2592"/>
            <w:vAlign w:val="center"/>
          </w:tcPr>
          <w:p>
            <w:r>
              <w:t>NETWORK_ADMIN</w:t>
            </w:r>
          </w:p>
        </w:tc>
        <w:tc>
          <w:tcPr>
            <w:tcW w:type="dxa" w:w="7200"/>
            <w:vAlign w:val="center"/>
          </w:tcPr>
          <w:p>
            <w:r/>
            <w:r>
              <w:rPr>
                <w:rFonts w:ascii="Arial" w:hAnsi="Arial"/>
                <w:b w:val="0"/>
                <w:sz w:val="15"/>
              </w:rPr>
              <w:t>Invite portfolio companies, define network membership, view aggregate network KPIs; cannot override Partner approval.</w:t>
            </w:r>
          </w:p>
        </w:tc>
      </w:tr>
      <w:tr>
        <w:tc>
          <w:tcPr>
            <w:tcW w:type="dxa" w:w="2592"/>
            <w:vAlign w:val="center"/>
          </w:tcPr>
          <w:p>
            <w:r/>
            <w:r>
              <w:rPr>
                <w:rFonts w:ascii="Arial" w:hAnsi="Arial"/>
                <w:b w:val="0"/>
                <w:sz w:val="15"/>
              </w:rPr>
              <w:t>Finance</w:t>
            </w:r>
          </w:p>
        </w:tc>
        <w:tc>
          <w:tcPr>
            <w:tcW w:type="dxa" w:w="7200"/>
            <w:vAlign w:val="center"/>
          </w:tcPr>
          <w:p>
            <w:r/>
            <w:r>
              <w:rPr>
                <w:rFonts w:ascii="Arial" w:hAnsi="Arial"/>
                <w:b w:val="0"/>
                <w:sz w:val="15"/>
              </w:rPr>
              <w:t>Invoices, payouts, reconciliation.</w:t>
            </w:r>
          </w:p>
        </w:tc>
      </w:tr>
      <w:tr>
        <w:tc>
          <w:tcPr>
            <w:tcW w:type="dxa" w:w="2592"/>
            <w:vAlign w:val="center"/>
          </w:tcPr>
          <w:p>
            <w:r>
              <w:t>ANALYST</w:t>
            </w:r>
          </w:p>
        </w:tc>
        <w:tc>
          <w:tcPr>
            <w:tcW w:type="dxa" w:w="7200"/>
            <w:vAlign w:val="center"/>
          </w:tcPr>
          <w:p>
            <w:r/>
            <w:r>
              <w:rPr>
                <w:rFonts w:ascii="Arial" w:hAnsi="Arial"/>
                <w:b w:val="0"/>
                <w:sz w:val="15"/>
              </w:rPr>
              <w:t>Read-only dashboard access.</w:t>
            </w:r>
          </w:p>
        </w:tc>
      </w:tr>
      <w:tr>
        <w:tc>
          <w:tcPr>
            <w:tcW w:type="dxa" w:w="2592"/>
            <w:vAlign w:val="center"/>
          </w:tcPr>
          <w:p>
            <w:r>
              <w:t>OOLIX_ADMIN</w:t>
            </w:r>
          </w:p>
        </w:tc>
        <w:tc>
          <w:tcPr>
            <w:tcW w:type="dxa" w:w="7200"/>
            <w:vAlign w:val="center"/>
          </w:tcPr>
          <w:p>
            <w:r/>
            <w:r>
              <w:rPr>
                <w:rFonts w:ascii="Arial" w:hAnsi="Arial"/>
                <w:b w:val="0"/>
                <w:sz w:val="15"/>
              </w:rPr>
              <w:t>Support, system operations, policy configuration; no access to raw Partner customer DB.</w:t>
            </w:r>
          </w:p>
        </w:tc>
      </w:tr>
    </w:tbl>
    <w:p/>
    <w:p>
      <w:pPr>
        <w:pStyle w:val="Heading2"/>
      </w:pPr>
      <w:r>
        <w:t>4.1 Core entities</w:t>
      </w:r>
    </w:p>
    <w:p>
      <w:pPr>
        <w:pStyle w:val="Code"/>
      </w:pPr>
      <w:r>
        <w:rPr>
          <w:rFonts w:ascii="Courier New" w:hAnsi="Courier New"/>
          <w:sz w:val="15"/>
        </w:rPr>
        <w:t>User → Organization → Network Membership → Roles / Permissions</w:t>
      </w:r>
    </w:p>
    <w:p>
      <w:pPr>
        <w:pStyle w:val="Heading2"/>
      </w:pPr>
      <w:r>
        <w:t>4.2 Auth</w:t>
      </w:r>
    </w:p>
    <w:p>
      <w:pPr>
        <w:pStyle w:val="ListBullet"/>
        <w:spacing w:after="30"/>
      </w:pPr>
      <w:r>
        <w:t>OIDC-compatible authentication. Start with managed identity or Keycloak/Cognito/Auth0; enterprise SAML later.</w:t>
      </w:r>
    </w:p>
    <w:p>
      <w:pPr>
        <w:pStyle w:val="ListBullet"/>
        <w:spacing w:after="30"/>
      </w:pPr>
      <w:r>
        <w:t>MFA required for Partner Admin, channel connection and finance roles.</w:t>
      </w:r>
    </w:p>
    <w:p>
      <w:pPr>
        <w:pStyle w:val="ListBullet"/>
        <w:spacing w:after="30"/>
      </w:pPr>
      <w:r>
        <w:t>Short-lived JWT access tokens; rotating refresh tokens.</w:t>
      </w:r>
    </w:p>
    <w:p>
      <w:pPr>
        <w:pStyle w:val="ListBullet"/>
        <w:spacing w:after="30"/>
      </w:pPr>
      <w:r>
        <w:t>Organization and Network IDs included in authorization checks; never trust UI-only role filtering.</w:t>
      </w:r>
    </w:p>
    <w:p>
      <w:r>
        <w:br w:type="page"/>
      </w:r>
    </w:p>
    <w:p>
      <w:pPr>
        <w:pStyle w:val="Heading1"/>
      </w:pPr>
      <w:r>
        <w:t>5. Signup and Onboarding</w:t>
      </w:r>
    </w:p>
    <w:p>
      <w:pPr>
        <w:jc w:val="center"/>
      </w:pPr>
      <w:r>
        <w:drawing>
          <wp:inline xmlns:a="http://schemas.openxmlformats.org/drawingml/2006/main" xmlns:pic="http://schemas.openxmlformats.org/drawingml/2006/picture">
            <wp:extent cx="6217920" cy="350634"/>
            <wp:docPr id="4" name="Picture 4"/>
            <wp:cNvGraphicFramePr>
              <a:graphicFrameLocks noChangeAspect="1"/>
            </wp:cNvGraphicFramePr>
            <a:graphic>
              <a:graphicData uri="http://schemas.openxmlformats.org/drawingml/2006/picture">
                <pic:pic>
                  <pic:nvPicPr>
                    <pic:cNvPr id="0" name="04_signup.png"/>
                    <pic:cNvPicPr/>
                  </pic:nvPicPr>
                  <pic:blipFill>
                    <a:blip r:embed="rId12"/>
                    <a:stretch>
                      <a:fillRect/>
                    </a:stretch>
                  </pic:blipFill>
                  <pic:spPr>
                    <a:xfrm>
                      <a:off x="0" y="0"/>
                      <a:ext cx="6217920" cy="350634"/>
                    </a:xfrm>
                    <a:prstGeom prst="rect"/>
                  </pic:spPr>
                </pic:pic>
              </a:graphicData>
            </a:graphic>
          </wp:inline>
        </w:drawing>
      </w:r>
    </w:p>
    <w:p>
      <w:pPr>
        <w:jc w:val="center"/>
      </w:pPr>
      <w:r>
        <w:rPr>
          <w:i/>
          <w:color w:val="4B5563"/>
          <w:sz w:val="16"/>
        </w:rPr>
        <w:t>Figure 4. Generic signup/onboarding sequence.</w:t>
      </w:r>
    </w:p>
    <w:p>
      <w:pPr>
        <w:pStyle w:val="Heading2"/>
      </w:pPr>
      <w:r>
        <w:t>5.1 Buyer onboarding</w:t>
      </w:r>
    </w:p>
    <w:p>
      <w:pPr>
        <w:pStyle w:val="ListNumber"/>
        <w:spacing w:after="30"/>
      </w:pPr>
      <w:r>
        <w:t>Create user and organization.</w:t>
      </w:r>
    </w:p>
    <w:p>
      <w:pPr>
        <w:pStyle w:val="ListNumber"/>
        <w:spacing w:after="30"/>
      </w:pPr>
      <w:r>
        <w:t>Verify email/domain and business identity.</w:t>
      </w:r>
    </w:p>
    <w:p>
      <w:pPr>
        <w:pStyle w:val="ListNumber"/>
        <w:spacing w:after="30"/>
      </w:pPr>
      <w:r>
        <w:t>Join private network by invite or enter approved marketplace.</w:t>
      </w:r>
    </w:p>
    <w:p>
      <w:pPr>
        <w:pStyle w:val="ListNumber"/>
        <w:spacing w:after="30"/>
      </w:pPr>
      <w:r>
        <w:t>Add billing profile.</w:t>
      </w:r>
    </w:p>
    <w:p>
      <w:pPr>
        <w:pStyle w:val="ListNumber"/>
        <w:spacing w:after="30"/>
      </w:pPr>
      <w:r>
        <w:t>Optionally connect own CRM for lead-quality feedback.</w:t>
      </w:r>
    </w:p>
    <w:p>
      <w:pPr>
        <w:pStyle w:val="ListNumber"/>
        <w:spacing w:after="30"/>
      </w:pPr>
      <w:r>
        <w:t>Optionally connect own channel assets where a channel workflow requires Buyer page/identity/conversion access.</w:t>
      </w:r>
    </w:p>
    <w:p>
      <w:pPr>
        <w:pStyle w:val="Heading2"/>
      </w:pPr>
      <w:r>
        <w:t>5.2 Data Partner onboarding</w:t>
      </w:r>
    </w:p>
    <w:p>
      <w:pPr>
        <w:pStyle w:val="ListNumber"/>
        <w:spacing w:after="30"/>
      </w:pPr>
      <w:r>
        <w:t>Create/verify organization.</w:t>
      </w:r>
    </w:p>
    <w:p>
      <w:pPr>
        <w:pStyle w:val="ListNumber"/>
        <w:spacing w:after="30"/>
      </w:pPr>
      <w:r>
        <w:t>Complete Partner business and privacy/security profile.</w:t>
      </w:r>
    </w:p>
    <w:p>
      <w:pPr>
        <w:pStyle w:val="ListNumber"/>
        <w:spacing w:after="30"/>
      </w:pPr>
      <w:r>
        <w:t>Define allowed advertiser categories, blocked competitors, geography, prohibited use, approval policy and commercial model.</w:t>
      </w:r>
    </w:p>
    <w:p>
      <w:pPr>
        <w:pStyle w:val="ListNumber"/>
        <w:spacing w:after="30"/>
      </w:pPr>
      <w:r>
        <w:t>Deploy/register Partner Agent.</w:t>
      </w:r>
    </w:p>
    <w:p>
      <w:pPr>
        <w:pStyle w:val="ListNumber"/>
        <w:spacing w:after="30"/>
      </w:pPr>
      <w:r>
        <w:t>Connect one approved local audience source.</w:t>
      </w:r>
    </w:p>
    <w:p>
      <w:pPr>
        <w:pStyle w:val="ListNumber"/>
        <w:spacing w:after="30"/>
      </w:pPr>
      <w:r>
        <w:t>Create/publish pre-computed segment metadata.</w:t>
      </w:r>
    </w:p>
    <w:p>
      <w:pPr>
        <w:pStyle w:val="ListNumber"/>
        <w:spacing w:after="30"/>
      </w:pPr>
      <w:r>
        <w:t>Create website/app placements.</w:t>
      </w:r>
    </w:p>
    <w:p>
      <w:pPr>
        <w:pStyle w:val="ListNumber"/>
        <w:spacing w:after="30"/>
      </w:pPr>
      <w:r>
        <w:t>Optionally connect Meta/Google account relationship.</w:t>
      </w:r>
    </w:p>
    <w:p>
      <w:pPr>
        <w:pStyle w:val="ListNumber"/>
        <w:spacing w:after="30"/>
      </w:pPr>
      <w:r>
        <w:t>Run synthetic/test campaign before real user traffic.</w:t>
      </w:r>
    </w:p>
    <w:p>
      <w:pPr>
        <w:pStyle w:val="Heading2"/>
      </w:pPr>
      <w:r>
        <w:t>5.3 VC/private network onboarding</w:t>
      </w:r>
    </w:p>
    <w:p>
      <w:pPr>
        <w:pStyle w:val="ListNumber"/>
        <w:spacing w:after="30"/>
      </w:pPr>
      <w:r>
        <w:t>VC creates a Network.</w:t>
      </w:r>
    </w:p>
    <w:p>
      <w:pPr>
        <w:pStyle w:val="ListNumber"/>
        <w:spacing w:after="30"/>
      </w:pPr>
      <w:r>
        <w:t>VC invites portfolio companies.</w:t>
      </w:r>
    </w:p>
    <w:p>
      <w:pPr>
        <w:pStyle w:val="ListNumber"/>
        <w:spacing w:after="30"/>
      </w:pPr>
      <w:r>
        <w:t>Each company independently accepts and selects Buyer, Partner or both roles.</w:t>
      </w:r>
    </w:p>
    <w:p>
      <w:pPr>
        <w:pStyle w:val="ListNumber"/>
        <w:spacing w:after="30"/>
      </w:pPr>
      <w:r>
        <w:t>VC sees network-level aggregate business KPIs only.</w:t>
      </w:r>
    </w:p>
    <w:p>
      <w:pPr>
        <w:pStyle w:val="ListNumber"/>
        <w:spacing w:after="30"/>
      </w:pPr>
      <w:r>
        <w:t>Outside Buyers may enter only under the network policy (private / curated / open).</w:t>
      </w:r>
    </w:p>
    <w:p>
      <w:r>
        <w:br w:type="page"/>
      </w:r>
    </w:p>
    <w:p>
      <w:pPr>
        <w:pStyle w:val="Heading1"/>
      </w:pPr>
      <w:r>
        <w:t>6. Data Partner Technical Onboarding</w:t>
      </w:r>
    </w:p>
    <w:p>
      <w:pPr>
        <w:jc w:val="center"/>
      </w:pPr>
      <w:r>
        <w:drawing>
          <wp:inline xmlns:a="http://schemas.openxmlformats.org/drawingml/2006/main" xmlns:pic="http://schemas.openxmlformats.org/drawingml/2006/picture">
            <wp:extent cx="6217920" cy="294223"/>
            <wp:docPr id="5" name="Picture 5"/>
            <wp:cNvGraphicFramePr>
              <a:graphicFrameLocks noChangeAspect="1"/>
            </wp:cNvGraphicFramePr>
            <a:graphic>
              <a:graphicData uri="http://schemas.openxmlformats.org/drawingml/2006/picture">
                <pic:pic>
                  <pic:nvPicPr>
                    <pic:cNvPr id="0" name="05_partner_onboarding.png"/>
                    <pic:cNvPicPr/>
                  </pic:nvPicPr>
                  <pic:blipFill>
                    <a:blip r:embed="rId13"/>
                    <a:stretch>
                      <a:fillRect/>
                    </a:stretch>
                  </pic:blipFill>
                  <pic:spPr>
                    <a:xfrm>
                      <a:off x="0" y="0"/>
                      <a:ext cx="6217920" cy="294223"/>
                    </a:xfrm>
                    <a:prstGeom prst="rect"/>
                  </pic:spPr>
                </pic:pic>
              </a:graphicData>
            </a:graphic>
          </wp:inline>
        </w:drawing>
      </w:r>
    </w:p>
    <w:p>
      <w:pPr>
        <w:jc w:val="center"/>
      </w:pPr>
      <w:r>
        <w:rPr>
          <w:i/>
          <w:color w:val="4B5563"/>
          <w:sz w:val="16"/>
        </w:rPr>
        <w:t>Figure 5. Data Partner technical onboarding.</w:t>
      </w:r>
    </w:p>
    <w:tbl>
      <w:tblPr>
        <w:tblStyle w:val="TableGrid"/>
        <w:tblW w:type="auto" w:w="0"/>
        <w:jc w:val="center"/>
        <w:tblLook w:firstColumn="1" w:firstRow="1" w:lastColumn="0" w:lastRow="0" w:noHBand="0" w:noVBand="1" w:val="04A0"/>
      </w:tblPr>
      <w:tblGrid>
        <w:gridCol w:w="5227"/>
        <w:gridCol w:w="5227"/>
      </w:tblGrid>
      <w:tr>
        <w:tc>
          <w:tcPr>
            <w:tcW w:type="dxa" w:w="3888"/>
            <w:vAlign w:val="center"/>
            <w:shd w:fill="1B4363"/>
          </w:tcPr>
          <w:p>
            <w:r/>
            <w:r>
              <w:rPr>
                <w:rFonts w:ascii="Arial" w:hAnsi="Arial"/>
                <w:b/>
                <w:color w:val="FFFFFF"/>
                <w:sz w:val="16"/>
              </w:rPr>
              <w:t>Partner requirement</w:t>
            </w:r>
          </w:p>
        </w:tc>
        <w:tc>
          <w:tcPr>
            <w:tcW w:type="dxa" w:w="5904"/>
            <w:vAlign w:val="center"/>
            <w:shd w:fill="1B4363"/>
          </w:tcPr>
          <w:p>
            <w:r/>
            <w:r>
              <w:rPr>
                <w:rFonts w:ascii="Arial" w:hAnsi="Arial"/>
                <w:b/>
                <w:color w:val="FFFFFF"/>
                <w:sz w:val="16"/>
              </w:rPr>
              <w:t>Our design</w:t>
            </w:r>
          </w:p>
        </w:tc>
      </w:tr>
      <w:tr>
        <w:tc>
          <w:tcPr>
            <w:tcW w:type="dxa" w:w="3888"/>
            <w:vAlign w:val="center"/>
          </w:tcPr>
          <w:p>
            <w:r/>
            <w:r>
              <w:rPr>
                <w:rFonts w:ascii="Arial" w:hAnsi="Arial"/>
                <w:b w:val="0"/>
                <w:sz w:val="15"/>
              </w:rPr>
              <w:t>“We will not give main DB access.”</w:t>
            </w:r>
          </w:p>
        </w:tc>
        <w:tc>
          <w:tcPr>
            <w:tcW w:type="dxa" w:w="5904"/>
            <w:vAlign w:val="center"/>
          </w:tcPr>
          <w:p>
            <w:r/>
            <w:r>
              <w:rPr>
                <w:rFonts w:ascii="Arial" w:hAnsi="Arial"/>
                <w:b w:val="0"/>
                <w:sz w:val="15"/>
              </w:rPr>
              <w:t>Correct. No Oolix cloud DB credential is required.</w:t>
            </w:r>
          </w:p>
        </w:tc>
      </w:tr>
      <w:tr>
        <w:tc>
          <w:tcPr>
            <w:tcW w:type="dxa" w:w="3888"/>
            <w:vAlign w:val="center"/>
          </w:tcPr>
          <w:p>
            <w:r/>
            <w:r>
              <w:rPr>
                <w:rFonts w:ascii="Arial" w:hAnsi="Arial"/>
                <w:b w:val="0"/>
                <w:sz w:val="15"/>
              </w:rPr>
              <w:t>“We do not want to build a custom API.”</w:t>
            </w:r>
          </w:p>
        </w:tc>
        <w:tc>
          <w:tcPr>
            <w:tcW w:type="dxa" w:w="5904"/>
            <w:vAlign w:val="center"/>
          </w:tcPr>
          <w:p>
            <w:r/>
            <w:r>
              <w:rPr>
                <w:rFonts w:ascii="Arial" w:hAnsi="Arial"/>
                <w:b w:val="0"/>
                <w:sz w:val="15"/>
              </w:rPr>
              <w:t>Support restricted DB view/table, existing API, warehouse/CDP output, or Oolix local connector.</w:t>
            </w:r>
          </w:p>
        </w:tc>
      </w:tr>
      <w:tr>
        <w:tc>
          <w:tcPr>
            <w:tcW w:type="dxa" w:w="3888"/>
            <w:vAlign w:val="center"/>
          </w:tcPr>
          <w:p>
            <w:r/>
            <w:r>
              <w:rPr>
                <w:rFonts w:ascii="Arial" w:hAnsi="Arial"/>
                <w:b w:val="0"/>
                <w:sz w:val="15"/>
              </w:rPr>
              <w:t>“We do not want two backend products.”</w:t>
            </w:r>
          </w:p>
        </w:tc>
        <w:tc>
          <w:tcPr>
            <w:tcW w:type="dxa" w:w="5904"/>
            <w:vAlign w:val="center"/>
          </w:tcPr>
          <w:p>
            <w:r/>
            <w:r>
              <w:rPr>
                <w:rFonts w:ascii="Arial" w:hAnsi="Arial"/>
                <w:b w:val="0"/>
                <w:sz w:val="15"/>
              </w:rPr>
              <w:t>Deploy one Partner Agent with modular app/web + channel adapters.</w:t>
            </w:r>
          </w:p>
        </w:tc>
      </w:tr>
      <w:tr>
        <w:tc>
          <w:tcPr>
            <w:tcW w:type="dxa" w:w="3888"/>
            <w:vAlign w:val="center"/>
          </w:tcPr>
          <w:p>
            <w:r/>
            <w:r>
              <w:rPr>
                <w:rFonts w:ascii="Arial" w:hAnsi="Arial"/>
                <w:b w:val="0"/>
                <w:sz w:val="15"/>
              </w:rPr>
              <w:t>“Your service must not break our app.”</w:t>
            </w:r>
          </w:p>
        </w:tc>
        <w:tc>
          <w:tcPr>
            <w:tcW w:type="dxa" w:w="5904"/>
            <w:vAlign w:val="center"/>
          </w:tcPr>
          <w:p>
            <w:r/>
            <w:r>
              <w:rPr>
                <w:rFonts w:ascii="Arial" w:hAnsi="Arial"/>
                <w:b w:val="0"/>
                <w:sz w:val="15"/>
              </w:rPr>
              <w:t>Local decision call is short-timeout and returns NO_AD/house content on failure.</w:t>
            </w:r>
          </w:p>
        </w:tc>
      </w:tr>
      <w:tr>
        <w:tc>
          <w:tcPr>
            <w:tcW w:type="dxa" w:w="3888"/>
            <w:vAlign w:val="center"/>
          </w:tcPr>
          <w:p>
            <w:r/>
            <w:r>
              <w:rPr>
                <w:rFonts w:ascii="Arial" w:hAnsi="Arial"/>
                <w:b w:val="0"/>
                <w:sz w:val="15"/>
              </w:rPr>
              <w:t>“We need full control.”</w:t>
            </w:r>
          </w:p>
        </w:tc>
        <w:tc>
          <w:tcPr>
            <w:tcW w:type="dxa" w:w="5904"/>
            <w:vAlign w:val="center"/>
          </w:tcPr>
          <w:p>
            <w:r/>
            <w:r>
              <w:rPr>
                <w:rFonts w:ascii="Arial" w:hAnsi="Arial"/>
                <w:b w:val="0"/>
                <w:sz w:val="15"/>
              </w:rPr>
              <w:t>Partner approval, placement allow-list, category policy, frequency limits and kill switches remain partner-controlled.</w:t>
            </w:r>
          </w:p>
        </w:tc>
      </w:tr>
    </w:tbl>
    <w:p/>
    <w:p>
      <w:r>
        <w:br w:type="page"/>
      </w:r>
    </w:p>
    <w:p>
      <w:pPr>
        <w:pStyle w:val="Heading1"/>
      </w:pPr>
      <w:r>
        <w:t>7. Data Partner Source / Database Integration</w:t>
      </w:r>
    </w:p>
    <w:p>
      <w:pPr>
        <w:pStyle w:val="Heading2"/>
      </w:pPr>
      <w:r>
        <w:t>7.1 Supported integration modes</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shd w:fill="1B4363"/>
          </w:tcPr>
          <w:p>
            <w:r/>
            <w:r>
              <w:rPr>
                <w:rFonts w:ascii="Arial" w:hAnsi="Arial"/>
                <w:b/>
                <w:color w:val="FFFFFF"/>
                <w:sz w:val="16"/>
              </w:rPr>
              <w:t>Mode</w:t>
            </w:r>
          </w:p>
        </w:tc>
        <w:tc>
          <w:tcPr>
            <w:tcW w:type="dxa" w:w="3600"/>
            <w:vAlign w:val="center"/>
            <w:shd w:fill="1B4363"/>
          </w:tcPr>
          <w:p>
            <w:r/>
            <w:r>
              <w:rPr>
                <w:rFonts w:ascii="Arial" w:hAnsi="Arial"/>
                <w:b/>
                <w:color w:val="FFFFFF"/>
                <w:sz w:val="16"/>
              </w:rPr>
              <w:t>Example</w:t>
            </w:r>
          </w:p>
        </w:tc>
        <w:tc>
          <w:tcPr>
            <w:tcW w:type="dxa" w:w="4032"/>
            <w:vAlign w:val="center"/>
            <w:shd w:fill="1B4363"/>
          </w:tcPr>
          <w:p>
            <w:r/>
            <w:r>
              <w:rPr>
                <w:rFonts w:ascii="Arial" w:hAnsi="Arial"/>
                <w:b/>
                <w:color w:val="FFFFFF"/>
                <w:sz w:val="16"/>
              </w:rPr>
              <w:t>Best use</w:t>
            </w:r>
          </w:p>
        </w:tc>
      </w:tr>
      <w:tr>
        <w:tc>
          <w:tcPr>
            <w:tcW w:type="dxa" w:w="2160"/>
            <w:vAlign w:val="center"/>
          </w:tcPr>
          <w:p>
            <w:r/>
            <w:r>
              <w:rPr>
                <w:rFonts w:ascii="Arial" w:hAnsi="Arial"/>
                <w:b w:val="0"/>
                <w:sz w:val="15"/>
              </w:rPr>
              <w:t>Restricted view/table</w:t>
            </w:r>
          </w:p>
        </w:tc>
        <w:tc>
          <w:tcPr>
            <w:tcW w:type="dxa" w:w="3600"/>
            <w:vAlign w:val="center"/>
          </w:tcPr>
          <w:p>
            <w:r/>
            <w:r>
              <w:rPr>
                <w:rFonts w:ascii="Arial" w:hAnsi="Arial"/>
                <w:b w:val="0"/>
                <w:sz w:val="15"/>
              </w:rPr>
              <w:t>PostgreSQL/MySQL/SQL Server/Oracle</w:t>
            </w:r>
          </w:p>
        </w:tc>
        <w:tc>
          <w:tcPr>
            <w:tcW w:type="dxa" w:w="4032"/>
            <w:vAlign w:val="center"/>
          </w:tcPr>
          <w:p>
            <w:r/>
            <w:r>
              <w:rPr>
                <w:rFonts w:ascii="Arial" w:hAnsi="Arial"/>
                <w:b w:val="0"/>
                <w:sz w:val="15"/>
              </w:rPr>
              <w:t>Simple pilot</w:t>
            </w:r>
          </w:p>
        </w:tc>
      </w:tr>
      <w:tr>
        <w:tc>
          <w:tcPr>
            <w:tcW w:type="dxa" w:w="2160"/>
            <w:vAlign w:val="center"/>
          </w:tcPr>
          <w:p>
            <w:r/>
            <w:r>
              <w:rPr>
                <w:rFonts w:ascii="Arial" w:hAnsi="Arial"/>
                <w:b w:val="0"/>
                <w:sz w:val="15"/>
              </w:rPr>
              <w:t>Warehouse table</w:t>
            </w:r>
          </w:p>
        </w:tc>
        <w:tc>
          <w:tcPr>
            <w:tcW w:type="dxa" w:w="3600"/>
            <w:vAlign w:val="center"/>
          </w:tcPr>
          <w:p>
            <w:r/>
            <w:r>
              <w:rPr>
                <w:rFonts w:ascii="Arial" w:hAnsi="Arial"/>
                <w:b w:val="0"/>
                <w:sz w:val="15"/>
              </w:rPr>
              <w:t>Snowflake/BigQuery/Redshift/Databricks</w:t>
            </w:r>
          </w:p>
        </w:tc>
        <w:tc>
          <w:tcPr>
            <w:tcW w:type="dxa" w:w="4032"/>
            <w:vAlign w:val="center"/>
          </w:tcPr>
          <w:p>
            <w:r/>
            <w:r>
              <w:rPr>
                <w:rFonts w:ascii="Arial" w:hAnsi="Arial"/>
                <w:b w:val="0"/>
                <w:sz w:val="15"/>
              </w:rPr>
              <w:t>Analytics-driven company</w:t>
            </w:r>
          </w:p>
        </w:tc>
      </w:tr>
      <w:tr>
        <w:tc>
          <w:tcPr>
            <w:tcW w:type="dxa" w:w="2160"/>
            <w:vAlign w:val="center"/>
          </w:tcPr>
          <w:p>
            <w:r/>
            <w:r>
              <w:rPr>
                <w:rFonts w:ascii="Arial" w:hAnsi="Arial"/>
                <w:b w:val="0"/>
                <w:sz w:val="15"/>
              </w:rPr>
              <w:t>Internal Segment API</w:t>
            </w:r>
          </w:p>
        </w:tc>
        <w:tc>
          <w:tcPr>
            <w:tcW w:type="dxa" w:w="3600"/>
            <w:vAlign w:val="center"/>
          </w:tcPr>
          <w:p>
            <w:r/>
            <w:r>
              <w:rPr>
                <w:rFonts w:ascii="Arial" w:hAnsi="Arial"/>
                <w:b w:val="0"/>
                <w:sz w:val="15"/>
              </w:rPr>
              <w:t>is_member(user_id, segment_id)</w:t>
            </w:r>
          </w:p>
        </w:tc>
        <w:tc>
          <w:tcPr>
            <w:tcW w:type="dxa" w:w="4032"/>
            <w:vAlign w:val="center"/>
          </w:tcPr>
          <w:p>
            <w:r/>
            <w:r>
              <w:rPr>
                <w:rFonts w:ascii="Arial" w:hAnsi="Arial"/>
                <w:b w:val="0"/>
                <w:sz w:val="15"/>
              </w:rPr>
              <w:t>Strict enterprise</w:t>
            </w:r>
          </w:p>
        </w:tc>
      </w:tr>
      <w:tr>
        <w:tc>
          <w:tcPr>
            <w:tcW w:type="dxa" w:w="2160"/>
            <w:vAlign w:val="center"/>
          </w:tcPr>
          <w:p>
            <w:r/>
            <w:r>
              <w:rPr>
                <w:rFonts w:ascii="Arial" w:hAnsi="Arial"/>
                <w:b w:val="0"/>
                <w:sz w:val="15"/>
              </w:rPr>
              <w:t>CDP export / audience table</w:t>
            </w:r>
          </w:p>
        </w:tc>
        <w:tc>
          <w:tcPr>
            <w:tcW w:type="dxa" w:w="3600"/>
            <w:vAlign w:val="center"/>
          </w:tcPr>
          <w:p>
            <w:r/>
            <w:r>
              <w:rPr>
                <w:rFonts w:ascii="Arial" w:hAnsi="Arial"/>
                <w:b w:val="0"/>
                <w:sz w:val="15"/>
              </w:rPr>
              <w:t>Existing CDP creates membership</w:t>
            </w:r>
          </w:p>
        </w:tc>
        <w:tc>
          <w:tcPr>
            <w:tcW w:type="dxa" w:w="4032"/>
            <w:vAlign w:val="center"/>
          </w:tcPr>
          <w:p>
            <w:r/>
            <w:r>
              <w:rPr>
                <w:rFonts w:ascii="Arial" w:hAnsi="Arial"/>
                <w:b w:val="0"/>
                <w:sz w:val="15"/>
              </w:rPr>
              <w:t>Mature marketing stack</w:t>
            </w:r>
          </w:p>
        </w:tc>
      </w:tr>
      <w:tr>
        <w:tc>
          <w:tcPr>
            <w:tcW w:type="dxa" w:w="2160"/>
            <w:vAlign w:val="center"/>
          </w:tcPr>
          <w:p>
            <w:r/>
            <w:r>
              <w:rPr>
                <w:rFonts w:ascii="Arial" w:hAnsi="Arial"/>
                <w:b w:val="0"/>
                <w:sz w:val="15"/>
              </w:rPr>
              <w:t>Existing ad-server audience</w:t>
            </w:r>
          </w:p>
        </w:tc>
        <w:tc>
          <w:tcPr>
            <w:tcW w:type="dxa" w:w="3600"/>
            <w:vAlign w:val="center"/>
          </w:tcPr>
          <w:p>
            <w:r/>
            <w:r>
              <w:rPr>
                <w:rFonts w:ascii="Arial" w:hAnsi="Arial"/>
                <w:b w:val="0"/>
                <w:sz w:val="15"/>
              </w:rPr>
              <w:t>Kevel/other ad server</w:t>
            </w:r>
          </w:p>
        </w:tc>
        <w:tc>
          <w:tcPr>
            <w:tcW w:type="dxa" w:w="4032"/>
            <w:vAlign w:val="center"/>
          </w:tcPr>
          <w:p>
            <w:r/>
            <w:r>
              <w:rPr>
                <w:rFonts w:ascii="Arial" w:hAnsi="Arial"/>
                <w:b w:val="0"/>
                <w:sz w:val="15"/>
              </w:rPr>
              <w:t>Partner already monetizes media</w:t>
            </w:r>
          </w:p>
        </w:tc>
      </w:tr>
    </w:tbl>
    <w:p/>
    <w:p>
      <w:pPr>
        <w:pStyle w:val="Heading2"/>
      </w:pPr>
      <w:r>
        <w:t>7.2 Pre-compute segment membership</w:t>
      </w:r>
    </w:p>
    <w:p>
      <w:r>
        <w:t>Do not query complex booking/order tables for every ad impression. The Partner should pre-compute or expose audience membership.</w:t>
      </w:r>
    </w:p>
    <w:p>
      <w:pPr>
        <w:pStyle w:val="Code"/>
      </w:pPr>
      <w:r>
        <w:rPr>
          <w:rFonts w:ascii="Courier New" w:hAnsi="Courier New"/>
          <w:sz w:val="15"/>
        </w:rPr>
        <w:t>partner_user_id | segment_id               | expires_at</w:t>
        <w:br/>
        <w:t>U123            | RECENT_TRAVELLER_60D     | 2026-10-01</w:t>
        <w:br/>
        <w:t>U123            | PREMIUM_USER             | 2026-09-15</w:t>
        <w:br/>
        <w:t>U981            | RECENT_TRAVELLER_60D     | 2026-10-01</w:t>
      </w:r>
    </w:p>
    <w:p>
      <w:pPr>
        <w:pStyle w:val="Heading2"/>
      </w:pPr>
      <w:r>
        <w:t>7.3 Segment metadata sent to Oolix</w:t>
      </w:r>
    </w:p>
    <w:p>
      <w:pPr>
        <w:pStyle w:val="Code"/>
      </w:pPr>
      <w:r>
        <w:t>{</w:t>
        <w:br/>
        <w:t xml:space="preserve">  "segment_id": "RECENT_TRAVELLER_60D",</w:t>
        <w:br/>
        <w:t xml:space="preserve">  "display_name": "Recent Travellers",</w:t>
        <w:br/>
        <w:t xml:space="preserve">  "definition": "Completed booking in previous 60 days",</w:t>
        <w:br/>
        <w:t xml:space="preserve">  "reach_bucket": "100k-250k",</w:t>
        <w:br/>
        <w:t xml:space="preserve">  "freshness": "daily",</w:t>
        <w:br/>
        <w:t xml:space="preserve">  "allowed_channels": ["PARTNER_WEB", "PARTNER_APP", "META", "GOOGLE"]</w:t>
        <w:br/>
        <w:t>}</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Important</w:t>
            </w:r>
          </w:p>
          <w:p>
            <w:pPr>
              <w:spacing w:after="0"/>
            </w:pPr>
            <w:r>
              <w:t>The central platform receives segment metadata and safe reach information, not the member list.</w:t>
            </w:r>
          </w:p>
        </w:tc>
      </w:tr>
    </w:tbl>
    <w:p/>
    <w:p>
      <w:r>
        <w:br w:type="page"/>
      </w:r>
    </w:p>
    <w:p>
      <w:pPr>
        <w:pStyle w:val="Heading1"/>
      </w:pPr>
      <w:r>
        <w:t>8. Partner Agent Internal Architecture</w:t>
      </w:r>
    </w:p>
    <w:tbl>
      <w:tblPr>
        <w:tblStyle w:val="TableGrid"/>
        <w:tblW w:type="auto" w:w="0"/>
        <w:jc w:val="center"/>
        <w:tblLook w:firstColumn="1" w:firstRow="1" w:lastColumn="0" w:lastRow="0" w:noHBand="0" w:noVBand="1" w:val="04A0"/>
      </w:tblPr>
      <w:tblGrid>
        <w:gridCol w:w="5227"/>
        <w:gridCol w:w="5227"/>
      </w:tblGrid>
      <w:tr>
        <w:tc>
          <w:tcPr>
            <w:tcW w:type="dxa" w:w="2736"/>
            <w:vAlign w:val="center"/>
            <w:shd w:fill="1B4363"/>
          </w:tcPr>
          <w:p>
            <w:r/>
            <w:r>
              <w:rPr>
                <w:rFonts w:ascii="Arial" w:hAnsi="Arial"/>
                <w:b/>
                <w:color w:val="FFFFFF"/>
                <w:sz w:val="16"/>
              </w:rPr>
              <w:t>Module</w:t>
            </w:r>
          </w:p>
        </w:tc>
        <w:tc>
          <w:tcPr>
            <w:tcW w:type="dxa" w:w="7056"/>
            <w:vAlign w:val="center"/>
            <w:shd w:fill="1B4363"/>
          </w:tcPr>
          <w:p>
            <w:r/>
            <w:r>
              <w:rPr>
                <w:rFonts w:ascii="Arial" w:hAnsi="Arial"/>
                <w:b/>
                <w:color w:val="FFFFFF"/>
                <w:sz w:val="16"/>
              </w:rPr>
              <w:t>What it does</w:t>
            </w:r>
          </w:p>
        </w:tc>
      </w:tr>
      <w:tr>
        <w:tc>
          <w:tcPr>
            <w:tcW w:type="dxa" w:w="2736"/>
            <w:vAlign w:val="center"/>
          </w:tcPr>
          <w:p>
            <w:r/>
            <w:r>
              <w:rPr>
                <w:rFonts w:ascii="Arial" w:hAnsi="Arial"/>
                <w:b w:val="0"/>
                <w:sz w:val="15"/>
              </w:rPr>
              <w:t>Control Sync</w:t>
            </w:r>
          </w:p>
        </w:tc>
        <w:tc>
          <w:tcPr>
            <w:tcW w:type="dxa" w:w="7056"/>
            <w:vAlign w:val="center"/>
          </w:tcPr>
          <w:p>
            <w:r/>
            <w:r>
              <w:rPr>
                <w:rFonts w:ascii="Arial" w:hAnsi="Arial"/>
                <w:b w:val="0"/>
                <w:sz w:val="15"/>
              </w:rPr>
              <w:t>Pulls signed campaign manifests/policy changes and sends heartbeat/status.</w:t>
            </w:r>
          </w:p>
        </w:tc>
      </w:tr>
      <w:tr>
        <w:tc>
          <w:tcPr>
            <w:tcW w:type="dxa" w:w="2736"/>
            <w:vAlign w:val="center"/>
          </w:tcPr>
          <w:p>
            <w:r/>
            <w:r>
              <w:rPr>
                <w:rFonts w:ascii="Arial" w:hAnsi="Arial"/>
                <w:b w:val="0"/>
                <w:sz w:val="15"/>
              </w:rPr>
              <w:t>Connector Layer</w:t>
            </w:r>
          </w:p>
        </w:tc>
        <w:tc>
          <w:tcPr>
            <w:tcW w:type="dxa" w:w="7056"/>
            <w:vAlign w:val="center"/>
          </w:tcPr>
          <w:p>
            <w:r/>
            <w:r>
              <w:rPr>
                <w:rFonts w:ascii="Arial" w:hAnsi="Arial"/>
                <w:b w:val="0"/>
                <w:sz w:val="15"/>
              </w:rPr>
              <w:t>Reads approved local view/API/warehouse/CDP output.</w:t>
            </w:r>
          </w:p>
        </w:tc>
      </w:tr>
      <w:tr>
        <w:tc>
          <w:tcPr>
            <w:tcW w:type="dxa" w:w="2736"/>
            <w:vAlign w:val="center"/>
          </w:tcPr>
          <w:p>
            <w:r/>
            <w:r>
              <w:rPr>
                <w:rFonts w:ascii="Arial" w:hAnsi="Arial"/>
                <w:b w:val="0"/>
                <w:sz w:val="15"/>
              </w:rPr>
              <w:t>Audience Engine</w:t>
            </w:r>
          </w:p>
        </w:tc>
        <w:tc>
          <w:tcPr>
            <w:tcW w:type="dxa" w:w="7056"/>
            <w:vAlign w:val="center"/>
          </w:tcPr>
          <w:p>
            <w:r/>
            <w:r>
              <w:rPr>
                <w:rFonts w:ascii="Arial" w:hAnsi="Arial"/>
                <w:b w:val="0"/>
                <w:sz w:val="15"/>
              </w:rPr>
              <w:t>Checks pre-computed segment membership; optional local index/cache.</w:t>
            </w:r>
          </w:p>
        </w:tc>
      </w:tr>
      <w:tr>
        <w:tc>
          <w:tcPr>
            <w:tcW w:type="dxa" w:w="2736"/>
            <w:vAlign w:val="center"/>
          </w:tcPr>
          <w:p>
            <w:r/>
            <w:r>
              <w:rPr>
                <w:rFonts w:ascii="Arial" w:hAnsi="Arial"/>
                <w:b w:val="0"/>
                <w:sz w:val="15"/>
              </w:rPr>
              <w:t>Consent &amp; Policy Engine</w:t>
            </w:r>
          </w:p>
        </w:tc>
        <w:tc>
          <w:tcPr>
            <w:tcW w:type="dxa" w:w="7056"/>
            <w:vAlign w:val="center"/>
          </w:tcPr>
          <w:p>
            <w:r/>
            <w:r>
              <w:rPr>
                <w:rFonts w:ascii="Arial" w:hAnsi="Arial"/>
                <w:b w:val="0"/>
                <w:sz w:val="15"/>
              </w:rPr>
              <w:t>Checks user advertising eligibility, purpose, partner rules and channel permission.</w:t>
            </w:r>
          </w:p>
        </w:tc>
      </w:tr>
      <w:tr>
        <w:tc>
          <w:tcPr>
            <w:tcW w:type="dxa" w:w="2736"/>
            <w:vAlign w:val="center"/>
          </w:tcPr>
          <w:p>
            <w:r/>
            <w:r>
              <w:rPr>
                <w:rFonts w:ascii="Arial" w:hAnsi="Arial"/>
                <w:b w:val="0"/>
                <w:sz w:val="15"/>
              </w:rPr>
              <w:t>Ad Decision Engine</w:t>
            </w:r>
          </w:p>
        </w:tc>
        <w:tc>
          <w:tcPr>
            <w:tcW w:type="dxa" w:w="7056"/>
            <w:vAlign w:val="center"/>
          </w:tcPr>
          <w:p>
            <w:r/>
            <w:r>
              <w:rPr>
                <w:rFonts w:ascii="Arial" w:hAnsi="Arial"/>
                <w:b w:val="0"/>
                <w:sz w:val="15"/>
              </w:rPr>
              <w:t>Chooses an eligible approved campaign for a placement.</w:t>
            </w:r>
          </w:p>
        </w:tc>
      </w:tr>
      <w:tr>
        <w:tc>
          <w:tcPr>
            <w:tcW w:type="dxa" w:w="2736"/>
            <w:vAlign w:val="center"/>
          </w:tcPr>
          <w:p>
            <w:r/>
            <w:r>
              <w:rPr>
                <w:rFonts w:ascii="Arial" w:hAnsi="Arial"/>
                <w:b w:val="0"/>
                <w:sz w:val="15"/>
              </w:rPr>
              <w:t>Frequency/Pacing Store</w:t>
            </w:r>
          </w:p>
        </w:tc>
        <w:tc>
          <w:tcPr>
            <w:tcW w:type="dxa" w:w="7056"/>
            <w:vAlign w:val="center"/>
          </w:tcPr>
          <w:p>
            <w:r/>
            <w:r>
              <w:rPr>
                <w:rFonts w:ascii="Arial" w:hAnsi="Arial"/>
                <w:b w:val="0"/>
                <w:sz w:val="15"/>
              </w:rPr>
              <w:t>Maintains partner-local user frequency and campaign pacing.</w:t>
            </w:r>
          </w:p>
        </w:tc>
      </w:tr>
      <w:tr>
        <w:tc>
          <w:tcPr>
            <w:tcW w:type="dxa" w:w="2736"/>
            <w:vAlign w:val="center"/>
          </w:tcPr>
          <w:p>
            <w:r/>
            <w:r>
              <w:rPr>
                <w:rFonts w:ascii="Arial" w:hAnsi="Arial"/>
                <w:b w:val="0"/>
                <w:sz w:val="15"/>
              </w:rPr>
              <w:t>Creative Cache</w:t>
            </w:r>
          </w:p>
        </w:tc>
        <w:tc>
          <w:tcPr>
            <w:tcW w:type="dxa" w:w="7056"/>
            <w:vAlign w:val="center"/>
          </w:tcPr>
          <w:p>
            <w:r/>
            <w:r>
              <w:rPr>
                <w:rFonts w:ascii="Arial" w:hAnsi="Arial"/>
                <w:b w:val="0"/>
                <w:sz w:val="15"/>
              </w:rPr>
              <w:t>Caches only approved creative metadata/assets if configured.</w:t>
            </w:r>
          </w:p>
        </w:tc>
      </w:tr>
      <w:tr>
        <w:tc>
          <w:tcPr>
            <w:tcW w:type="dxa" w:w="2736"/>
            <w:vAlign w:val="center"/>
          </w:tcPr>
          <w:p>
            <w:r/>
            <w:r>
              <w:rPr>
                <w:rFonts w:ascii="Arial" w:hAnsi="Arial"/>
                <w:b w:val="0"/>
                <w:sz w:val="15"/>
              </w:rPr>
              <w:t>Event Buffer</w:t>
            </w:r>
          </w:p>
        </w:tc>
        <w:tc>
          <w:tcPr>
            <w:tcW w:type="dxa" w:w="7056"/>
            <w:vAlign w:val="center"/>
          </w:tcPr>
          <w:p>
            <w:r/>
            <w:r>
              <w:rPr>
                <w:rFonts w:ascii="Arial" w:hAnsi="Arial"/>
                <w:b w:val="0"/>
                <w:sz w:val="15"/>
              </w:rPr>
              <w:t>Aggregates impression/click counters before upload.</w:t>
            </w:r>
          </w:p>
        </w:tc>
      </w:tr>
      <w:tr>
        <w:tc>
          <w:tcPr>
            <w:tcW w:type="dxa" w:w="2736"/>
            <w:vAlign w:val="center"/>
          </w:tcPr>
          <w:p>
            <w:r/>
            <w:r>
              <w:rPr>
                <w:rFonts w:ascii="Arial" w:hAnsi="Arial"/>
                <w:b w:val="0"/>
                <w:sz w:val="15"/>
              </w:rPr>
              <w:t>Meta Adapter</w:t>
            </w:r>
          </w:p>
        </w:tc>
        <w:tc>
          <w:tcPr>
            <w:tcW w:type="dxa" w:w="7056"/>
            <w:vAlign w:val="center"/>
          </w:tcPr>
          <w:p>
            <w:r/>
            <w:r>
              <w:rPr>
                <w:rFonts w:ascii="Arial" w:hAnsi="Arial"/>
                <w:b w:val="0"/>
                <w:sz w:val="15"/>
              </w:rPr>
              <w:t>Creates/updates approved Meta audience/campaign resources when eligible.</w:t>
            </w:r>
          </w:p>
        </w:tc>
      </w:tr>
      <w:tr>
        <w:tc>
          <w:tcPr>
            <w:tcW w:type="dxa" w:w="2736"/>
            <w:vAlign w:val="center"/>
          </w:tcPr>
          <w:p>
            <w:r/>
            <w:r>
              <w:rPr>
                <w:rFonts w:ascii="Arial" w:hAnsi="Arial"/>
                <w:b w:val="0"/>
                <w:sz w:val="15"/>
              </w:rPr>
              <w:t>Google Adapter</w:t>
            </w:r>
          </w:p>
        </w:tc>
        <w:tc>
          <w:tcPr>
            <w:tcW w:type="dxa" w:w="7056"/>
            <w:vAlign w:val="center"/>
          </w:tcPr>
          <w:p>
            <w:r/>
            <w:r>
              <w:rPr>
                <w:rFonts w:ascii="Arial" w:hAnsi="Arial"/>
                <w:b w:val="0"/>
                <w:sz w:val="15"/>
              </w:rPr>
              <w:t>Uses Google Data Manager workflow when eligible.</w:t>
            </w:r>
          </w:p>
        </w:tc>
      </w:tr>
      <w:tr>
        <w:tc>
          <w:tcPr>
            <w:tcW w:type="dxa" w:w="2736"/>
            <w:vAlign w:val="center"/>
          </w:tcPr>
          <w:p>
            <w:r/>
            <w:r>
              <w:rPr>
                <w:rFonts w:ascii="Arial" w:hAnsi="Arial"/>
                <w:b w:val="0"/>
                <w:sz w:val="15"/>
              </w:rPr>
              <w:t>Audit / Health</w:t>
            </w:r>
          </w:p>
        </w:tc>
        <w:tc>
          <w:tcPr>
            <w:tcW w:type="dxa" w:w="7056"/>
            <w:vAlign w:val="center"/>
          </w:tcPr>
          <w:p>
            <w:r/>
            <w:r>
              <w:rPr>
                <w:rFonts w:ascii="Arial" w:hAnsi="Arial"/>
                <w:b w:val="0"/>
                <w:sz w:val="15"/>
              </w:rPr>
              <w:t>Local logs, health checks, diagnostic reason codes, version info.</w:t>
            </w:r>
          </w:p>
        </w:tc>
      </w:tr>
    </w:tbl>
    <w:p/>
    <w:p>
      <w:pPr>
        <w:pStyle w:val="Heading2"/>
      </w:pPr>
      <w:r>
        <w:t>8.1 Deployment</w:t>
      </w:r>
    </w:p>
    <w:p>
      <w:pPr>
        <w:pStyle w:val="ListBullet"/>
        <w:spacing w:after="30"/>
      </w:pPr>
      <w:r>
        <w:t>One Docker image initially.</w:t>
      </w:r>
    </w:p>
    <w:p>
      <w:pPr>
        <w:pStyle w:val="ListBullet"/>
        <w:spacing w:after="30"/>
      </w:pPr>
      <w:r>
        <w:t>Runs as Kubernetes Deployment, ECS task on partner-managed infrastructure, or VM/systemd service.</w:t>
      </w:r>
    </w:p>
    <w:p>
      <w:pPr>
        <w:pStyle w:val="ListBullet"/>
        <w:spacing w:after="30"/>
      </w:pPr>
      <w:r>
        <w:t>Agent configuration contains Partner ID, Oolix endpoint, workload credentials and connector configuration.</w:t>
      </w:r>
    </w:p>
    <w:p>
      <w:pPr>
        <w:pStyle w:val="ListBullet"/>
        <w:spacing w:after="30"/>
      </w:pPr>
      <w:r>
        <w:t>Secrets stay in partner secret store, not plain environment files where possible.</w:t>
      </w:r>
    </w:p>
    <w:p>
      <w:pPr>
        <w:pStyle w:val="ListBullet"/>
        <w:spacing w:after="30"/>
      </w:pPr>
      <w:r>
        <w:t>Outbound allow-list to Oolix and explicitly enabled external channel APIs.</w:t>
      </w:r>
    </w:p>
    <w:p>
      <w:r>
        <w:br w:type="page"/>
      </w:r>
    </w:p>
    <w:p>
      <w:pPr>
        <w:pStyle w:val="Heading1"/>
      </w:pPr>
      <w:r>
        <w:t>9. Website and Mobile SDK Integration</w:t>
      </w:r>
    </w:p>
    <w:p>
      <w:pPr>
        <w:pStyle w:val="Heading2"/>
      </w:pPr>
      <w:r>
        <w:t>9.1 Web flow</w:t>
      </w:r>
    </w:p>
    <w:p>
      <w:pPr>
        <w:pStyle w:val="Code"/>
      </w:pPr>
      <w:r>
        <w:rPr>
          <w:rFonts w:ascii="Courier New" w:hAnsi="Courier New"/>
          <w:sz w:val="15"/>
        </w:rPr>
        <w:t>&lt;OolixAdSlot placement="booking_success" /&gt;  // conceptual</w:t>
      </w:r>
    </w:p>
    <w:p>
      <w:pPr>
        <w:pStyle w:val="ListNumber"/>
        <w:spacing w:after="30"/>
      </w:pPr>
      <w:r>
        <w:t>Partner product team chooses allowed placement.</w:t>
      </w:r>
    </w:p>
    <w:p>
      <w:pPr>
        <w:pStyle w:val="ListNumber"/>
        <w:spacing w:after="30"/>
      </w:pPr>
      <w:r>
        <w:t>Frontend calls partner backend, not Oolix directly with internal user ID.</w:t>
      </w:r>
    </w:p>
    <w:p>
      <w:pPr>
        <w:pStyle w:val="ListNumber"/>
        <w:spacing w:after="30"/>
      </w:pPr>
      <w:r>
        <w:t>Partner backend derives current user/session and calls local Agent.</w:t>
      </w:r>
    </w:p>
    <w:p>
      <w:pPr>
        <w:pStyle w:val="ListNumber"/>
        <w:spacing w:after="30"/>
      </w:pPr>
      <w:r>
        <w:t>Agent returns SHOW + creative/token or NO_AD.</w:t>
      </w:r>
    </w:p>
    <w:p>
      <w:pPr>
        <w:pStyle w:val="ListNumber"/>
        <w:spacing w:after="30"/>
      </w:pPr>
      <w:r>
        <w:t>Frontend renders native/banner/card format.</w:t>
      </w:r>
    </w:p>
    <w:p>
      <w:pPr>
        <w:pStyle w:val="Heading2"/>
      </w:pPr>
      <w:r>
        <w:t>9.2 Mobile flow</w:t>
      </w:r>
    </w:p>
    <w:p>
      <w:pPr>
        <w:pStyle w:val="ListBullet"/>
        <w:spacing w:after="30"/>
      </w:pPr>
      <w:r>
        <w:t>Start with the framework used by first pilot Partner; do not build iOS + Android + RN + Flutter simultaneously.</w:t>
      </w:r>
    </w:p>
    <w:p>
      <w:pPr>
        <w:pStyle w:val="ListBullet"/>
        <w:spacing w:after="30"/>
      </w:pPr>
      <w:r>
        <w:t>SDK only renders and reports UI interactions to partner backend/Agent.</w:t>
      </w:r>
    </w:p>
    <w:p>
      <w:pPr>
        <w:pStyle w:val="ListBullet"/>
        <w:spacing w:after="30"/>
      </w:pPr>
      <w:r>
        <w:t>No targeting rules in the SDK.</w:t>
      </w:r>
    </w:p>
    <w:p>
      <w:pPr>
        <w:pStyle w:val="ListBullet"/>
        <w:spacing w:after="30"/>
      </w:pPr>
      <w:r>
        <w:t>All ad code must fail independently from the core customer journey.</w:t>
      </w:r>
    </w:p>
    <w:p>
      <w:r>
        <w:br w:type="page"/>
      </w:r>
    </w:p>
    <w:p>
      <w:pPr>
        <w:pStyle w:val="Heading1"/>
      </w:pPr>
      <w:r>
        <w:t>10. Buyer Campaign Creation</w:t>
      </w:r>
    </w:p>
    <w:p>
      <w:pPr>
        <w:pStyle w:val="ListNumber"/>
        <w:spacing w:after="30"/>
      </w:pPr>
      <w:r>
        <w:t>Buyer chooses objective: qualified leads, conversions, clicks or awareness.</w:t>
      </w:r>
    </w:p>
    <w:p>
      <w:pPr>
        <w:pStyle w:val="ListNumber"/>
        <w:spacing w:after="30"/>
      </w:pPr>
      <w:r>
        <w:t>Enter budget, dates, geography and lead definition.</w:t>
      </w:r>
    </w:p>
    <w:p>
      <w:pPr>
        <w:pStyle w:val="ListNumber"/>
        <w:spacing w:after="30"/>
      </w:pPr>
      <w:r>
        <w:t>Upload creative and landing URL.</w:t>
      </w:r>
    </w:p>
    <w:p>
      <w:pPr>
        <w:pStyle w:val="ListNumber"/>
        <w:spacing w:after="30"/>
      </w:pPr>
      <w:r>
        <w:t>Search available Data Partners/segments/placements.</w:t>
      </w:r>
    </w:p>
    <w:p>
      <w:pPr>
        <w:pStyle w:val="ListNumber"/>
        <w:spacing w:after="30"/>
      </w:pPr>
      <w:r>
        <w:t>Select one or many Partners.</w:t>
      </w:r>
    </w:p>
    <w:p>
      <w:pPr>
        <w:pStyle w:val="ListNumber"/>
        <w:spacing w:after="30"/>
      </w:pPr>
      <w:r>
        <w:t>Select channel per Partner: app, website, Meta if available, Google if available.</w:t>
      </w:r>
    </w:p>
    <w:p>
      <w:pPr>
        <w:pStyle w:val="ListNumber"/>
        <w:spacing w:after="30"/>
      </w:pPr>
      <w:r>
        <w:t>Submit campaign.</w:t>
      </w:r>
    </w:p>
    <w:p>
      <w:pPr>
        <w:pStyle w:val="Code"/>
      </w:pPr>
      <w:r>
        <w:rPr>
          <w:rFonts w:ascii="Courier New" w:hAnsi="Courier New"/>
          <w:sz w:val="15"/>
        </w:rPr>
        <w:t>CMP-100</w:t>
        <w:br/>
        <w:t xml:space="preserve">  Buyer: ABC Insurance</w:t>
        <w:br/>
        <w:t xml:space="preserve">  Objective: Qualified Leads</w:t>
        <w:br/>
        <w:t xml:space="preserve">  Budget: INR 500,000</w:t>
        <w:br/>
        <w:t xml:space="preserve">  Creative: CR-88</w:t>
        <w:br/>
        <w:t xml:space="preserve">  Partner A → Recent Traveller → App</w:t>
        <w:br/>
        <w:t xml:space="preserve">  Partner B → Travel Rewards → Website + Meta</w:t>
        <w:br/>
        <w:t xml:space="preserve">  Partner C → Travel Shopper → App</w:t>
      </w:r>
    </w:p>
    <w:p>
      <w:r>
        <w:br w:type="page"/>
      </w:r>
    </w:p>
    <w:p>
      <w:pPr>
        <w:pStyle w:val="Heading1"/>
      </w:pPr>
      <w:r>
        <w:t>11. Partner Approval and Signed Manifests</w:t>
      </w:r>
    </w:p>
    <w:p>
      <w:pPr>
        <w:jc w:val="center"/>
      </w:pPr>
      <w:r>
        <w:drawing>
          <wp:inline xmlns:a="http://schemas.openxmlformats.org/drawingml/2006/main" xmlns:pic="http://schemas.openxmlformats.org/drawingml/2006/picture">
            <wp:extent cx="6217920" cy="6312906"/>
            <wp:docPr id="6" name="Picture 6"/>
            <wp:cNvGraphicFramePr>
              <a:graphicFrameLocks noChangeAspect="1"/>
            </wp:cNvGraphicFramePr>
            <a:graphic>
              <a:graphicData uri="http://schemas.openxmlformats.org/drawingml/2006/picture">
                <pic:pic>
                  <pic:nvPicPr>
                    <pic:cNvPr id="0" name="06_campaign_approval.png"/>
                    <pic:cNvPicPr/>
                  </pic:nvPicPr>
                  <pic:blipFill>
                    <a:blip r:embed="rId14"/>
                    <a:stretch>
                      <a:fillRect/>
                    </a:stretch>
                  </pic:blipFill>
                  <pic:spPr>
                    <a:xfrm>
                      <a:off x="0" y="0"/>
                      <a:ext cx="6217920" cy="6312906"/>
                    </a:xfrm>
                    <a:prstGeom prst="rect"/>
                  </pic:spPr>
                </pic:pic>
              </a:graphicData>
            </a:graphic>
          </wp:inline>
        </w:drawing>
      </w:r>
    </w:p>
    <w:p>
      <w:pPr>
        <w:jc w:val="center"/>
      </w:pPr>
      <w:r>
        <w:rPr>
          <w:i/>
          <w:color w:val="4B5563"/>
          <w:sz w:val="16"/>
        </w:rPr>
        <w:t>Figure 6. Partner-specific approval workflow.</w:t>
      </w:r>
    </w:p>
    <w:p>
      <w:pPr>
        <w:pStyle w:val="Heading2"/>
      </w:pPr>
      <w:r>
        <w:t>11.1 Partner sees before approval</w:t>
      </w:r>
    </w:p>
    <w:p>
      <w:pPr>
        <w:pStyle w:val="ListBullet"/>
        <w:spacing w:after="30"/>
      </w:pPr>
      <w:r>
        <w:t>Buyer identity</w:t>
      </w:r>
    </w:p>
    <w:p>
      <w:pPr>
        <w:pStyle w:val="ListBullet"/>
        <w:spacing w:after="30"/>
      </w:pPr>
      <w:r>
        <w:t>Product/category</w:t>
      </w:r>
    </w:p>
    <w:p>
      <w:pPr>
        <w:pStyle w:val="ListBullet"/>
        <w:spacing w:after="30"/>
      </w:pPr>
      <w:r>
        <w:t>Segment requested</w:t>
      </w:r>
    </w:p>
    <w:p>
      <w:pPr>
        <w:pStyle w:val="ListBullet"/>
        <w:spacing w:after="30"/>
      </w:pPr>
      <w:r>
        <w:t>Placement/channel</w:t>
      </w:r>
    </w:p>
    <w:p>
      <w:pPr>
        <w:pStyle w:val="ListBullet"/>
        <w:spacing w:after="30"/>
      </w:pPr>
      <w:r>
        <w:t>Creative preview</w:t>
      </w:r>
    </w:p>
    <w:p>
      <w:pPr>
        <w:pStyle w:val="ListBullet"/>
        <w:spacing w:after="30"/>
      </w:pPr>
      <w:r>
        <w:t>Landing destination</w:t>
      </w:r>
    </w:p>
    <w:p>
      <w:pPr>
        <w:pStyle w:val="ListBullet"/>
        <w:spacing w:after="30"/>
      </w:pPr>
      <w:r>
        <w:t>Budget / payout</w:t>
      </w:r>
    </w:p>
    <w:p>
      <w:pPr>
        <w:pStyle w:val="ListBullet"/>
        <w:spacing w:after="30"/>
      </w:pPr>
      <w:r>
        <w:t>Start/end</w:t>
      </w:r>
    </w:p>
    <w:p>
      <w:pPr>
        <w:pStyle w:val="ListBullet"/>
        <w:spacing w:after="30"/>
      </w:pPr>
      <w:r>
        <w:t>Frequency cap</w:t>
      </w:r>
    </w:p>
    <w:p>
      <w:pPr>
        <w:pStyle w:val="ListBullet"/>
        <w:spacing w:after="30"/>
      </w:pPr>
      <w:r>
        <w:t>Lead definition</w:t>
      </w:r>
    </w:p>
    <w:p>
      <w:pPr>
        <w:pStyle w:val="ListBullet"/>
        <w:spacing w:after="30"/>
      </w:pPr>
      <w:r>
        <w:t>Audience expansion/lookalike permission</w:t>
      </w:r>
    </w:p>
    <w:p>
      <w:pPr>
        <w:pStyle w:val="ListBullet"/>
        <w:spacing w:after="30"/>
      </w:pPr>
      <w:r>
        <w:t>Data-use purpose</w:t>
      </w:r>
    </w:p>
    <w:p>
      <w:pPr>
        <w:pStyle w:val="Heading2"/>
      </w:pPr>
      <w:r>
        <w:t>11.2 Signed manifest</w:t>
      </w:r>
    </w:p>
    <w:p>
      <w:pPr>
        <w:pStyle w:val="Code"/>
      </w:pPr>
      <w:r>
        <w:t>{</w:t>
        <w:br/>
        <w:t xml:space="preserve"> "campaign_id":"CMP-100",</w:t>
        <w:br/>
        <w:t xml:space="preserve"> "activation_id":"ACT-A-APP",</w:t>
        <w:br/>
        <w:t xml:space="preserve"> "partner_id":"PARTNER-A",</w:t>
        <w:br/>
        <w:t xml:space="preserve"> "segment_id":"RECENT_TRAVELLER_60D",</w:t>
        <w:br/>
        <w:t xml:space="preserve"> "channel":"PARTNER_APP",</w:t>
        <w:br/>
        <w:t xml:space="preserve"> "placement_ids":["booking_success"],</w:t>
        <w:br/>
        <w:t xml:space="preserve"> "creative_ids":["CR-88"],</w:t>
        <w:br/>
        <w:t xml:space="preserve"> "start_at":"...",</w:t>
        <w:br/>
        <w:t xml:space="preserve"> "end_at":"...",</w:t>
        <w:br/>
        <w:t xml:space="preserve"> "frequency":{"max":2,"window":"day"},</w:t>
        <w:br/>
        <w:t xml:space="preserve"> "purpose_id":"travel_insurance_offer",</w:t>
        <w:br/>
        <w:t xml:space="preserve"> "policy_version":"P-21",</w:t>
        <w:br/>
        <w:t xml:space="preserve"> "approved_at":"...",</w:t>
        <w:br/>
        <w:t xml:space="preserve"> "signature":"..."</w:t>
        <w:br/>
        <w:t>}</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Agent rule</w:t>
            </w:r>
          </w:p>
          <w:p>
            <w:pPr>
              <w:spacing w:after="0"/>
            </w:pPr>
            <w:r>
              <w:t>No valid signature + no valid approval + no current policy = no ad and no external upload.</w:t>
            </w:r>
          </w:p>
        </w:tc>
      </w:tr>
    </w:tbl>
    <w:p/>
    <w:p>
      <w:r>
        <w:br w:type="page"/>
      </w:r>
    </w:p>
    <w:p>
      <w:pPr>
        <w:pStyle w:val="Heading1"/>
      </w:pPr>
      <w:r>
        <w:t>12. Partner-Owned Website/App Ad-Serving Flow</w:t>
      </w:r>
    </w:p>
    <w:p>
      <w:pPr>
        <w:jc w:val="center"/>
      </w:pPr>
      <w:r>
        <w:drawing>
          <wp:inline xmlns:a="http://schemas.openxmlformats.org/drawingml/2006/main" xmlns:pic="http://schemas.openxmlformats.org/drawingml/2006/picture">
            <wp:extent cx="6217920" cy="1728837"/>
            <wp:docPr id="7" name="Picture 7"/>
            <wp:cNvGraphicFramePr>
              <a:graphicFrameLocks noChangeAspect="1"/>
            </wp:cNvGraphicFramePr>
            <a:graphic>
              <a:graphicData uri="http://schemas.openxmlformats.org/drawingml/2006/picture">
                <pic:pic>
                  <pic:nvPicPr>
                    <pic:cNvPr id="0" name="07_owned_runtime.png"/>
                    <pic:cNvPicPr/>
                  </pic:nvPicPr>
                  <pic:blipFill>
                    <a:blip r:embed="rId15"/>
                    <a:stretch>
                      <a:fillRect/>
                    </a:stretch>
                  </pic:blipFill>
                  <pic:spPr>
                    <a:xfrm>
                      <a:off x="0" y="0"/>
                      <a:ext cx="6217920" cy="1728837"/>
                    </a:xfrm>
                    <a:prstGeom prst="rect"/>
                  </pic:spPr>
                </pic:pic>
              </a:graphicData>
            </a:graphic>
          </wp:inline>
        </w:drawing>
      </w:r>
    </w:p>
    <w:p>
      <w:pPr>
        <w:jc w:val="center"/>
      </w:pPr>
      <w:r>
        <w:rPr>
          <w:i/>
          <w:color w:val="4B5563"/>
          <w:sz w:val="16"/>
        </w:rPr>
        <w:t>Figure 7. Runtime path for partner-owned media.</w:t>
      </w:r>
    </w:p>
    <w:p>
      <w:pPr>
        <w:pStyle w:val="ListNumber"/>
        <w:spacing w:after="30"/>
      </w:pPr>
      <w:r>
        <w:t>User opens approved screen/page.</w:t>
      </w:r>
    </w:p>
    <w:p>
      <w:pPr>
        <w:pStyle w:val="ListNumber"/>
        <w:spacing w:after="30"/>
      </w:pPr>
      <w:r>
        <w:t>Ad slot asks Partner backend for an ad.</w:t>
      </w:r>
    </w:p>
    <w:p>
      <w:pPr>
        <w:pStyle w:val="ListNumber"/>
        <w:spacing w:after="30"/>
      </w:pPr>
      <w:r>
        <w:t>Partner backend uses the existing session to obtain partner_user_id locally.</w:t>
      </w:r>
    </w:p>
    <w:p>
      <w:pPr>
        <w:pStyle w:val="ListNumber"/>
        <w:spacing w:after="30"/>
      </w:pPr>
      <w:r>
        <w:t>Partner backend calls Partner Agent over private/local network.</w:t>
      </w:r>
    </w:p>
    <w:p>
      <w:pPr>
        <w:pStyle w:val="ListNumber"/>
        <w:spacing w:after="30"/>
      </w:pPr>
      <w:r>
        <w:t>Agent identifies active approved campaigns for the placement.</w:t>
      </w:r>
    </w:p>
    <w:p>
      <w:pPr>
        <w:pStyle w:val="ListNumber"/>
        <w:spacing w:after="30"/>
      </w:pPr>
      <w:r>
        <w:t>Agent checks local segment membership.</w:t>
      </w:r>
    </w:p>
    <w:p>
      <w:pPr>
        <w:pStyle w:val="ListNumber"/>
        <w:spacing w:after="30"/>
      </w:pPr>
      <w:r>
        <w:t>Agent checks consent/advertising eligibility.</w:t>
      </w:r>
    </w:p>
    <w:p>
      <w:pPr>
        <w:pStyle w:val="ListNumber"/>
        <w:spacing w:after="30"/>
      </w:pPr>
      <w:r>
        <w:t>Agent checks frequency cap, pacing, dates, creative status and Partner policy.</w:t>
      </w:r>
    </w:p>
    <w:p>
      <w:pPr>
        <w:pStyle w:val="ListNumber"/>
        <w:spacing w:after="30"/>
      </w:pPr>
      <w:r>
        <w:t>Agent selects a campaign.</w:t>
      </w:r>
    </w:p>
    <w:p>
      <w:pPr>
        <w:pStyle w:val="ListNumber"/>
        <w:spacing w:after="30"/>
      </w:pPr>
      <w:r>
        <w:t>Agent returns creative metadata + anonymous signed click token.</w:t>
      </w:r>
    </w:p>
    <w:p>
      <w:pPr>
        <w:pStyle w:val="ListNumber"/>
        <w:spacing w:after="30"/>
      </w:pPr>
      <w:r>
        <w:t>Partner backend/frontend renders ad.</w:t>
      </w:r>
    </w:p>
    <w:p>
      <w:pPr>
        <w:pStyle w:val="ListNumber"/>
        <w:spacing w:after="30"/>
      </w:pPr>
      <w:r>
        <w:t>Agent records local frequency and aggregate delivery counter.</w:t>
      </w:r>
    </w:p>
    <w:p>
      <w:pPr>
        <w:pStyle w:val="ListNumber"/>
        <w:spacing w:after="30"/>
      </w:pPr>
      <w:r>
        <w:t>Counters are uploaded to Oolix in batches.</w:t>
      </w:r>
    </w:p>
    <w:p>
      <w:pPr>
        <w:pStyle w:val="ListNumber"/>
        <w:spacing w:after="30"/>
      </w:pPr>
      <w:r>
        <w:t>User click redirects to Buyer landing page with anonymous token.</w:t>
      </w:r>
    </w:p>
    <w:p>
      <w:pPr>
        <w:pStyle w:val="ListNumber"/>
        <w:spacing w:after="30"/>
      </w:pPr>
      <w:r>
        <w:t>Buyer CRM later returns lead qualification/conversion against token.</w:t>
      </w:r>
    </w:p>
    <w:p>
      <w:pPr>
        <w:pStyle w:val="Heading2"/>
      </w:pPr>
      <w:r>
        <w:t>12.1 Runtime API example</w:t>
      </w:r>
    </w:p>
    <w:p>
      <w:pPr>
        <w:pStyle w:val="Code"/>
      </w:pPr>
      <w:r>
        <w:t>POST http://partner-agent.local/private/v1/ad-decision</w:t>
        <w:br/>
        <w:t>{</w:t>
        <w:br/>
        <w:t xml:space="preserve"> "partner_user_id":"U123",</w:t>
        <w:br/>
        <w:t xml:space="preserve"> "placement_id":"booking_success",</w:t>
        <w:br/>
        <w:t xml:space="preserve"> "context":{"page_type":"booking_success"}</w:t>
        <w:br/>
        <w:t>}</w:t>
        <w:br/>
        <w:br/>
        <w:t>→ 200</w:t>
        <w:br/>
        <w:t>{</w:t>
        <w:br/>
        <w:t xml:space="preserve"> "decision":"SHOW",</w:t>
        <w:br/>
        <w:t xml:space="preserve"> "activation_id":"ACT-A-APP",</w:t>
        <w:br/>
        <w:t xml:space="preserve"> "creative":{...},</w:t>
        <w:br/>
        <w:t xml:space="preserve"> "click_token":"opaque-random-token",</w:t>
        <w:br/>
        <w:t xml:space="preserve"> "ttl_ms":30000</w:t>
        <w:br/>
        <w:t>}</w:t>
      </w:r>
    </w:p>
    <w:p>
      <w:r>
        <w:br w:type="page"/>
      </w:r>
    </w:p>
    <w:p>
      <w:pPr>
        <w:pStyle w:val="Heading1"/>
      </w:pPr>
      <w:r>
        <w:t>13. Multi-Data-Partner Campaign Orchestration</w:t>
      </w:r>
    </w:p>
    <w:p>
      <w:pPr>
        <w:pStyle w:val="ListBullet"/>
        <w:spacing w:after="30"/>
      </w:pPr>
      <w:r>
        <w:t>Parent campaign CMP-100 is the Buyer-facing object.</w:t>
      </w:r>
    </w:p>
    <w:p>
      <w:pPr>
        <w:pStyle w:val="ListBullet"/>
        <w:spacing w:after="30"/>
      </w:pPr>
      <w:r>
        <w:t>Every Partner/channel becomes a separate Activation: ACT-A-APP, ACT-B-WEB, ACT-B-META, etc.</w:t>
      </w:r>
    </w:p>
    <w:p>
      <w:pPr>
        <w:pStyle w:val="ListBullet"/>
        <w:spacing w:after="30"/>
      </w:pPr>
      <w:r>
        <w:t>Partners never see another Partner’s customer data.</w:t>
      </w:r>
    </w:p>
    <w:p>
      <w:pPr>
        <w:pStyle w:val="ListBullet"/>
        <w:spacing w:after="30"/>
      </w:pPr>
      <w:r>
        <w:t>Budget/payout/reporting is tracked per Activation.</w:t>
      </w:r>
    </w:p>
    <w:p>
      <w:pPr>
        <w:pStyle w:val="ListBullet"/>
        <w:spacing w:after="30"/>
      </w:pPr>
      <w:r>
        <w:t>First MVP uses independent Partner-local frequency.</w:t>
      </w:r>
    </w:p>
    <w:p>
      <w:pPr>
        <w:pStyle w:val="ListBullet"/>
        <w:spacing w:after="30"/>
      </w:pPr>
      <w:r>
        <w:t>Cross-partner identity/dedupe is deliberately deferred to TEE/clean-room phase.</w:t>
      </w:r>
    </w:p>
    <w:p>
      <w:pPr>
        <w:pStyle w:val="Code"/>
      </w:pPr>
      <w:r>
        <w:rPr>
          <w:rFonts w:ascii="Courier New" w:hAnsi="Courier New"/>
          <w:sz w:val="15"/>
        </w:rPr>
        <w:t>CMP-100</w:t>
        <w:br/>
        <w:t>├─ ACT-A-APP</w:t>
        <w:br/>
        <w:t>├─ ACT-B-WEB</w:t>
        <w:br/>
        <w:t>├─ ACT-B-META</w:t>
        <w:br/>
        <w:t>└─ ACT-C-APP</w:t>
      </w:r>
    </w:p>
    <w:p>
      <w:r>
        <w:br w:type="page"/>
      </w:r>
    </w:p>
    <w:p>
      <w:pPr>
        <w:pStyle w:val="Heading1"/>
      </w:pPr>
      <w:r>
        <w:t>14. Click, Lead and Conversion Attribution</w:t>
      </w:r>
    </w:p>
    <w:p>
      <w:pPr>
        <w:pStyle w:val="Heading2"/>
      </w:pPr>
      <w:r>
        <w:t>14.1 Anonymous token</w:t>
      </w:r>
    </w:p>
    <w:p>
      <w:pPr>
        <w:pStyle w:val="Code"/>
      </w:pPr>
      <w:r>
        <w:t>Opaque token itself contains no readable campaign or Partner metadata. Oolix stores the following server-side metadata in attribution_tokens keyed by SHA-256(token): activation_id, partner_org_id, placement_id, creative_version_id, issued_at, expires_at, lead_state and revocation state. The raw token is returned to the browser/Buyer only and is never logged.</w:t>
      </w:r>
    </w:p>
    <w:p>
      <w:pPr>
        <w:pStyle w:val="ListNumber"/>
        <w:spacing w:after="30"/>
      </w:pPr>
      <w:r>
        <w:t>User clicks partner ad.</w:t>
      </w:r>
    </w:p>
    <w:p>
      <w:pPr>
        <w:pStyle w:val="ListNumber"/>
        <w:spacing w:after="30"/>
      </w:pPr>
      <w:r>
        <w:t>Redirect includes opaque token.</w:t>
      </w:r>
    </w:p>
    <w:p>
      <w:pPr>
        <w:pStyle w:val="ListNumber"/>
        <w:spacing w:after="30"/>
      </w:pPr>
      <w:r>
        <w:t>Buyer landing page collects user details directly from user.</w:t>
      </w:r>
    </w:p>
    <w:p>
      <w:pPr>
        <w:pStyle w:val="ListNumber"/>
        <w:spacing w:after="30"/>
      </w:pPr>
      <w:r>
        <w:t>Buyer stores token with lead.</w:t>
      </w:r>
    </w:p>
    <w:p>
      <w:pPr>
        <w:pStyle w:val="ListNumber"/>
        <w:spacing w:after="30"/>
      </w:pPr>
      <w:r>
        <w:t>Buyer CRM sends lead status to Oolix: received / valid / qualified / rejected / converted.</w:t>
      </w:r>
    </w:p>
    <w:p>
      <w:pPr>
        <w:pStyle w:val="ListNumber"/>
        <w:spacing w:after="30"/>
      </w:pPr>
      <w:r>
        <w:t>Oolix attributes outcome to Partner activation.</w:t>
      </w:r>
    </w:p>
    <w:p>
      <w:pPr>
        <w:pStyle w:val="Heading2"/>
      </w:pPr>
      <w:r>
        <w:t>14.2 In-app consented lead later</w:t>
      </w:r>
    </w:p>
    <w:p>
      <w:r>
        <w:t>If the Partner wants to pass an existing customer field, show explicit consent naming the Buyer and purpose. Only the agreed fields are transferred after the user confirms. This is not necessary for the first pilot.</w:t>
      </w:r>
    </w:p>
    <w:p>
      <w:r>
        <w:br w:type="page"/>
      </w:r>
    </w:p>
    <w:p>
      <w:pPr>
        <w:pStyle w:val="Heading1"/>
      </w:pPr>
      <w:r>
        <w:t>15. Meta External Activation</w:t>
      </w:r>
    </w:p>
    <w:p>
      <w:pPr>
        <w:jc w:val="center"/>
      </w:pPr>
      <w:r>
        <w:drawing>
          <wp:inline xmlns:a="http://schemas.openxmlformats.org/drawingml/2006/main" xmlns:pic="http://schemas.openxmlformats.org/drawingml/2006/picture">
            <wp:extent cx="6217920" cy="519526"/>
            <wp:docPr id="8" name="Picture 8"/>
            <wp:cNvGraphicFramePr>
              <a:graphicFrameLocks noChangeAspect="1"/>
            </wp:cNvGraphicFramePr>
            <a:graphic>
              <a:graphicData uri="http://schemas.openxmlformats.org/drawingml/2006/picture">
                <pic:pic>
                  <pic:nvPicPr>
                    <pic:cNvPr id="0" name="08_meta_sequence.png"/>
                    <pic:cNvPicPr/>
                  </pic:nvPicPr>
                  <pic:blipFill>
                    <a:blip r:embed="rId16"/>
                    <a:stretch>
                      <a:fillRect/>
                    </a:stretch>
                  </pic:blipFill>
                  <pic:spPr>
                    <a:xfrm>
                      <a:off x="0" y="0"/>
                      <a:ext cx="6217920" cy="519526"/>
                    </a:xfrm>
                    <a:prstGeom prst="rect"/>
                  </pic:spPr>
                </pic:pic>
              </a:graphicData>
            </a:graphic>
          </wp:inline>
        </w:drawing>
      </w:r>
    </w:p>
    <w:p>
      <w:pPr>
        <w:jc w:val="center"/>
      </w:pPr>
      <w:r>
        <w:rPr>
          <w:i/>
          <w:color w:val="4B5563"/>
          <w:sz w:val="16"/>
        </w:rPr>
        <w:t>Figure 8. Meta flow with Partner approval and policy/account eligibility gate.</w:t>
      </w:r>
    </w:p>
    <w:p>
      <w:r>
        <w:t>Meta Customer List Custom Audiences terms allow an authorized data partner to upload an audience on behalf of an advertiser when the uploader has the required authority, permissions and lawful basis. Customer-list data is locally hashed before it is passed to Meta. Therefore Oolix can design a partner-side Meta adapter, but it must never assume universal eligibility.</w:t>
      </w:r>
    </w:p>
    <w:p>
      <w:pPr>
        <w:pStyle w:val="Heading2"/>
      </w:pPr>
      <w:r>
        <w:t>15.1 Meta end-to-end</w:t>
      </w:r>
    </w:p>
    <w:p>
      <w:pPr>
        <w:pStyle w:val="ListNumber"/>
        <w:spacing w:after="30"/>
      </w:pPr>
      <w:r>
        <w:t>Data Partner completes one-time Meta Business/ad-account connection.</w:t>
      </w:r>
    </w:p>
    <w:p>
      <w:pPr>
        <w:pStyle w:val="ListNumber"/>
        <w:spacing w:after="30"/>
      </w:pPr>
      <w:r>
        <w:t>Buyer requests Meta for a specific Partner and segment.</w:t>
      </w:r>
    </w:p>
    <w:p>
      <w:pPr>
        <w:pStyle w:val="ListNumber"/>
        <w:spacing w:after="30"/>
      </w:pPr>
      <w:r>
        <w:t>Partner approves Buyer + segment + Meta + creative + dates.</w:t>
      </w:r>
    </w:p>
    <w:p>
      <w:pPr>
        <w:pStyle w:val="ListNumber"/>
        <w:spacing w:after="30"/>
      </w:pPr>
      <w:r>
        <w:t>Eligibility service verifies connection status, required account/assets, Partner rights, advertiser authority, opt-out/consent status and Partner policy.</w:t>
      </w:r>
    </w:p>
    <w:p>
      <w:pPr>
        <w:pStyle w:val="ListNumber"/>
        <w:spacing w:after="30"/>
      </w:pPr>
      <w:r>
        <w:t>If not eligible, no upload; recommend Partner web/app.</w:t>
      </w:r>
    </w:p>
    <w:p>
      <w:pPr>
        <w:pStyle w:val="ListNumber"/>
        <w:spacing w:after="30"/>
      </w:pPr>
      <w:r>
        <w:t>If eligible, Oolix sends a Meta activation manifest to Partner Agent.</w:t>
      </w:r>
    </w:p>
    <w:p>
      <w:pPr>
        <w:pStyle w:val="ListNumber"/>
        <w:spacing w:after="30"/>
      </w:pPr>
      <w:r>
        <w:t>Agent reads only the approved local segment.</w:t>
      </w:r>
    </w:p>
    <w:p>
      <w:pPr>
        <w:pStyle w:val="ListNumber"/>
        <w:spacing w:after="30"/>
      </w:pPr>
      <w:r>
        <w:t>Agent normalizes/hashes permitted identifiers locally.</w:t>
      </w:r>
    </w:p>
    <w:p>
      <w:pPr>
        <w:pStyle w:val="ListNumber"/>
        <w:spacing w:after="30"/>
      </w:pPr>
      <w:r>
        <w:t>Agent sends audience data directly to Meta using authorized account context.</w:t>
      </w:r>
    </w:p>
    <w:p>
      <w:pPr>
        <w:pStyle w:val="ListNumber"/>
        <w:spacing w:after="30"/>
      </w:pPr>
      <w:r>
        <w:t>Agent/Oolix creates or associates required campaign/ad-set/creative resources based on the approved account model.</w:t>
      </w:r>
    </w:p>
    <w:p>
      <w:pPr>
        <w:pStyle w:val="ListNumber"/>
        <w:spacing w:after="30"/>
      </w:pPr>
      <w:r>
        <w:t>Store only resource IDs/status centrally.</w:t>
      </w:r>
    </w:p>
    <w:p>
      <w:pPr>
        <w:pStyle w:val="ListNumber"/>
        <w:spacing w:after="30"/>
      </w:pPr>
      <w:r>
        <w:t>Pull aggregate performance.</w:t>
      </w:r>
    </w:p>
    <w:p>
      <w:pPr>
        <w:pStyle w:val="ListNumber"/>
        <w:spacing w:after="30"/>
      </w:pPr>
      <w:r>
        <w:t>At expiry/revocation, stop campaign and remove/update audience as required.</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Important account model</w:t>
            </w:r>
          </w:p>
          <w:p>
            <w:pPr>
              <w:spacing w:after="0"/>
            </w:pPr>
            <w:r>
              <w:t>For the first Meta pilot use one Partner + one Buyer + one clearly defined activation account model. Do not promise every Partner account can advertise every outside Buyer without confirming Business permissions, ad identity/assets, payment ownership and Meta policy.</w:t>
            </w:r>
          </w:p>
        </w:tc>
      </w:tr>
    </w:tbl>
    <w:p/>
    <w:p>
      <w:r>
        <w:br w:type="page"/>
      </w:r>
    </w:p>
    <w:p>
      <w:pPr>
        <w:pStyle w:val="Heading1"/>
      </w:pPr>
      <w:r>
        <w:t>16. Google External Activation</w:t>
      </w:r>
    </w:p>
    <w:p>
      <w:pPr>
        <w:jc w:val="center"/>
      </w:pPr>
      <w:r>
        <w:drawing>
          <wp:inline xmlns:a="http://schemas.openxmlformats.org/drawingml/2006/main" xmlns:pic="http://schemas.openxmlformats.org/drawingml/2006/picture">
            <wp:extent cx="6217920" cy="484635"/>
            <wp:docPr id="9" name="Picture 9"/>
            <wp:cNvGraphicFramePr>
              <a:graphicFrameLocks noChangeAspect="1"/>
            </wp:cNvGraphicFramePr>
            <a:graphic>
              <a:graphicData uri="http://schemas.openxmlformats.org/drawingml/2006/picture">
                <pic:pic>
                  <pic:nvPicPr>
                    <pic:cNvPr id="0" name="09_google_sequence.png"/>
                    <pic:cNvPicPr/>
                  </pic:nvPicPr>
                  <pic:blipFill>
                    <a:blip r:embed="rId17"/>
                    <a:stretch>
                      <a:fillRect/>
                    </a:stretch>
                  </pic:blipFill>
                  <pic:spPr>
                    <a:xfrm>
                      <a:off x="0" y="0"/>
                      <a:ext cx="6217920" cy="484635"/>
                    </a:xfrm>
                    <a:prstGeom prst="rect"/>
                  </pic:spPr>
                </pic:pic>
              </a:graphicData>
            </a:graphic>
          </wp:inline>
        </w:drawing>
      </w:r>
    </w:p>
    <w:p>
      <w:pPr>
        <w:jc w:val="center"/>
      </w:pPr>
      <w:r>
        <w:rPr>
          <w:i/>
          <w:color w:val="4B5563"/>
          <w:sz w:val="16"/>
        </w:rPr>
        <w:t>Figure 9. Google activation via Data Manager API only when first-party and account-policy requirements are satisfied.</w:t>
      </w:r>
    </w:p>
    <w:p>
      <w:r>
        <w:t>Google Data Manager API is explicitly designed for advertisers, agencies and data partners and supports audience ingestion plus partner-link account paths. However Customer Match is governed by first-party data and account eligibility rules. Therefore the developer must build a strict eligibility gate rather than a generic “Google available” button.</w:t>
      </w:r>
    </w:p>
    <w:p>
      <w:pPr>
        <w:pStyle w:val="Heading2"/>
      </w:pPr>
      <w:r>
        <w:t>16.1 Google end-to-end</w:t>
      </w:r>
    </w:p>
    <w:p>
      <w:pPr>
        <w:pStyle w:val="ListNumber"/>
        <w:spacing w:after="30"/>
      </w:pPr>
      <w:r>
        <w:t>Partner connects an approved Google Ads/data-partner account relationship.</w:t>
      </w:r>
    </w:p>
    <w:p>
      <w:pPr>
        <w:pStyle w:val="ListNumber"/>
        <w:spacing w:after="30"/>
      </w:pPr>
      <w:r>
        <w:t>Buyer requests Google activation for Partner segment.</w:t>
      </w:r>
    </w:p>
    <w:p>
      <w:pPr>
        <w:pStyle w:val="ListNumber"/>
        <w:spacing w:after="30"/>
      </w:pPr>
      <w:r>
        <w:t>Partner approves.</w:t>
      </w:r>
    </w:p>
    <w:p>
      <w:pPr>
        <w:pStyle w:val="ListNumber"/>
        <w:spacing w:after="30"/>
      </w:pPr>
      <w:r>
        <w:t>Eligibility service checks: Google account compliance/payment status, feature eligibility, first-party/retailer relationship rules, documented Third-Party Uploader/data-partner relationship where applicable, required consent signals and destination account access.</w:t>
      </w:r>
    </w:p>
    <w:p>
      <w:pPr>
        <w:pStyle w:val="ListNumber"/>
        <w:spacing w:after="30"/>
      </w:pPr>
      <w:r>
        <w:t>If not eligible, block external activation and keep owned-media path available.</w:t>
      </w:r>
    </w:p>
    <w:p>
      <w:pPr>
        <w:pStyle w:val="ListNumber"/>
        <w:spacing w:after="30"/>
      </w:pPr>
      <w:r>
        <w:t>If eligible, Partner Agent reads approved local segment.</w:t>
      </w:r>
    </w:p>
    <w:p>
      <w:pPr>
        <w:pStyle w:val="ListNumber"/>
        <w:spacing w:after="30"/>
      </w:pPr>
      <w:r>
        <w:t>Agent prepares supported Customer Match identifiers (contact information, mobile IDs or user IDs depending workflow) and required consent fields.</w:t>
      </w:r>
    </w:p>
    <w:p>
      <w:pPr>
        <w:pStyle w:val="ListNumber"/>
        <w:spacing w:after="30"/>
      </w:pPr>
      <w:r>
        <w:t>Agent calls Google Data Manager API using the configured operating/login/linked account path.</w:t>
      </w:r>
    </w:p>
    <w:p>
      <w:pPr>
        <w:pStyle w:val="ListNumber"/>
        <w:spacing w:after="30"/>
      </w:pPr>
      <w:r>
        <w:t>Agent checks ingestion status and stores only Google audience resource ID/status in Oolix.</w:t>
      </w:r>
    </w:p>
    <w:p>
      <w:pPr>
        <w:pStyle w:val="ListNumber"/>
        <w:spacing w:after="30"/>
      </w:pPr>
      <w:r>
        <w:t>Campaign runs only if Google account/campaign is eligible for the selected Customer Match use.</w:t>
      </w:r>
    </w:p>
    <w:p>
      <w:pPr>
        <w:pStyle w:val="ListNumber"/>
        <w:spacing w:after="30"/>
      </w:pPr>
      <w:r>
        <w:t>Pull aggregate campaign metrics.</w:t>
      </w:r>
    </w:p>
    <w:p>
      <w:pPr>
        <w:pStyle w:val="ListNumber"/>
        <w:spacing w:after="30"/>
      </w:pPr>
      <w:r>
        <w:t>At expiry/revocation, remove members / update audience / stop campaign.</w:t>
      </w:r>
    </w:p>
    <w:p>
      <w:pPr>
        <w:pStyle w:val="Heading2"/>
      </w:pPr>
      <w:r>
        <w:t>16.2 Current Google-specific guardrails</w:t>
      </w:r>
    </w:p>
    <w:p>
      <w:pPr>
        <w:pStyle w:val="ListBullet"/>
        <w:spacing w:after="30"/>
      </w:pPr>
      <w:r>
        <w:t>Do not implement new Customer Match workflows on the old Google Ads API when Data Manager API is the recommended current path.</w:t>
      </w:r>
    </w:p>
    <w:p>
      <w:pPr>
        <w:pStyle w:val="ListBullet"/>
        <w:spacing w:after="30"/>
      </w:pPr>
      <w:r>
        <w:t>Google Customer Match requires good policy/payment history; full targeting features may require additional account history/spend eligibility.</w:t>
      </w:r>
    </w:p>
    <w:p>
      <w:pPr>
        <w:pStyle w:val="ListBullet"/>
        <w:spacing w:after="30"/>
      </w:pPr>
      <w:r>
        <w:t>Google customer data policy generally requires first-party data, with documented exceptions/workflows such as retailer relationships and authorized Third-Party Uploaders.</w:t>
      </w:r>
    </w:p>
    <w:p>
      <w:pPr>
        <w:pStyle w:val="ListBullet"/>
        <w:spacing w:after="30"/>
      </w:pPr>
      <w:r>
        <w:t>Treat Google as conditional during MVP sales conversations.</w:t>
      </w:r>
    </w:p>
    <w:p>
      <w:r>
        <w:br w:type="page"/>
      </w:r>
    </w:p>
    <w:p>
      <w:pPr>
        <w:pStyle w:val="Heading1"/>
      </w:pPr>
      <w:r>
        <w:t>17. External Account Connection Strategy</w:t>
      </w:r>
    </w:p>
    <w:p>
      <w:r>
        <w:t>Never collect Partner usernames/passwords. Use delegated/OAuth/business account access and store only the minimum required connection metadata centrally. The exact token location can be channel-specific, but the safest default is: raw audience data and ingestion credentials execute inside Partner Agent; Oolix stores account IDs, authorization state, resource IDs and non-sensitive configuration.</w:t>
      </w:r>
    </w:p>
    <w:tbl>
      <w:tblPr>
        <w:tblStyle w:val="TableGrid"/>
        <w:tblW w:type="auto" w:w="0"/>
        <w:jc w:val="center"/>
        <w:tblLook w:firstColumn="1" w:firstRow="1" w:lastColumn="0" w:lastRow="0" w:noHBand="0" w:noVBand="1" w:val="04A0"/>
      </w:tblPr>
      <w:tblGrid>
        <w:gridCol w:w="3485"/>
        <w:gridCol w:w="3485"/>
        <w:gridCol w:w="3485"/>
      </w:tblGrid>
      <w:tr>
        <w:tc>
          <w:tcPr>
            <w:tcW w:type="dxa" w:w="2304"/>
            <w:vAlign w:val="center"/>
            <w:shd w:fill="1B4363"/>
          </w:tcPr>
          <w:p>
            <w:r/>
            <w:r>
              <w:rPr>
                <w:rFonts w:ascii="Arial" w:hAnsi="Arial"/>
                <w:b/>
                <w:color w:val="FFFFFF"/>
                <w:sz w:val="16"/>
              </w:rPr>
              <w:t>Object</w:t>
            </w:r>
          </w:p>
        </w:tc>
        <w:tc>
          <w:tcPr>
            <w:tcW w:type="dxa" w:w="3744"/>
            <w:vAlign w:val="center"/>
            <w:shd w:fill="1B4363"/>
          </w:tcPr>
          <w:p>
            <w:r/>
            <w:r>
              <w:rPr>
                <w:rFonts w:ascii="Arial" w:hAnsi="Arial"/>
                <w:b/>
                <w:color w:val="FFFFFF"/>
                <w:sz w:val="16"/>
              </w:rPr>
              <w:t>Oolix stores</w:t>
            </w:r>
          </w:p>
        </w:tc>
        <w:tc>
          <w:tcPr>
            <w:tcW w:type="dxa" w:w="3744"/>
            <w:vAlign w:val="center"/>
            <w:shd w:fill="1B4363"/>
          </w:tcPr>
          <w:p>
            <w:r/>
            <w:r>
              <w:rPr>
                <w:rFonts w:ascii="Arial" w:hAnsi="Arial"/>
                <w:b/>
                <w:color w:val="FFFFFF"/>
                <w:sz w:val="16"/>
              </w:rPr>
              <w:t>Partner Agent / Secret Store stores</w:t>
            </w:r>
          </w:p>
        </w:tc>
      </w:tr>
      <w:tr>
        <w:tc>
          <w:tcPr>
            <w:tcW w:type="dxa" w:w="2304"/>
            <w:vAlign w:val="center"/>
          </w:tcPr>
          <w:p>
            <w:r/>
            <w:r>
              <w:rPr>
                <w:rFonts w:ascii="Arial" w:hAnsi="Arial"/>
                <w:b w:val="0"/>
                <w:sz w:val="15"/>
              </w:rPr>
              <w:t>Meta account</w:t>
            </w:r>
          </w:p>
        </w:tc>
        <w:tc>
          <w:tcPr>
            <w:tcW w:type="dxa" w:w="3744"/>
            <w:vAlign w:val="center"/>
          </w:tcPr>
          <w:p>
            <w:r/>
            <w:r>
              <w:rPr>
                <w:rFonts w:ascii="Arial" w:hAnsi="Arial"/>
                <w:b w:val="0"/>
                <w:sz w:val="15"/>
              </w:rPr>
              <w:t>business/ad account ID, status, scopes metadata</w:t>
            </w:r>
          </w:p>
        </w:tc>
        <w:tc>
          <w:tcPr>
            <w:tcW w:type="dxa" w:w="3744"/>
            <w:vAlign w:val="center"/>
          </w:tcPr>
          <w:p>
            <w:r/>
            <w:r>
              <w:rPr>
                <w:rFonts w:ascii="Arial" w:hAnsi="Arial"/>
                <w:b w:val="0"/>
                <w:sz w:val="15"/>
              </w:rPr>
              <w:t>authorized token/credential where chosen</w:t>
            </w:r>
          </w:p>
        </w:tc>
      </w:tr>
      <w:tr>
        <w:tc>
          <w:tcPr>
            <w:tcW w:type="dxa" w:w="2304"/>
            <w:vAlign w:val="center"/>
          </w:tcPr>
          <w:p>
            <w:r/>
            <w:r>
              <w:rPr>
                <w:rFonts w:ascii="Arial" w:hAnsi="Arial"/>
                <w:b w:val="0"/>
                <w:sz w:val="15"/>
              </w:rPr>
              <w:t>Google account</w:t>
            </w:r>
          </w:p>
        </w:tc>
        <w:tc>
          <w:tcPr>
            <w:tcW w:type="dxa" w:w="3744"/>
            <w:vAlign w:val="center"/>
          </w:tcPr>
          <w:p>
            <w:r/>
            <w:r>
              <w:rPr>
                <w:rFonts w:ascii="Arial" w:hAnsi="Arial"/>
                <w:b w:val="0"/>
                <w:sz w:val="15"/>
              </w:rPr>
              <w:t>operating/login/linked account IDs, status</w:t>
            </w:r>
          </w:p>
        </w:tc>
        <w:tc>
          <w:tcPr>
            <w:tcW w:type="dxa" w:w="3744"/>
            <w:vAlign w:val="center"/>
          </w:tcPr>
          <w:p>
            <w:r/>
            <w:r>
              <w:rPr>
                <w:rFonts w:ascii="Arial" w:hAnsi="Arial"/>
                <w:b w:val="0"/>
                <w:sz w:val="15"/>
              </w:rPr>
              <w:t>OAuth/service account credential as configured</w:t>
            </w:r>
          </w:p>
        </w:tc>
      </w:tr>
      <w:tr>
        <w:tc>
          <w:tcPr>
            <w:tcW w:type="dxa" w:w="2304"/>
            <w:vAlign w:val="center"/>
          </w:tcPr>
          <w:p>
            <w:r/>
            <w:r>
              <w:rPr>
                <w:rFonts w:ascii="Arial" w:hAnsi="Arial"/>
                <w:b w:val="0"/>
                <w:sz w:val="15"/>
              </w:rPr>
              <w:t>Audience</w:t>
            </w:r>
          </w:p>
        </w:tc>
        <w:tc>
          <w:tcPr>
            <w:tcW w:type="dxa" w:w="3744"/>
            <w:vAlign w:val="center"/>
          </w:tcPr>
          <w:p>
            <w:r/>
            <w:r>
              <w:rPr>
                <w:rFonts w:ascii="Arial" w:hAnsi="Arial"/>
                <w:b w:val="0"/>
                <w:sz w:val="15"/>
              </w:rPr>
              <w:t>external resource ID, status, dates</w:t>
            </w:r>
          </w:p>
        </w:tc>
        <w:tc>
          <w:tcPr>
            <w:tcW w:type="dxa" w:w="3744"/>
            <w:vAlign w:val="center"/>
          </w:tcPr>
          <w:p>
            <w:r/>
            <w:r>
              <w:rPr>
                <w:rFonts w:ascii="Arial" w:hAnsi="Arial"/>
                <w:b w:val="0"/>
                <w:sz w:val="15"/>
              </w:rPr>
              <w:t>local source membership + upload state</w:t>
            </w:r>
          </w:p>
        </w:tc>
      </w:tr>
      <w:tr>
        <w:tc>
          <w:tcPr>
            <w:tcW w:type="dxa" w:w="2304"/>
            <w:vAlign w:val="center"/>
          </w:tcPr>
          <w:p>
            <w:r/>
            <w:r>
              <w:rPr>
                <w:rFonts w:ascii="Arial" w:hAnsi="Arial"/>
                <w:b w:val="0"/>
                <w:sz w:val="15"/>
              </w:rPr>
              <w:t>Campaign</w:t>
            </w:r>
          </w:p>
        </w:tc>
        <w:tc>
          <w:tcPr>
            <w:tcW w:type="dxa" w:w="3744"/>
            <w:vAlign w:val="center"/>
          </w:tcPr>
          <w:p>
            <w:r/>
            <w:r>
              <w:rPr>
                <w:rFonts w:ascii="Arial" w:hAnsi="Arial"/>
                <w:b w:val="0"/>
                <w:sz w:val="15"/>
              </w:rPr>
              <w:t>resource IDs + aggregate metrics</w:t>
            </w:r>
          </w:p>
        </w:tc>
        <w:tc>
          <w:tcPr>
            <w:tcW w:type="dxa" w:w="3744"/>
            <w:vAlign w:val="center"/>
          </w:tcPr>
          <w:p>
            <w:r/>
            <w:r>
              <w:rPr>
                <w:rFonts w:ascii="Arial" w:hAnsi="Arial"/>
                <w:b w:val="0"/>
                <w:sz w:val="15"/>
              </w:rPr>
              <w:t>temporary execution details as needed</w:t>
            </w:r>
          </w:p>
        </w:tc>
      </w:tr>
      <w:tr>
        <w:tc>
          <w:tcPr>
            <w:tcW w:type="dxa" w:w="2304"/>
            <w:vAlign w:val="center"/>
          </w:tcPr>
          <w:p>
            <w:r/>
            <w:r>
              <w:rPr>
                <w:rFonts w:ascii="Arial" w:hAnsi="Arial"/>
                <w:b w:val="0"/>
                <w:sz w:val="15"/>
              </w:rPr>
              <w:t>Passwords</w:t>
            </w:r>
          </w:p>
        </w:tc>
        <w:tc>
          <w:tcPr>
            <w:tcW w:type="dxa" w:w="3744"/>
            <w:vAlign w:val="center"/>
          </w:tcPr>
          <w:p>
            <w:r/>
            <w:r>
              <w:rPr>
                <w:rFonts w:ascii="Arial" w:hAnsi="Arial"/>
                <w:b w:val="0"/>
                <w:sz w:val="15"/>
              </w:rPr>
              <w:t>Never</w:t>
            </w:r>
          </w:p>
        </w:tc>
        <w:tc>
          <w:tcPr>
            <w:tcW w:type="dxa" w:w="3744"/>
            <w:vAlign w:val="center"/>
          </w:tcPr>
          <w:p>
            <w:r/>
            <w:r>
              <w:rPr>
                <w:rFonts w:ascii="Arial" w:hAnsi="Arial"/>
                <w:b w:val="0"/>
                <w:sz w:val="15"/>
              </w:rPr>
              <w:t>Never</w:t>
            </w:r>
          </w:p>
        </w:tc>
      </w:tr>
    </w:tbl>
    <w:p/>
    <w:p>
      <w:r>
        <w:br w:type="page"/>
      </w:r>
    </w:p>
    <w:p>
      <w:pPr>
        <w:pStyle w:val="Heading1"/>
      </w:pPr>
      <w:r>
        <w:t>18. Reporting and Analytics</w:t>
      </w:r>
    </w:p>
    <w:p>
      <w:pPr>
        <w:jc w:val="center"/>
      </w:pPr>
      <w:r>
        <w:drawing>
          <wp:inline xmlns:a="http://schemas.openxmlformats.org/drawingml/2006/main" xmlns:pic="http://schemas.openxmlformats.org/drawingml/2006/picture">
            <wp:extent cx="6217920" cy="810583"/>
            <wp:docPr id="10" name="Picture 10"/>
            <wp:cNvGraphicFramePr>
              <a:graphicFrameLocks noChangeAspect="1"/>
            </wp:cNvGraphicFramePr>
            <a:graphic>
              <a:graphicData uri="http://schemas.openxmlformats.org/drawingml/2006/picture">
                <pic:pic>
                  <pic:nvPicPr>
                    <pic:cNvPr id="0" name="10_reporting_billing.png"/>
                    <pic:cNvPicPr/>
                  </pic:nvPicPr>
                  <pic:blipFill>
                    <a:blip r:embed="rId18"/>
                    <a:stretch>
                      <a:fillRect/>
                    </a:stretch>
                  </pic:blipFill>
                  <pic:spPr>
                    <a:xfrm>
                      <a:off x="0" y="0"/>
                      <a:ext cx="6217920" cy="810583"/>
                    </a:xfrm>
                    <a:prstGeom prst="rect"/>
                  </pic:spPr>
                </pic:pic>
              </a:graphicData>
            </a:graphic>
          </wp:inline>
        </w:drawing>
      </w:r>
    </w:p>
    <w:p>
      <w:pPr>
        <w:jc w:val="center"/>
      </w:pPr>
      <w:r>
        <w:rPr>
          <w:i/>
          <w:color w:val="4B5563"/>
          <w:sz w:val="16"/>
        </w:rPr>
        <w:t>Figure 10. Aggregate reporting pipeline.</w:t>
      </w:r>
    </w:p>
    <w:p>
      <w:pPr>
        <w:pStyle w:val="ListBullet"/>
        <w:spacing w:after="30"/>
      </w:pPr>
      <w:r>
        <w:t>Agent batches partner-owned media counters.</w:t>
      </w:r>
    </w:p>
    <w:p>
      <w:pPr>
        <w:pStyle w:val="ListBullet"/>
        <w:spacing w:after="30"/>
      </w:pPr>
      <w:r>
        <w:t>Oolix ingest validates partner signature + activation + idempotency key.</w:t>
      </w:r>
    </w:p>
    <w:p>
      <w:pPr>
        <w:pStyle w:val="ListBullet"/>
        <w:spacing w:after="30"/>
      </w:pPr>
      <w:r>
        <w:t>Queue isolates ingestion from analytics.</w:t>
      </w:r>
    </w:p>
    <w:p>
      <w:pPr>
        <w:pStyle w:val="ListBullet"/>
        <w:spacing w:after="30"/>
      </w:pPr>
      <w:r>
        <w:t>Workers aggregate by activation, partner, campaign, placement and time bucket.</w:t>
      </w:r>
    </w:p>
    <w:p>
      <w:pPr>
        <w:pStyle w:val="ListBullet"/>
        <w:spacing w:after="30"/>
      </w:pPr>
      <w:r>
        <w:t>Buyer CRM outcome events feed lead quality.</w:t>
      </w:r>
    </w:p>
    <w:p>
      <w:pPr>
        <w:pStyle w:val="ListBullet"/>
        <w:spacing w:after="30"/>
      </w:pPr>
      <w:r>
        <w:t>External channel metrics are normalized into the same activation schema.</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Metric group</w:t>
            </w:r>
          </w:p>
        </w:tc>
        <w:tc>
          <w:tcPr>
            <w:tcW w:type="dxa" w:w="7200"/>
            <w:vAlign w:val="center"/>
            <w:shd w:fill="1B4363"/>
          </w:tcPr>
          <w:p>
            <w:r/>
            <w:r>
              <w:rPr>
                <w:rFonts w:ascii="Arial" w:hAnsi="Arial"/>
                <w:b/>
                <w:color w:val="FFFFFF"/>
                <w:sz w:val="16"/>
              </w:rPr>
              <w:t>Examples</w:t>
            </w:r>
          </w:p>
        </w:tc>
      </w:tr>
      <w:tr>
        <w:tc>
          <w:tcPr>
            <w:tcW w:type="dxa" w:w="2592"/>
            <w:vAlign w:val="center"/>
          </w:tcPr>
          <w:p>
            <w:r/>
            <w:r>
              <w:rPr>
                <w:rFonts w:ascii="Arial" w:hAnsi="Arial"/>
                <w:b w:val="0"/>
                <w:sz w:val="15"/>
              </w:rPr>
              <w:t>Delivery</w:t>
            </w:r>
          </w:p>
        </w:tc>
        <w:tc>
          <w:tcPr>
            <w:tcW w:type="dxa" w:w="7200"/>
            <w:vAlign w:val="center"/>
          </w:tcPr>
          <w:p>
            <w:r/>
            <w:r>
              <w:rPr>
                <w:rFonts w:ascii="Arial" w:hAnsi="Arial"/>
                <w:b w:val="0"/>
                <w:sz w:val="15"/>
              </w:rPr>
              <w:t>impressions, viewable impressions if defined, clicks</w:t>
            </w:r>
          </w:p>
        </w:tc>
      </w:tr>
      <w:tr>
        <w:tc>
          <w:tcPr>
            <w:tcW w:type="dxa" w:w="2592"/>
            <w:vAlign w:val="center"/>
          </w:tcPr>
          <w:p>
            <w:r/>
            <w:r>
              <w:rPr>
                <w:rFonts w:ascii="Arial" w:hAnsi="Arial"/>
                <w:b w:val="0"/>
                <w:sz w:val="15"/>
              </w:rPr>
              <w:t>Outcome</w:t>
            </w:r>
          </w:p>
        </w:tc>
        <w:tc>
          <w:tcPr>
            <w:tcW w:type="dxa" w:w="7200"/>
            <w:vAlign w:val="center"/>
          </w:tcPr>
          <w:p>
            <w:r/>
            <w:r>
              <w:rPr>
                <w:rFonts w:ascii="Arial" w:hAnsi="Arial"/>
                <w:b w:val="0"/>
                <w:sz w:val="15"/>
              </w:rPr>
              <w:t>lead_received, valid_lead, qualified_lead, converted</w:t>
            </w:r>
          </w:p>
        </w:tc>
      </w:tr>
      <w:tr>
        <w:tc>
          <w:tcPr>
            <w:tcW w:type="dxa" w:w="2592"/>
            <w:vAlign w:val="center"/>
          </w:tcPr>
          <w:p>
            <w:r/>
            <w:r>
              <w:rPr>
                <w:rFonts w:ascii="Arial" w:hAnsi="Arial"/>
                <w:b w:val="0"/>
                <w:sz w:val="15"/>
              </w:rPr>
              <w:t>Cost</w:t>
            </w:r>
          </w:p>
        </w:tc>
        <w:tc>
          <w:tcPr>
            <w:tcW w:type="dxa" w:w="7200"/>
            <w:vAlign w:val="center"/>
          </w:tcPr>
          <w:p>
            <w:r/>
            <w:r>
              <w:rPr>
                <w:rFonts w:ascii="Arial" w:hAnsi="Arial"/>
                <w:b w:val="0"/>
                <w:sz w:val="15"/>
              </w:rPr>
              <w:t>media cost, partner payout, platform fee</w:t>
            </w:r>
          </w:p>
        </w:tc>
      </w:tr>
      <w:tr>
        <w:tc>
          <w:tcPr>
            <w:tcW w:type="dxa" w:w="2592"/>
            <w:vAlign w:val="center"/>
          </w:tcPr>
          <w:p>
            <w:r/>
            <w:r>
              <w:rPr>
                <w:rFonts w:ascii="Arial" w:hAnsi="Arial"/>
                <w:b w:val="0"/>
                <w:sz w:val="15"/>
              </w:rPr>
              <w:t>Quality</w:t>
            </w:r>
          </w:p>
        </w:tc>
        <w:tc>
          <w:tcPr>
            <w:tcW w:type="dxa" w:w="7200"/>
            <w:vAlign w:val="center"/>
          </w:tcPr>
          <w:p>
            <w:r/>
            <w:r>
              <w:rPr>
                <w:rFonts w:ascii="Arial" w:hAnsi="Arial"/>
                <w:b w:val="0"/>
                <w:sz w:val="15"/>
              </w:rPr>
              <w:t>CTR, lead rate, qualified rate, CPQL, conversion rate</w:t>
            </w:r>
          </w:p>
        </w:tc>
      </w:tr>
      <w:tr>
        <w:tc>
          <w:tcPr>
            <w:tcW w:type="dxa" w:w="2592"/>
            <w:vAlign w:val="center"/>
          </w:tcPr>
          <w:p>
            <w:r/>
            <w:r>
              <w:rPr>
                <w:rFonts w:ascii="Arial" w:hAnsi="Arial"/>
                <w:b w:val="0"/>
                <w:sz w:val="15"/>
              </w:rPr>
              <w:t>Health</w:t>
            </w:r>
          </w:p>
        </w:tc>
        <w:tc>
          <w:tcPr>
            <w:tcW w:type="dxa" w:w="7200"/>
            <w:vAlign w:val="center"/>
          </w:tcPr>
          <w:p>
            <w:r/>
            <w:r>
              <w:rPr>
                <w:rFonts w:ascii="Arial" w:hAnsi="Arial"/>
                <w:b w:val="0"/>
                <w:sz w:val="15"/>
              </w:rPr>
              <w:t>sync lag, NO_AD rate, Agent heartbeat, external upload status</w:t>
            </w:r>
          </w:p>
        </w:tc>
      </w:tr>
    </w:tbl>
    <w:p/>
    <w:p>
      <w:r>
        <w:br w:type="page"/>
      </w:r>
    </w:p>
    <w:p>
      <w:pPr>
        <w:pStyle w:val="Heading1"/>
      </w:pPr>
      <w:r>
        <w:t>19. Billing and Partner Payout</w:t>
      </w:r>
    </w:p>
    <w:p>
      <w:pPr>
        <w:pStyle w:val="ListBullet"/>
        <w:spacing w:after="30"/>
      </w:pPr>
      <w:r>
        <w:t>Create immutable FinancialEvent records separate from raw delivery event processing.</w:t>
      </w:r>
    </w:p>
    <w:p>
      <w:pPr>
        <w:pStyle w:val="ListBullet"/>
        <w:spacing w:after="30"/>
      </w:pPr>
      <w:r>
        <w:t>Pilot can use fixed campaign fee + qualified-lead payout, or CPM/CPQL hybrid.</w:t>
      </w:r>
    </w:p>
    <w:p>
      <w:pPr>
        <w:pStyle w:val="ListBullet"/>
        <w:spacing w:after="30"/>
      </w:pPr>
      <w:r>
        <w:t>Partner payout is activation-specific.</w:t>
      </w:r>
    </w:p>
    <w:p>
      <w:pPr>
        <w:pStyle w:val="ListBullet"/>
        <w:spacing w:after="30"/>
      </w:pPr>
      <w:r>
        <w:t>Buyer CRM rejection reasons should be auditable to prevent unfair invalid-lead claims.</w:t>
      </w:r>
    </w:p>
    <w:p>
      <w:pPr>
        <w:pStyle w:val="ListBullet"/>
        <w:spacing w:after="30"/>
      </w:pPr>
      <w:r>
        <w:t>Network/VC revenue share is optional contract configuration, not hard-coded.</w:t>
      </w:r>
    </w:p>
    <w:p>
      <w:pPr>
        <w:pStyle w:val="Code"/>
      </w:pPr>
      <w:r>
        <w:rPr>
          <w:rFonts w:ascii="Courier New" w:hAnsi="Courier New"/>
          <w:sz w:val="15"/>
        </w:rPr>
        <w:t>Buyer invoice</w:t>
        <w:br/>
        <w:t xml:space="preserve">  ├─ media / outcome spend</w:t>
        <w:br/>
        <w:t xml:space="preserve">  ├─ platform fee</w:t>
        <w:br/>
        <w:t xml:space="preserve">  └─ taxes as configured</w:t>
        <w:br/>
        <w:br/>
        <w:t>Partner payout</w:t>
        <w:br/>
        <w:t xml:space="preserve">  ├─ qualified outcome amount</w:t>
        <w:br/>
        <w:t xml:space="preserve">  └─ adjustments / reconciliation</w:t>
      </w:r>
    </w:p>
    <w:p>
      <w:r>
        <w:br w:type="page"/>
      </w:r>
    </w:p>
    <w:p>
      <w:pPr>
        <w:pStyle w:val="Heading1"/>
      </w:pPr>
      <w:r>
        <w:t>20. Core Data Model (Legacy Summary - Canonical Schema: §73 and §96)</w:t>
      </w:r>
    </w:p>
    <w:tbl>
      <w:tblPr>
        <w:tblStyle w:val="TableGrid"/>
        <w:tblW w:type="auto" w:w="0"/>
        <w:jc w:val="center"/>
        <w:tblLook w:firstColumn="1" w:firstRow="1" w:lastColumn="0" w:lastRow="0" w:noHBand="0" w:noVBand="1" w:val="04A0"/>
      </w:tblPr>
      <w:tblGrid>
        <w:gridCol w:w="5227"/>
        <w:gridCol w:w="5227"/>
      </w:tblGrid>
      <w:tr>
        <w:tc>
          <w:tcPr>
            <w:tcW w:type="dxa" w:w="3312"/>
            <w:vAlign w:val="center"/>
            <w:shd w:fill="1B4363"/>
          </w:tcPr>
          <w:p>
            <w:r/>
            <w:r>
              <w:rPr>
                <w:rFonts w:ascii="Arial" w:hAnsi="Arial"/>
                <w:b/>
                <w:color w:val="FFFFFF"/>
                <w:sz w:val="16"/>
              </w:rPr>
              <w:t>Table / aggregate</w:t>
            </w:r>
          </w:p>
        </w:tc>
        <w:tc>
          <w:tcPr>
            <w:tcW w:type="dxa" w:w="6480"/>
            <w:vAlign w:val="center"/>
            <w:shd w:fill="1B4363"/>
          </w:tcPr>
          <w:p>
            <w:r/>
            <w:r>
              <w:rPr>
                <w:rFonts w:ascii="Arial" w:hAnsi="Arial"/>
                <w:b/>
                <w:color w:val="FFFFFF"/>
                <w:sz w:val="16"/>
              </w:rPr>
              <w:t>Key fields</w:t>
            </w:r>
          </w:p>
        </w:tc>
      </w:tr>
      <w:tr>
        <w:tc>
          <w:tcPr>
            <w:tcW w:type="dxa" w:w="3312"/>
            <w:vAlign w:val="center"/>
          </w:tcPr>
          <w:p>
            <w:r/>
            <w:r>
              <w:rPr>
                <w:rFonts w:ascii="Arial" w:hAnsi="Arial"/>
                <w:b w:val="0"/>
                <w:sz w:val="15"/>
              </w:rPr>
              <w:t>organizations</w:t>
            </w:r>
          </w:p>
        </w:tc>
        <w:tc>
          <w:tcPr>
            <w:tcW w:type="dxa" w:w="6480"/>
            <w:vAlign w:val="center"/>
          </w:tcPr>
          <w:p>
            <w:r/>
            <w:r>
              <w:rPr>
                <w:rFonts w:ascii="Arial" w:hAnsi="Arial"/>
                <w:b w:val="0"/>
                <w:sz w:val="15"/>
              </w:rPr>
              <w:t>id, name, type, verification_status</w:t>
            </w:r>
          </w:p>
        </w:tc>
      </w:tr>
      <w:tr>
        <w:tc>
          <w:tcPr>
            <w:tcW w:type="dxa" w:w="3312"/>
            <w:vAlign w:val="center"/>
          </w:tcPr>
          <w:p>
            <w:r/>
            <w:r>
              <w:rPr>
                <w:rFonts w:ascii="Arial" w:hAnsi="Arial"/>
                <w:b w:val="0"/>
                <w:sz w:val="15"/>
              </w:rPr>
              <w:t>users / memberships</w:t>
            </w:r>
          </w:p>
        </w:tc>
        <w:tc>
          <w:tcPr>
            <w:tcW w:type="dxa" w:w="6480"/>
            <w:vAlign w:val="center"/>
          </w:tcPr>
          <w:p>
            <w:r/>
            <w:r>
              <w:rPr>
                <w:rFonts w:ascii="Arial" w:hAnsi="Arial"/>
                <w:b w:val="0"/>
                <w:sz w:val="15"/>
              </w:rPr>
              <w:t>user_id, organization_id, role, status</w:t>
            </w:r>
          </w:p>
        </w:tc>
      </w:tr>
      <w:tr>
        <w:tc>
          <w:tcPr>
            <w:tcW w:type="dxa" w:w="3312"/>
            <w:vAlign w:val="center"/>
          </w:tcPr>
          <w:p>
            <w:r/>
            <w:r>
              <w:rPr>
                <w:rFonts w:ascii="Arial" w:hAnsi="Arial"/>
                <w:b w:val="0"/>
                <w:sz w:val="15"/>
              </w:rPr>
              <w:t>networks</w:t>
            </w:r>
          </w:p>
        </w:tc>
        <w:tc>
          <w:tcPr>
            <w:tcW w:type="dxa" w:w="6480"/>
            <w:vAlign w:val="center"/>
          </w:tcPr>
          <w:p>
            <w:r/>
            <w:r>
              <w:rPr>
                <w:rFonts w:ascii="Arial" w:hAnsi="Arial"/>
                <w:b w:val="0"/>
                <w:sz w:val="15"/>
              </w:rPr>
              <w:t>id, sponsor_org_id, policy_mode</w:t>
            </w:r>
          </w:p>
        </w:tc>
      </w:tr>
      <w:tr>
        <w:tc>
          <w:tcPr>
            <w:tcW w:type="dxa" w:w="3312"/>
            <w:vAlign w:val="center"/>
          </w:tcPr>
          <w:p>
            <w:r/>
            <w:r>
              <w:rPr>
                <w:rFonts w:ascii="Arial" w:hAnsi="Arial"/>
                <w:b w:val="0"/>
                <w:sz w:val="15"/>
              </w:rPr>
              <w:t>network_memberships</w:t>
            </w:r>
          </w:p>
        </w:tc>
        <w:tc>
          <w:tcPr>
            <w:tcW w:type="dxa" w:w="6480"/>
            <w:vAlign w:val="center"/>
          </w:tcPr>
          <w:p>
            <w:r/>
            <w:r>
              <w:rPr>
                <w:rFonts w:ascii="Arial" w:hAnsi="Arial"/>
                <w:b w:val="0"/>
                <w:sz w:val="15"/>
              </w:rPr>
              <w:t>network_id, org_id, roles</w:t>
            </w:r>
          </w:p>
        </w:tc>
      </w:tr>
      <w:tr>
        <w:tc>
          <w:tcPr>
            <w:tcW w:type="dxa" w:w="3312"/>
            <w:vAlign w:val="center"/>
          </w:tcPr>
          <w:p>
            <w:r/>
            <w:r>
              <w:rPr>
                <w:rFonts w:ascii="Arial" w:hAnsi="Arial"/>
                <w:b w:val="0"/>
                <w:sz w:val="15"/>
              </w:rPr>
              <w:t>partner_profiles</w:t>
            </w:r>
          </w:p>
        </w:tc>
        <w:tc>
          <w:tcPr>
            <w:tcW w:type="dxa" w:w="6480"/>
            <w:vAlign w:val="center"/>
          </w:tcPr>
          <w:p>
            <w:r/>
            <w:r>
              <w:rPr>
                <w:rFonts w:ascii="Arial" w:hAnsi="Arial"/>
                <w:b w:val="0"/>
                <w:sz w:val="15"/>
              </w:rPr>
              <w:t>org_id, onboarding_state, commercial_policy</w:t>
            </w:r>
          </w:p>
        </w:tc>
      </w:tr>
      <w:tr>
        <w:tc>
          <w:tcPr>
            <w:tcW w:type="dxa" w:w="3312"/>
            <w:vAlign w:val="center"/>
          </w:tcPr>
          <w:p>
            <w:r/>
            <w:r>
              <w:rPr>
                <w:rFonts w:ascii="Arial" w:hAnsi="Arial"/>
                <w:b w:val="0"/>
                <w:sz w:val="15"/>
              </w:rPr>
              <w:t>segments</w:t>
            </w:r>
          </w:p>
        </w:tc>
        <w:tc>
          <w:tcPr>
            <w:tcW w:type="dxa" w:w="6480"/>
            <w:vAlign w:val="center"/>
          </w:tcPr>
          <w:p>
            <w:r/>
            <w:r>
              <w:rPr>
                <w:rFonts w:ascii="Arial" w:hAnsi="Arial"/>
                <w:b w:val="0"/>
                <w:sz w:val="15"/>
              </w:rPr>
              <w:t>id, partner_id, display_name, definition, reach_bucket, freshness, allowed_channels</w:t>
            </w:r>
          </w:p>
        </w:tc>
      </w:tr>
      <w:tr>
        <w:tc>
          <w:tcPr>
            <w:tcW w:type="dxa" w:w="3312"/>
            <w:vAlign w:val="center"/>
          </w:tcPr>
          <w:p>
            <w:r/>
            <w:r>
              <w:rPr>
                <w:rFonts w:ascii="Arial" w:hAnsi="Arial"/>
                <w:b w:val="0"/>
                <w:sz w:val="15"/>
              </w:rPr>
              <w:t>placements</w:t>
            </w:r>
          </w:p>
        </w:tc>
        <w:tc>
          <w:tcPr>
            <w:tcW w:type="dxa" w:w="6480"/>
            <w:vAlign w:val="center"/>
          </w:tcPr>
          <w:p>
            <w:r/>
            <w:r>
              <w:rPr>
                <w:rFonts w:ascii="Arial" w:hAnsi="Arial"/>
                <w:b w:val="0"/>
                <w:sz w:val="15"/>
              </w:rPr>
              <w:t>id, partner_id, app_or_web, placement_key, formats, active</w:t>
            </w:r>
          </w:p>
        </w:tc>
      </w:tr>
      <w:tr>
        <w:tc>
          <w:tcPr>
            <w:tcW w:type="dxa" w:w="3312"/>
            <w:vAlign w:val="center"/>
          </w:tcPr>
          <w:p>
            <w:r/>
            <w:r>
              <w:rPr>
                <w:rFonts w:ascii="Arial" w:hAnsi="Arial"/>
                <w:b w:val="0"/>
                <w:sz w:val="15"/>
              </w:rPr>
              <w:t>campaigns</w:t>
            </w:r>
          </w:p>
        </w:tc>
        <w:tc>
          <w:tcPr>
            <w:tcW w:type="dxa" w:w="6480"/>
            <w:vAlign w:val="center"/>
          </w:tcPr>
          <w:p>
            <w:r/>
            <w:r>
              <w:rPr>
                <w:rFonts w:ascii="Arial" w:hAnsi="Arial"/>
                <w:b w:val="0"/>
                <w:sz w:val="15"/>
              </w:rPr>
              <w:t>id, buyer_id, objective, budget, dates, status</w:t>
            </w:r>
          </w:p>
        </w:tc>
      </w:tr>
      <w:tr>
        <w:tc>
          <w:tcPr>
            <w:tcW w:type="dxa" w:w="3312"/>
            <w:vAlign w:val="center"/>
          </w:tcPr>
          <w:p>
            <w:r/>
            <w:r>
              <w:rPr>
                <w:rFonts w:ascii="Arial" w:hAnsi="Arial"/>
                <w:b w:val="0"/>
                <w:sz w:val="15"/>
              </w:rPr>
              <w:t>creatives</w:t>
            </w:r>
          </w:p>
        </w:tc>
        <w:tc>
          <w:tcPr>
            <w:tcW w:type="dxa" w:w="6480"/>
            <w:vAlign w:val="center"/>
          </w:tcPr>
          <w:p>
            <w:r/>
            <w:r>
              <w:rPr>
                <w:rFonts w:ascii="Arial" w:hAnsi="Arial"/>
                <w:b w:val="0"/>
                <w:sz w:val="15"/>
              </w:rPr>
              <w:t>id, campaign_id, type, asset_url, destination_url, approval_state</w:t>
            </w:r>
          </w:p>
        </w:tc>
      </w:tr>
      <w:tr>
        <w:tc>
          <w:tcPr>
            <w:tcW w:type="dxa" w:w="3312"/>
            <w:vAlign w:val="center"/>
          </w:tcPr>
          <w:p>
            <w:r/>
            <w:r>
              <w:rPr>
                <w:rFonts w:ascii="Arial" w:hAnsi="Arial"/>
                <w:b w:val="0"/>
                <w:sz w:val="15"/>
              </w:rPr>
              <w:t>partner_requests</w:t>
            </w:r>
          </w:p>
        </w:tc>
        <w:tc>
          <w:tcPr>
            <w:tcW w:type="dxa" w:w="6480"/>
            <w:vAlign w:val="center"/>
          </w:tcPr>
          <w:p>
            <w:r/>
            <w:r>
              <w:rPr>
                <w:rFonts w:ascii="Arial" w:hAnsi="Arial"/>
                <w:b w:val="0"/>
                <w:sz w:val="15"/>
              </w:rPr>
              <w:t>id, campaign_id, partner_id, segment_id, requested_channel, state</w:t>
            </w:r>
          </w:p>
        </w:tc>
      </w:tr>
      <w:tr>
        <w:tc>
          <w:tcPr>
            <w:tcW w:type="dxa" w:w="3312"/>
            <w:vAlign w:val="center"/>
          </w:tcPr>
          <w:p>
            <w:r/>
            <w:r>
              <w:rPr>
                <w:rFonts w:ascii="Arial" w:hAnsi="Arial"/>
                <w:b w:val="0"/>
                <w:sz w:val="15"/>
              </w:rPr>
              <w:t>approvals</w:t>
            </w:r>
          </w:p>
        </w:tc>
        <w:tc>
          <w:tcPr>
            <w:tcW w:type="dxa" w:w="6480"/>
            <w:vAlign w:val="center"/>
          </w:tcPr>
          <w:p>
            <w:r/>
            <w:r>
              <w:rPr>
                <w:rFonts w:ascii="Arial" w:hAnsi="Arial"/>
                <w:b w:val="0"/>
                <w:sz w:val="15"/>
              </w:rPr>
              <w:t>request_id, partner_admin_id, policy_version, approved_at</w:t>
            </w:r>
          </w:p>
        </w:tc>
      </w:tr>
      <w:tr>
        <w:tc>
          <w:tcPr>
            <w:tcW w:type="dxa" w:w="3312"/>
            <w:vAlign w:val="center"/>
          </w:tcPr>
          <w:p>
            <w:r/>
            <w:r>
              <w:rPr>
                <w:rFonts w:ascii="Arial" w:hAnsi="Arial"/>
                <w:b w:val="0"/>
                <w:sz w:val="15"/>
              </w:rPr>
              <w:t>activations</w:t>
            </w:r>
          </w:p>
        </w:tc>
        <w:tc>
          <w:tcPr>
            <w:tcW w:type="dxa" w:w="6480"/>
            <w:vAlign w:val="center"/>
          </w:tcPr>
          <w:p>
            <w:r/>
            <w:r>
              <w:rPr>
                <w:rFonts w:ascii="Arial" w:hAnsi="Arial"/>
                <w:b w:val="0"/>
                <w:sz w:val="15"/>
              </w:rPr>
              <w:t>id, campaign_id, partner_id, channel, state, external_resource_ids</w:t>
            </w:r>
          </w:p>
        </w:tc>
      </w:tr>
      <w:tr>
        <w:tc>
          <w:tcPr>
            <w:tcW w:type="dxa" w:w="3312"/>
            <w:vAlign w:val="center"/>
          </w:tcPr>
          <w:p>
            <w:r/>
            <w:r>
              <w:rPr>
                <w:rFonts w:ascii="Arial" w:hAnsi="Arial"/>
                <w:b w:val="0"/>
                <w:sz w:val="15"/>
              </w:rPr>
              <w:t>aggregate_metrics</w:t>
            </w:r>
          </w:p>
        </w:tc>
        <w:tc>
          <w:tcPr>
            <w:tcW w:type="dxa" w:w="6480"/>
            <w:vAlign w:val="center"/>
          </w:tcPr>
          <w:p>
            <w:r/>
            <w:r>
              <w:rPr>
                <w:rFonts w:ascii="Arial" w:hAnsi="Arial"/>
                <w:b w:val="0"/>
                <w:sz w:val="15"/>
              </w:rPr>
              <w:t>activation_id, time_bucket, impressions, clicks, leads, qualified, conversions</w:t>
            </w:r>
          </w:p>
        </w:tc>
      </w:tr>
      <w:tr>
        <w:tc>
          <w:tcPr>
            <w:tcW w:type="dxa" w:w="3312"/>
            <w:vAlign w:val="center"/>
          </w:tcPr>
          <w:p>
            <w:r/>
            <w:r>
              <w:rPr>
                <w:rFonts w:ascii="Arial" w:hAnsi="Arial"/>
                <w:b w:val="0"/>
                <w:sz w:val="15"/>
              </w:rPr>
              <w:t>attribution_tokens</w:t>
            </w:r>
          </w:p>
        </w:tc>
        <w:tc>
          <w:tcPr>
            <w:tcW w:type="dxa" w:w="6480"/>
            <w:vAlign w:val="center"/>
          </w:tcPr>
          <w:p>
            <w:r/>
            <w:r>
              <w:rPr>
                <w:rFonts w:ascii="Arial" w:hAnsi="Arial"/>
                <w:b w:val="0"/>
                <w:sz w:val="15"/>
              </w:rPr>
              <w:t>token_hash, activation_id, expiry, status</w:t>
            </w:r>
          </w:p>
        </w:tc>
      </w:tr>
      <w:tr>
        <w:tc>
          <w:tcPr>
            <w:tcW w:type="dxa" w:w="3312"/>
            <w:vAlign w:val="center"/>
          </w:tcPr>
          <w:p>
            <w:r/>
            <w:r>
              <w:rPr>
                <w:rFonts w:ascii="Arial" w:hAnsi="Arial"/>
                <w:b w:val="0"/>
                <w:sz w:val="15"/>
              </w:rPr>
              <w:t>channel_connections</w:t>
            </w:r>
          </w:p>
        </w:tc>
        <w:tc>
          <w:tcPr>
            <w:tcW w:type="dxa" w:w="6480"/>
            <w:vAlign w:val="center"/>
          </w:tcPr>
          <w:p>
            <w:r/>
            <w:r>
              <w:rPr>
                <w:rFonts w:ascii="Arial" w:hAnsi="Arial"/>
                <w:b w:val="0"/>
                <w:sz w:val="15"/>
              </w:rPr>
              <w:t>partner_id, channel, account_ids, connection_state, capability_flags</w:t>
            </w:r>
          </w:p>
        </w:tc>
      </w:tr>
      <w:tr>
        <w:tc>
          <w:tcPr>
            <w:tcW w:type="dxa" w:w="3312"/>
            <w:vAlign w:val="center"/>
          </w:tcPr>
          <w:p>
            <w:r/>
            <w:r>
              <w:rPr>
                <w:rFonts w:ascii="Arial" w:hAnsi="Arial"/>
                <w:b w:val="0"/>
                <w:sz w:val="15"/>
              </w:rPr>
              <w:t>financial_events</w:t>
            </w:r>
          </w:p>
        </w:tc>
        <w:tc>
          <w:tcPr>
            <w:tcW w:type="dxa" w:w="6480"/>
            <w:vAlign w:val="center"/>
          </w:tcPr>
          <w:p>
            <w:r/>
            <w:r>
              <w:rPr>
                <w:rFonts w:ascii="Arial" w:hAnsi="Arial"/>
                <w:b w:val="0"/>
                <w:sz w:val="15"/>
              </w:rPr>
              <w:t>activation_id, event_type, amount, currency, settlement_status</w:t>
            </w:r>
          </w:p>
        </w:tc>
      </w:tr>
      <w:tr>
        <w:tc>
          <w:tcPr>
            <w:tcW w:type="dxa" w:w="3312"/>
            <w:vAlign w:val="center"/>
          </w:tcPr>
          <w:p>
            <w:r/>
            <w:r>
              <w:rPr>
                <w:rFonts w:ascii="Arial" w:hAnsi="Arial"/>
                <w:b w:val="0"/>
                <w:sz w:val="15"/>
              </w:rPr>
              <w:t>audit_events</w:t>
            </w:r>
          </w:p>
        </w:tc>
        <w:tc>
          <w:tcPr>
            <w:tcW w:type="dxa" w:w="6480"/>
            <w:vAlign w:val="center"/>
          </w:tcPr>
          <w:p>
            <w:r/>
            <w:r>
              <w:rPr>
                <w:rFonts w:ascii="Arial" w:hAnsi="Arial"/>
                <w:b w:val="0"/>
                <w:sz w:val="15"/>
              </w:rPr>
              <w:t>actor, action, resource, timestamp, hash/reference</w:t>
            </w:r>
          </w:p>
        </w:tc>
      </w:tr>
    </w:tbl>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Do not create</w:t>
            </w:r>
          </w:p>
          <w:p>
            <w:pPr>
              <w:spacing w:after="0"/>
            </w:pPr>
            <w:r>
              <w:t>No central customer table. No segment_members table in Oolix. No cross-partner identity graph in MVP.</w:t>
            </w:r>
          </w:p>
        </w:tc>
      </w:tr>
    </w:tbl>
    <w:p/>
    <w:p>
      <w:r>
        <w:br w:type="page"/>
      </w:r>
    </w:p>
    <w:p>
      <w:pPr>
        <w:pStyle w:val="Heading1"/>
      </w:pPr>
      <w:r>
        <w:t>21. API Contracts (Legacy Summary - Canonical API: §67 and §97)</w:t>
      </w:r>
    </w:p>
    <w:p>
      <w:pPr>
        <w:pStyle w:val="Heading2"/>
      </w:pPr>
      <w:r>
        <w:t>21.1 Oolix Cloud APIs</w:t>
      </w:r>
    </w:p>
    <w:p>
      <w:pPr>
        <w:pStyle w:val="Code"/>
      </w:pPr>
      <w:r>
        <w:t>POST /v1/auth/...</w:t>
        <w:br/>
        <w:t>POST /v1/organizations</w:t>
        <w:br/>
        <w:t>POST /v1/networks</w:t>
        <w:br/>
        <w:t>POST /v1/partner/segments</w:t>
        <w:br/>
        <w:t>POST /v1/partner/placements</w:t>
        <w:br/>
        <w:t>POST /v1/campaigns</w:t>
        <w:br/>
        <w:t>POST /v1/campaigns/{id}/partner-requests</w:t>
        <w:br/>
        <w:t>POST /v1/partner-requests/{id}/approve</w:t>
        <w:br/>
        <w:t>POST /v1/partner-requests/{id}/request-change</w:t>
        <w:br/>
        <w:t>POST /v1/partner-requests/{id}/reject</w:t>
        <w:br/>
        <w:t>GET  /agent/v1/config/pull</w:t>
        <w:br/>
        <w:t>POST /agent/v1/reporting/batches</w:t>
        <w:br/>
        <w:t>POST /v1/leads/{token}/status</w:t>
        <w:br/>
        <w:t>POST /v1/activations/{id}/pause</w:t>
        <w:br/>
        <w:t>POST /v1/activations/{id}/end</w:t>
        <w:br/>
        <w:t>POST /v1/channel-connections/meta</w:t>
        <w:br/>
        <w:t>POST /v1/channel-connections/google</w:t>
      </w:r>
    </w:p>
    <w:p>
      <w:pPr>
        <w:pStyle w:val="Heading2"/>
      </w:pPr>
      <w:r>
        <w:t>21.2 Partner Agent local API</w:t>
      </w:r>
    </w:p>
    <w:p>
      <w:pPr>
        <w:pStyle w:val="Code"/>
      </w:pPr>
      <w:r>
        <w:t>POST /private/v1/ad-decision</w:t>
        <w:br/>
        <w:t>POST /v1/segments/test-membership   // local admin/test only</w:t>
        <w:br/>
        <w:t>GET  /healthz</w:t>
        <w:br/>
        <w:t>GET  /version</w:t>
        <w:br/>
        <w:t>POST /private/v1/admin/kill-switch</w:t>
        <w:br/>
        <w:t>POST /private/v1/channels/meta/sync          // internal job endpoint</w:t>
        <w:br/>
        <w:t>POST /private/v1/channels/google/sync        // internal job endpoint</w:t>
      </w:r>
    </w:p>
    <w:p>
      <w:pPr>
        <w:pStyle w:val="Heading2"/>
      </w:pPr>
      <w:r>
        <w:t>21.3 API design requirements</w:t>
      </w:r>
    </w:p>
    <w:p>
      <w:pPr>
        <w:pStyle w:val="ListBullet"/>
        <w:spacing w:after="30"/>
      </w:pPr>
      <w:r>
        <w:t>Version every public contract.</w:t>
      </w:r>
    </w:p>
    <w:p>
      <w:pPr>
        <w:pStyle w:val="ListBullet"/>
        <w:spacing w:after="30"/>
      </w:pPr>
      <w:r>
        <w:t>Use idempotency keys for campaign submission, approval, reporting batches and external audience sync.</w:t>
      </w:r>
    </w:p>
    <w:p>
      <w:pPr>
        <w:pStyle w:val="ListBullet"/>
        <w:spacing w:after="30"/>
      </w:pPr>
      <w:r>
        <w:t>Use correlation_id across Oolix ↔ Agent ↔ external channel flows.</w:t>
      </w:r>
    </w:p>
    <w:p>
      <w:pPr>
        <w:pStyle w:val="ListBullet"/>
        <w:spacing w:after="30"/>
      </w:pPr>
      <w:r>
        <w:t>Never put partner PII in URL query strings/loggable path parameters.</w:t>
      </w:r>
    </w:p>
    <w:p>
      <w:r>
        <w:br w:type="page"/>
      </w:r>
    </w:p>
    <w:p>
      <w:pPr>
        <w:pStyle w:val="Heading1"/>
      </w:pPr>
      <w:r>
        <w:t>22. Events, Queues and Idempotency</w:t>
      </w:r>
    </w:p>
    <w:p>
      <w:pPr>
        <w:pStyle w:val="Heading2"/>
      </w:pPr>
      <w:r>
        <w:t>22.1 Control events</w:t>
      </w:r>
    </w:p>
    <w:p>
      <w:pPr>
        <w:pStyle w:val="Code"/>
      </w:pPr>
      <w:r>
        <w:rPr>
          <w:rFonts w:ascii="Courier New" w:hAnsi="Courier New"/>
          <w:sz w:val="15"/>
        </w:rPr>
        <w:t>PARTNER_REQUEST_SUBMITTED</w:t>
        <w:br/>
        <w:t>PARTNER_REQUEST_APPROVED</w:t>
        <w:br/>
        <w:t>MANIFEST_SIGNED</w:t>
        <w:br/>
        <w:t>ACTIVATION_READY</w:t>
        <w:br/>
        <w:t>ACTIVATION_LIVE</w:t>
        <w:br/>
        <w:t>ACTIVATION_PAUSED</w:t>
        <w:br/>
        <w:t>ACTIVATION_ENDED</w:t>
        <w:br/>
        <w:t>CHANNEL_ELIGIBILITY_FAILED</w:t>
      </w:r>
    </w:p>
    <w:p>
      <w:pPr>
        <w:pStyle w:val="Heading2"/>
      </w:pPr>
      <w:r>
        <w:t>22.2 Data/report events</w:t>
      </w:r>
    </w:p>
    <w:p>
      <w:pPr>
        <w:pStyle w:val="Code"/>
      </w:pPr>
      <w:r>
        <w:rPr>
          <w:rFonts w:ascii="Courier New" w:hAnsi="Courier New"/>
          <w:sz w:val="15"/>
        </w:rPr>
        <w:t>DELIVERY_BATCH_ACCEPTED</w:t>
        <w:br/>
        <w:t>LEAD_RECEIVED</w:t>
        <w:br/>
        <w:t>LEAD_QUALIFIED</w:t>
        <w:br/>
        <w:t>CONVERSION_RECORDED</w:t>
        <w:br/>
        <w:t>PARTNER_PAYOUT_CALCULATED</w:t>
        <w:br/>
        <w:t>CHANNEL_AUDIENCE_SYNCED</w:t>
      </w:r>
    </w:p>
    <w:p>
      <w:pPr>
        <w:pStyle w:val="Heading2"/>
      </w:pPr>
      <w:r>
        <w:t>22.3 Idempotency keys</w:t>
      </w:r>
    </w:p>
    <w:p>
      <w:pPr>
        <w:pStyle w:val="Code"/>
      </w:pPr>
      <w:r>
        <w:rPr>
          <w:rFonts w:ascii="Courier New" w:hAnsi="Courier New"/>
          <w:sz w:val="15"/>
        </w:rPr>
        <w:t>campaign submission: buyer_id + client_request_id</w:t>
        <w:br/>
        <w:t>partner approval: request_id + decision_version</w:t>
        <w:br/>
        <w:t>report batch: partner_id + batch_id</w:t>
        <w:br/>
        <w:t>external sync: activation_id + audience_version</w:t>
        <w:br/>
        <w:t>lead update: click_token + crm_event_id</w:t>
      </w:r>
    </w:p>
    <w:p>
      <w:r>
        <w:br w:type="page"/>
      </w:r>
    </w:p>
    <w:p>
      <w:pPr>
        <w:pStyle w:val="Heading1"/>
      </w:pPr>
      <w:r>
        <w:t>23. Security and Privacy Controls</w:t>
      </w:r>
    </w:p>
    <w:tbl>
      <w:tblPr>
        <w:tblStyle w:val="TableGrid"/>
        <w:tblW w:type="auto" w:w="0"/>
        <w:jc w:val="center"/>
        <w:tblLook w:firstColumn="1" w:firstRow="1" w:lastColumn="0" w:lastRow="0" w:noHBand="0" w:noVBand="1" w:val="04A0"/>
      </w:tblPr>
      <w:tblGrid>
        <w:gridCol w:w="5227"/>
        <w:gridCol w:w="5227"/>
      </w:tblGrid>
      <w:tr>
        <w:tc>
          <w:tcPr>
            <w:tcW w:type="dxa" w:w="2736"/>
            <w:vAlign w:val="center"/>
            <w:shd w:fill="1B4363"/>
          </w:tcPr>
          <w:p>
            <w:r/>
            <w:r>
              <w:rPr>
                <w:rFonts w:ascii="Arial" w:hAnsi="Arial"/>
                <w:b/>
                <w:color w:val="FFFFFF"/>
                <w:sz w:val="16"/>
              </w:rPr>
              <w:t>Control</w:t>
            </w:r>
          </w:p>
        </w:tc>
        <w:tc>
          <w:tcPr>
            <w:tcW w:type="dxa" w:w="7056"/>
            <w:vAlign w:val="center"/>
            <w:shd w:fill="1B4363"/>
          </w:tcPr>
          <w:p>
            <w:r/>
            <w:r>
              <w:rPr>
                <w:rFonts w:ascii="Arial" w:hAnsi="Arial"/>
                <w:b/>
                <w:color w:val="FFFFFF"/>
                <w:sz w:val="16"/>
              </w:rPr>
              <w:t>MVP implementation</w:t>
            </w:r>
          </w:p>
        </w:tc>
      </w:tr>
      <w:tr>
        <w:tc>
          <w:tcPr>
            <w:tcW w:type="dxa" w:w="2736"/>
            <w:vAlign w:val="center"/>
          </w:tcPr>
          <w:p>
            <w:r/>
            <w:r>
              <w:rPr>
                <w:rFonts w:ascii="Arial" w:hAnsi="Arial"/>
                <w:b w:val="0"/>
                <w:sz w:val="15"/>
              </w:rPr>
              <w:t>Authentication</w:t>
            </w:r>
          </w:p>
        </w:tc>
        <w:tc>
          <w:tcPr>
            <w:tcW w:type="dxa" w:w="7056"/>
            <w:vAlign w:val="center"/>
          </w:tcPr>
          <w:p>
            <w:r/>
            <w:r>
              <w:rPr>
                <w:rFonts w:ascii="Arial" w:hAnsi="Arial"/>
                <w:b w:val="0"/>
                <w:sz w:val="15"/>
              </w:rPr>
              <w:t>OIDC + MFA for privileged roles</w:t>
            </w:r>
          </w:p>
        </w:tc>
      </w:tr>
      <w:tr>
        <w:tc>
          <w:tcPr>
            <w:tcW w:type="dxa" w:w="2736"/>
            <w:vAlign w:val="center"/>
          </w:tcPr>
          <w:p>
            <w:r/>
            <w:r>
              <w:rPr>
                <w:rFonts w:ascii="Arial" w:hAnsi="Arial"/>
                <w:b w:val="0"/>
                <w:sz w:val="15"/>
              </w:rPr>
              <w:t>Authorization</w:t>
            </w:r>
          </w:p>
        </w:tc>
        <w:tc>
          <w:tcPr>
            <w:tcW w:type="dxa" w:w="7056"/>
            <w:vAlign w:val="center"/>
          </w:tcPr>
          <w:p>
            <w:r/>
            <w:r>
              <w:rPr>
                <w:rFonts w:ascii="Arial" w:hAnsi="Arial"/>
                <w:b w:val="0"/>
                <w:sz w:val="15"/>
              </w:rPr>
              <w:t>RBAC + organization/network scoping on every API</w:t>
            </w:r>
          </w:p>
        </w:tc>
      </w:tr>
      <w:tr>
        <w:tc>
          <w:tcPr>
            <w:tcW w:type="dxa" w:w="2736"/>
            <w:vAlign w:val="center"/>
          </w:tcPr>
          <w:p>
            <w:r/>
            <w:r>
              <w:rPr>
                <w:rFonts w:ascii="Arial" w:hAnsi="Arial"/>
                <w:b w:val="0"/>
                <w:sz w:val="15"/>
              </w:rPr>
              <w:t>Transport</w:t>
            </w:r>
          </w:p>
        </w:tc>
        <w:tc>
          <w:tcPr>
            <w:tcW w:type="dxa" w:w="7056"/>
            <w:vAlign w:val="center"/>
          </w:tcPr>
          <w:p>
            <w:r/>
            <w:r>
              <w:rPr>
                <w:rFonts w:ascii="Arial" w:hAnsi="Arial"/>
                <w:b w:val="0"/>
                <w:sz w:val="15"/>
              </w:rPr>
              <w:t>TLS; mTLS/workload identity for Agent where practical</w:t>
            </w:r>
          </w:p>
        </w:tc>
      </w:tr>
      <w:tr>
        <w:tc>
          <w:tcPr>
            <w:tcW w:type="dxa" w:w="2736"/>
            <w:vAlign w:val="center"/>
          </w:tcPr>
          <w:p>
            <w:r/>
            <w:r>
              <w:rPr>
                <w:rFonts w:ascii="Arial" w:hAnsi="Arial"/>
                <w:b w:val="0"/>
                <w:sz w:val="15"/>
              </w:rPr>
              <w:t>At rest</w:t>
            </w:r>
          </w:p>
        </w:tc>
        <w:tc>
          <w:tcPr>
            <w:tcW w:type="dxa" w:w="7056"/>
            <w:vAlign w:val="center"/>
          </w:tcPr>
          <w:p>
            <w:r/>
            <w:r>
              <w:rPr>
                <w:rFonts w:ascii="Arial" w:hAnsi="Arial"/>
                <w:b w:val="0"/>
                <w:sz w:val="15"/>
              </w:rPr>
              <w:t>KMS-backed DB/object encryption; Partner follows local encryption policy</w:t>
            </w:r>
          </w:p>
        </w:tc>
      </w:tr>
      <w:tr>
        <w:tc>
          <w:tcPr>
            <w:tcW w:type="dxa" w:w="2736"/>
            <w:vAlign w:val="center"/>
          </w:tcPr>
          <w:p>
            <w:r/>
            <w:r>
              <w:rPr>
                <w:rFonts w:ascii="Arial" w:hAnsi="Arial"/>
                <w:b w:val="0"/>
                <w:sz w:val="15"/>
              </w:rPr>
              <w:t>Secrets</w:t>
            </w:r>
          </w:p>
        </w:tc>
        <w:tc>
          <w:tcPr>
            <w:tcW w:type="dxa" w:w="7056"/>
            <w:vAlign w:val="center"/>
          </w:tcPr>
          <w:p>
            <w:r/>
            <w:r>
              <w:rPr>
                <w:rFonts w:ascii="Arial" w:hAnsi="Arial"/>
                <w:b w:val="0"/>
                <w:sz w:val="15"/>
              </w:rPr>
              <w:t>Cloud Secrets Manager + partner secret store</w:t>
            </w:r>
          </w:p>
        </w:tc>
      </w:tr>
      <w:tr>
        <w:tc>
          <w:tcPr>
            <w:tcW w:type="dxa" w:w="2736"/>
            <w:vAlign w:val="center"/>
          </w:tcPr>
          <w:p>
            <w:r/>
            <w:r>
              <w:rPr>
                <w:rFonts w:ascii="Arial" w:hAnsi="Arial"/>
                <w:b w:val="0"/>
                <w:sz w:val="15"/>
              </w:rPr>
              <w:t>Campaign integrity</w:t>
            </w:r>
          </w:p>
        </w:tc>
        <w:tc>
          <w:tcPr>
            <w:tcW w:type="dxa" w:w="7056"/>
            <w:vAlign w:val="center"/>
          </w:tcPr>
          <w:p>
            <w:r/>
            <w:r>
              <w:rPr>
                <w:rFonts w:ascii="Arial" w:hAnsi="Arial"/>
                <w:b w:val="0"/>
                <w:sz w:val="15"/>
              </w:rPr>
              <w:t>Signed manifests + versioned policy</w:t>
            </w:r>
          </w:p>
        </w:tc>
      </w:tr>
      <w:tr>
        <w:tc>
          <w:tcPr>
            <w:tcW w:type="dxa" w:w="2736"/>
            <w:vAlign w:val="center"/>
          </w:tcPr>
          <w:p>
            <w:r/>
            <w:r>
              <w:rPr>
                <w:rFonts w:ascii="Arial" w:hAnsi="Arial"/>
                <w:b w:val="0"/>
                <w:sz w:val="15"/>
              </w:rPr>
              <w:t>Data minimization</w:t>
            </w:r>
          </w:p>
        </w:tc>
        <w:tc>
          <w:tcPr>
            <w:tcW w:type="dxa" w:w="7056"/>
            <w:vAlign w:val="center"/>
          </w:tcPr>
          <w:p>
            <w:r/>
            <w:r>
              <w:rPr>
                <w:rFonts w:ascii="Arial" w:hAnsi="Arial"/>
                <w:b w:val="0"/>
                <w:sz w:val="15"/>
              </w:rPr>
              <w:t>No central segment membership/customer list</w:t>
            </w:r>
          </w:p>
        </w:tc>
      </w:tr>
      <w:tr>
        <w:tc>
          <w:tcPr>
            <w:tcW w:type="dxa" w:w="2736"/>
            <w:vAlign w:val="center"/>
          </w:tcPr>
          <w:p>
            <w:r/>
            <w:r>
              <w:rPr>
                <w:rFonts w:ascii="Arial" w:hAnsi="Arial"/>
                <w:b w:val="0"/>
                <w:sz w:val="15"/>
              </w:rPr>
              <w:t>Consent</w:t>
            </w:r>
          </w:p>
        </w:tc>
        <w:tc>
          <w:tcPr>
            <w:tcW w:type="dxa" w:w="7056"/>
            <w:vAlign w:val="center"/>
          </w:tcPr>
          <w:p>
            <w:r/>
            <w:r>
              <w:rPr>
                <w:rFonts w:ascii="Arial" w:hAnsi="Arial"/>
                <w:b w:val="0"/>
                <w:sz w:val="15"/>
              </w:rPr>
              <w:t>Partner-local eligibility + channel-specific consent fields</w:t>
            </w:r>
          </w:p>
        </w:tc>
      </w:tr>
      <w:tr>
        <w:tc>
          <w:tcPr>
            <w:tcW w:type="dxa" w:w="2736"/>
            <w:vAlign w:val="center"/>
          </w:tcPr>
          <w:p>
            <w:r/>
            <w:r>
              <w:rPr>
                <w:rFonts w:ascii="Arial" w:hAnsi="Arial"/>
                <w:b w:val="0"/>
                <w:sz w:val="15"/>
              </w:rPr>
              <w:t>Audit</w:t>
            </w:r>
          </w:p>
        </w:tc>
        <w:tc>
          <w:tcPr>
            <w:tcW w:type="dxa" w:w="7056"/>
            <w:vAlign w:val="center"/>
          </w:tcPr>
          <w:p>
            <w:r/>
            <w:r>
              <w:rPr>
                <w:rFonts w:ascii="Arial" w:hAnsi="Arial"/>
                <w:b w:val="0"/>
                <w:sz w:val="15"/>
              </w:rPr>
              <w:t>Append-only approval/activation/finance events</w:t>
            </w:r>
          </w:p>
        </w:tc>
      </w:tr>
      <w:tr>
        <w:tc>
          <w:tcPr>
            <w:tcW w:type="dxa" w:w="2736"/>
            <w:vAlign w:val="center"/>
          </w:tcPr>
          <w:p>
            <w:r/>
            <w:r>
              <w:rPr>
                <w:rFonts w:ascii="Arial" w:hAnsi="Arial"/>
                <w:b w:val="0"/>
                <w:sz w:val="15"/>
              </w:rPr>
              <w:t>Kill switch</w:t>
            </w:r>
          </w:p>
        </w:tc>
        <w:tc>
          <w:tcPr>
            <w:tcW w:type="dxa" w:w="7056"/>
            <w:vAlign w:val="center"/>
          </w:tcPr>
          <w:p>
            <w:r/>
            <w:r>
              <w:rPr>
                <w:rFonts w:ascii="Arial" w:hAnsi="Arial"/>
                <w:b w:val="0"/>
                <w:sz w:val="15"/>
              </w:rPr>
              <w:t>Partner can disable Agent placement/channel/campaign immediately</w:t>
            </w:r>
          </w:p>
        </w:tc>
      </w:tr>
      <w:tr>
        <w:tc>
          <w:tcPr>
            <w:tcW w:type="dxa" w:w="2736"/>
            <w:vAlign w:val="center"/>
          </w:tcPr>
          <w:p>
            <w:r/>
            <w:r>
              <w:rPr>
                <w:rFonts w:ascii="Arial" w:hAnsi="Arial"/>
                <w:b w:val="0"/>
                <w:sz w:val="15"/>
              </w:rPr>
              <w:t>Logging</w:t>
            </w:r>
          </w:p>
        </w:tc>
        <w:tc>
          <w:tcPr>
            <w:tcW w:type="dxa" w:w="7056"/>
            <w:vAlign w:val="center"/>
          </w:tcPr>
          <w:p>
            <w:r/>
            <w:r>
              <w:rPr>
                <w:rFonts w:ascii="Arial" w:hAnsi="Arial"/>
                <w:b w:val="0"/>
                <w:sz w:val="15"/>
              </w:rPr>
              <w:t>PII redaction; no partner_user_id in cloud logs</w:t>
            </w:r>
          </w:p>
        </w:tc>
      </w:tr>
      <w:tr>
        <w:tc>
          <w:tcPr>
            <w:tcW w:type="dxa" w:w="2736"/>
            <w:vAlign w:val="center"/>
          </w:tcPr>
          <w:p>
            <w:r/>
            <w:r>
              <w:rPr>
                <w:rFonts w:ascii="Arial" w:hAnsi="Arial"/>
                <w:b w:val="0"/>
                <w:sz w:val="15"/>
              </w:rPr>
              <w:t>External upload</w:t>
            </w:r>
          </w:p>
        </w:tc>
        <w:tc>
          <w:tcPr>
            <w:tcW w:type="dxa" w:w="7056"/>
            <w:vAlign w:val="center"/>
          </w:tcPr>
          <w:p>
            <w:r/>
            <w:r>
              <w:rPr>
                <w:rFonts w:ascii="Arial" w:hAnsi="Arial"/>
                <w:b w:val="0"/>
                <w:sz w:val="15"/>
              </w:rPr>
              <w:t>Only after explicit Partner approval + eligibility</w:t>
            </w:r>
          </w:p>
        </w:tc>
      </w:tr>
    </w:tbl>
    <w:p/>
    <w:p>
      <w:r>
        <w:br w:type="page"/>
      </w:r>
    </w:p>
    <w:p>
      <w:pPr>
        <w:pStyle w:val="Heading1"/>
      </w:pPr>
      <w:r>
        <w:t>24. Failure Handling and Kill Switches</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r/>
            <w:r>
              <w:rPr>
                <w:rFonts w:ascii="Arial" w:hAnsi="Arial"/>
                <w:b/>
                <w:color w:val="FFFFFF"/>
                <w:sz w:val="16"/>
              </w:rPr>
              <w:t>Failure</w:t>
            </w:r>
          </w:p>
        </w:tc>
        <w:tc>
          <w:tcPr>
            <w:tcW w:type="dxa" w:w="6624"/>
            <w:vAlign w:val="center"/>
            <w:shd w:fill="1B4363"/>
          </w:tcPr>
          <w:p>
            <w:r/>
            <w:r>
              <w:rPr>
                <w:rFonts w:ascii="Arial" w:hAnsi="Arial"/>
                <w:b/>
                <w:color w:val="FFFFFF"/>
                <w:sz w:val="16"/>
              </w:rPr>
              <w:t>Behavior</w:t>
            </w:r>
          </w:p>
        </w:tc>
      </w:tr>
      <w:tr>
        <w:tc>
          <w:tcPr>
            <w:tcW w:type="dxa" w:w="3168"/>
            <w:vAlign w:val="center"/>
          </w:tcPr>
          <w:p>
            <w:r/>
            <w:r>
              <w:rPr>
                <w:rFonts w:ascii="Arial" w:hAnsi="Arial"/>
                <w:b w:val="0"/>
                <w:sz w:val="15"/>
              </w:rPr>
              <w:t>Oolix unavailable</w:t>
            </w:r>
          </w:p>
        </w:tc>
        <w:tc>
          <w:tcPr>
            <w:tcW w:type="dxa" w:w="6624"/>
            <w:vAlign w:val="center"/>
          </w:tcPr>
          <w:p>
            <w:r/>
            <w:r>
              <w:rPr>
                <w:rFonts w:ascii="Arial" w:hAnsi="Arial"/>
                <w:b w:val="0"/>
                <w:sz w:val="15"/>
              </w:rPr>
              <w:t>Agent may use short-lived cached approved manifests; no new campaign changes accepted.</w:t>
            </w:r>
          </w:p>
        </w:tc>
      </w:tr>
      <w:tr>
        <w:tc>
          <w:tcPr>
            <w:tcW w:type="dxa" w:w="3168"/>
            <w:vAlign w:val="center"/>
          </w:tcPr>
          <w:p>
            <w:r/>
            <w:r>
              <w:rPr>
                <w:rFonts w:ascii="Arial" w:hAnsi="Arial"/>
                <w:b w:val="0"/>
                <w:sz w:val="15"/>
              </w:rPr>
              <w:t>Partner Agent unavailable</w:t>
            </w:r>
          </w:p>
        </w:tc>
        <w:tc>
          <w:tcPr>
            <w:tcW w:type="dxa" w:w="6624"/>
            <w:vAlign w:val="center"/>
          </w:tcPr>
          <w:p>
            <w:r/>
            <w:r>
              <w:rPr>
                <w:rFonts w:ascii="Arial" w:hAnsi="Arial"/>
                <w:b w:val="0"/>
                <w:sz w:val="15"/>
              </w:rPr>
              <w:t>Ad slot returns NO_AD / house content; app/site continues.</w:t>
            </w:r>
          </w:p>
        </w:tc>
      </w:tr>
      <w:tr>
        <w:tc>
          <w:tcPr>
            <w:tcW w:type="dxa" w:w="3168"/>
            <w:vAlign w:val="center"/>
          </w:tcPr>
          <w:p>
            <w:r/>
            <w:r>
              <w:rPr>
                <w:rFonts w:ascii="Arial" w:hAnsi="Arial"/>
                <w:b w:val="0"/>
                <w:sz w:val="15"/>
              </w:rPr>
              <w:t>Segment source unavailable</w:t>
            </w:r>
          </w:p>
        </w:tc>
        <w:tc>
          <w:tcPr>
            <w:tcW w:type="dxa" w:w="6624"/>
            <w:vAlign w:val="center"/>
          </w:tcPr>
          <w:p>
            <w:r/>
            <w:r>
              <w:rPr>
                <w:rFonts w:ascii="Arial" w:hAnsi="Arial"/>
                <w:b w:val="0"/>
                <w:sz w:val="15"/>
              </w:rPr>
              <w:t>Targeted campaign fails closed; do not query unexpected fallback sources.</w:t>
            </w:r>
          </w:p>
        </w:tc>
      </w:tr>
      <w:tr>
        <w:tc>
          <w:tcPr>
            <w:tcW w:type="dxa" w:w="3168"/>
            <w:vAlign w:val="center"/>
          </w:tcPr>
          <w:p>
            <w:r/>
            <w:r>
              <w:rPr>
                <w:rFonts w:ascii="Arial" w:hAnsi="Arial"/>
                <w:b w:val="0"/>
                <w:sz w:val="15"/>
              </w:rPr>
              <w:t>Invalid manifest signature</w:t>
            </w:r>
          </w:p>
        </w:tc>
        <w:tc>
          <w:tcPr>
            <w:tcW w:type="dxa" w:w="6624"/>
            <w:vAlign w:val="center"/>
          </w:tcPr>
          <w:p>
            <w:r/>
            <w:r>
              <w:rPr>
                <w:rFonts w:ascii="Arial" w:hAnsi="Arial"/>
                <w:b w:val="0"/>
                <w:sz w:val="15"/>
              </w:rPr>
              <w:t>No serve / no upload.</w:t>
            </w:r>
          </w:p>
        </w:tc>
      </w:tr>
      <w:tr>
        <w:tc>
          <w:tcPr>
            <w:tcW w:type="dxa" w:w="3168"/>
            <w:vAlign w:val="center"/>
          </w:tcPr>
          <w:p>
            <w:r/>
            <w:r>
              <w:rPr>
                <w:rFonts w:ascii="Arial" w:hAnsi="Arial"/>
                <w:b w:val="0"/>
                <w:sz w:val="15"/>
              </w:rPr>
              <w:t>Creative unavailable</w:t>
            </w:r>
          </w:p>
        </w:tc>
        <w:tc>
          <w:tcPr>
            <w:tcW w:type="dxa" w:w="6624"/>
            <w:vAlign w:val="center"/>
          </w:tcPr>
          <w:p>
            <w:r/>
            <w:r>
              <w:rPr>
                <w:rFonts w:ascii="Arial" w:hAnsi="Arial"/>
                <w:b w:val="0"/>
                <w:sz w:val="15"/>
              </w:rPr>
              <w:t>Cached approved asset or NO_AD.</w:t>
            </w:r>
          </w:p>
        </w:tc>
      </w:tr>
      <w:tr>
        <w:tc>
          <w:tcPr>
            <w:tcW w:type="dxa" w:w="3168"/>
            <w:vAlign w:val="center"/>
          </w:tcPr>
          <w:p>
            <w:r/>
            <w:r>
              <w:rPr>
                <w:rFonts w:ascii="Arial" w:hAnsi="Arial"/>
                <w:b w:val="0"/>
                <w:sz w:val="15"/>
              </w:rPr>
              <w:t>Reporting upload failure</w:t>
            </w:r>
          </w:p>
        </w:tc>
        <w:tc>
          <w:tcPr>
            <w:tcW w:type="dxa" w:w="6624"/>
            <w:vAlign w:val="center"/>
          </w:tcPr>
          <w:p>
            <w:r/>
            <w:r>
              <w:rPr>
                <w:rFonts w:ascii="Arial" w:hAnsi="Arial"/>
                <w:b w:val="0"/>
                <w:sz w:val="15"/>
              </w:rPr>
              <w:t>Local buffer + exponential retry with same idempotency key.</w:t>
            </w:r>
          </w:p>
        </w:tc>
      </w:tr>
      <w:tr>
        <w:tc>
          <w:tcPr>
            <w:tcW w:type="dxa" w:w="3168"/>
            <w:vAlign w:val="center"/>
          </w:tcPr>
          <w:p>
            <w:r/>
            <w:r>
              <w:rPr>
                <w:rFonts w:ascii="Arial" w:hAnsi="Arial"/>
                <w:b w:val="0"/>
                <w:sz w:val="15"/>
              </w:rPr>
              <w:t>Meta/Google transient API failure</w:t>
            </w:r>
          </w:p>
        </w:tc>
        <w:tc>
          <w:tcPr>
            <w:tcW w:type="dxa" w:w="6624"/>
            <w:vAlign w:val="center"/>
          </w:tcPr>
          <w:p>
            <w:r/>
            <w:r>
              <w:rPr>
                <w:rFonts w:ascii="Arial" w:hAnsi="Arial"/>
                <w:b w:val="0"/>
                <w:sz w:val="15"/>
              </w:rPr>
              <w:t>Retry with backoff; preserve upload version/idempotency.</w:t>
            </w:r>
          </w:p>
        </w:tc>
      </w:tr>
      <w:tr>
        <w:tc>
          <w:tcPr>
            <w:tcW w:type="dxa" w:w="3168"/>
            <w:vAlign w:val="center"/>
          </w:tcPr>
          <w:p>
            <w:r/>
            <w:r>
              <w:rPr>
                <w:rFonts w:ascii="Arial" w:hAnsi="Arial"/>
                <w:b w:val="0"/>
                <w:sz w:val="15"/>
              </w:rPr>
              <w:t>External eligibility revoked</w:t>
            </w:r>
          </w:p>
        </w:tc>
        <w:tc>
          <w:tcPr>
            <w:tcW w:type="dxa" w:w="6624"/>
            <w:vAlign w:val="center"/>
          </w:tcPr>
          <w:p>
            <w:r/>
            <w:r>
              <w:rPr>
                <w:rFonts w:ascii="Arial" w:hAnsi="Arial"/>
                <w:b w:val="0"/>
                <w:sz w:val="15"/>
              </w:rPr>
              <w:t>Pause external path without impacting partner-owned activation.</w:t>
            </w:r>
          </w:p>
        </w:tc>
      </w:tr>
      <w:tr>
        <w:tc>
          <w:tcPr>
            <w:tcW w:type="dxa" w:w="3168"/>
            <w:vAlign w:val="center"/>
          </w:tcPr>
          <w:p>
            <w:r/>
            <w:r>
              <w:rPr>
                <w:rFonts w:ascii="Arial" w:hAnsi="Arial"/>
                <w:b w:val="0"/>
                <w:sz w:val="15"/>
              </w:rPr>
              <w:t>Partner kill switch</w:t>
            </w:r>
          </w:p>
        </w:tc>
        <w:tc>
          <w:tcPr>
            <w:tcW w:type="dxa" w:w="6624"/>
            <w:vAlign w:val="center"/>
          </w:tcPr>
          <w:p>
            <w:r/>
            <w:r>
              <w:rPr>
                <w:rFonts w:ascii="Arial" w:hAnsi="Arial"/>
                <w:b w:val="0"/>
                <w:sz w:val="15"/>
              </w:rPr>
              <w:t>Stop local serving immediately; queue external cleanup/revocation.</w:t>
            </w:r>
          </w:p>
        </w:tc>
      </w:tr>
      <w:tr>
        <w:tc>
          <w:tcPr>
            <w:tcW w:type="dxa" w:w="3168"/>
            <w:vAlign w:val="center"/>
          </w:tcPr>
          <w:p>
            <w:r/>
            <w:r>
              <w:rPr>
                <w:rFonts w:ascii="Arial" w:hAnsi="Arial"/>
                <w:b w:val="0"/>
                <w:sz w:val="15"/>
              </w:rPr>
              <w:t>Expired campaign</w:t>
            </w:r>
          </w:p>
        </w:tc>
        <w:tc>
          <w:tcPr>
            <w:tcW w:type="dxa" w:w="6624"/>
            <w:vAlign w:val="center"/>
          </w:tcPr>
          <w:p>
            <w:r/>
            <w:r>
              <w:rPr>
                <w:rFonts w:ascii="Arial" w:hAnsi="Arial"/>
                <w:b w:val="0"/>
                <w:sz w:val="15"/>
              </w:rPr>
              <w:t>Agent automatically stops serving even if Oolix is temporarily unreachable.</w:t>
            </w:r>
          </w:p>
        </w:tc>
      </w:tr>
    </w:tbl>
    <w:p/>
    <w:p>
      <w:r>
        <w:br w:type="page"/>
      </w:r>
    </w:p>
    <w:p>
      <w:pPr>
        <w:pStyle w:val="Heading1"/>
      </w:pPr>
      <w:r>
        <w:t>25. Observability and Audit</w:t>
      </w:r>
    </w:p>
    <w:p>
      <w:pPr>
        <w:pStyle w:val="ListBullet"/>
        <w:spacing w:after="30"/>
      </w:pPr>
      <w:r>
        <w:t>Agent heartbeat / version / config age</w:t>
      </w:r>
    </w:p>
    <w:p>
      <w:pPr>
        <w:pStyle w:val="ListBullet"/>
        <w:spacing w:after="30"/>
      </w:pPr>
      <w:r>
        <w:t>Local ad-decision p50/p95/p99 latency</w:t>
      </w:r>
    </w:p>
    <w:p>
      <w:pPr>
        <w:pStyle w:val="ListBullet"/>
        <w:spacing w:after="30"/>
      </w:pPr>
      <w:r>
        <w:t>NO_AD reason buckets</w:t>
      </w:r>
    </w:p>
    <w:p>
      <w:pPr>
        <w:pStyle w:val="ListBullet"/>
        <w:spacing w:after="30"/>
      </w:pPr>
      <w:r>
        <w:t>Segment connector health</w:t>
      </w:r>
    </w:p>
    <w:p>
      <w:pPr>
        <w:pStyle w:val="ListBullet"/>
        <w:spacing w:after="30"/>
      </w:pPr>
      <w:r>
        <w:t>Reporting queue backlog</w:t>
      </w:r>
    </w:p>
    <w:p>
      <w:pPr>
        <w:pStyle w:val="ListBullet"/>
        <w:spacing w:after="30"/>
      </w:pPr>
      <w:r>
        <w:t>Campaign manifest version drift</w:t>
      </w:r>
    </w:p>
    <w:p>
      <w:pPr>
        <w:pStyle w:val="ListBullet"/>
        <w:spacing w:after="30"/>
      </w:pPr>
      <w:r>
        <w:t>External channel audience sync status</w:t>
      </w:r>
    </w:p>
    <w:p>
      <w:pPr>
        <w:pStyle w:val="ListBullet"/>
        <w:spacing w:after="30"/>
      </w:pPr>
      <w:r>
        <w:t>External API error rate</w:t>
      </w:r>
    </w:p>
    <w:p>
      <w:pPr>
        <w:pStyle w:val="ListBullet"/>
        <w:spacing w:after="30"/>
      </w:pPr>
      <w:r>
        <w:t>Campaign state changes</w:t>
      </w:r>
    </w:p>
    <w:p>
      <w:pPr>
        <w:pStyle w:val="ListBullet"/>
        <w:spacing w:after="30"/>
      </w:pPr>
      <w:r>
        <w:t>Partner kill-switch events</w:t>
      </w:r>
    </w:p>
    <w:p>
      <w:pPr>
        <w:pStyle w:val="ListBullet"/>
        <w:spacing w:after="30"/>
      </w:pPr>
      <w:r>
        <w:t>Billing reconciliation mismatch</w:t>
      </w:r>
    </w:p>
    <w:p>
      <w:pPr>
        <w:pStyle w:val="Code"/>
      </w:pPr>
      <w:r>
        <w:rPr>
          <w:rFonts w:ascii="Courier New" w:hAnsi="Courier New"/>
          <w:sz w:val="15"/>
        </w:rPr>
        <w:t>Example correlation chain:</w:t>
        <w:br/>
        <w:t>CMP-100 → REQ-A → ACT-A-META → audience_resource_id → external_campaign_id</w:t>
      </w:r>
    </w:p>
    <w:p>
      <w:r>
        <w:br w:type="page"/>
      </w:r>
    </w:p>
    <w:p>
      <w:pPr>
        <w:pStyle w:val="Heading1"/>
      </w:pPr>
      <w:r>
        <w:t>26. Deployment Topology and Recommended Stack</w:t>
      </w:r>
    </w:p>
    <w:p>
      <w:pPr>
        <w:jc w:val="center"/>
      </w:pPr>
      <w:r>
        <w:drawing>
          <wp:inline xmlns:a="http://schemas.openxmlformats.org/drawingml/2006/main" xmlns:pic="http://schemas.openxmlformats.org/drawingml/2006/picture">
            <wp:extent cx="6217920" cy="3204638"/>
            <wp:docPr id="11" name="Picture 11"/>
            <wp:cNvGraphicFramePr>
              <a:graphicFrameLocks noChangeAspect="1"/>
            </wp:cNvGraphicFramePr>
            <a:graphic>
              <a:graphicData uri="http://schemas.openxmlformats.org/drawingml/2006/picture">
                <pic:pic>
                  <pic:nvPicPr>
                    <pic:cNvPr id="0" name="11_deployment.png"/>
                    <pic:cNvPicPr/>
                  </pic:nvPicPr>
                  <pic:blipFill>
                    <a:blip r:embed="rId19"/>
                    <a:stretch>
                      <a:fillRect/>
                    </a:stretch>
                  </pic:blipFill>
                  <pic:spPr>
                    <a:xfrm>
                      <a:off x="0" y="0"/>
                      <a:ext cx="6217920" cy="3204638"/>
                    </a:xfrm>
                    <a:prstGeom prst="rect"/>
                  </pic:spPr>
                </pic:pic>
              </a:graphicData>
            </a:graphic>
          </wp:inline>
        </w:drawing>
      </w:r>
    </w:p>
    <w:p>
      <w:pPr>
        <w:jc w:val="center"/>
      </w:pPr>
      <w:r>
        <w:rPr>
          <w:i/>
          <w:color w:val="4B5563"/>
          <w:sz w:val="16"/>
        </w:rPr>
        <w:t>Figure 11. Example deployment topology.</w:t>
      </w:r>
    </w:p>
    <w:p>
      <w:pPr>
        <w:pStyle w:val="Heading2"/>
      </w:pPr>
      <w:r>
        <w:t>26.1 Suggested MVP stack</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Layer</w:t>
            </w:r>
          </w:p>
        </w:tc>
        <w:tc>
          <w:tcPr>
            <w:tcW w:type="dxa" w:w="7200"/>
            <w:vAlign w:val="center"/>
            <w:shd w:fill="1B4363"/>
          </w:tcPr>
          <w:p>
            <w:r/>
            <w:r>
              <w:rPr>
                <w:rFonts w:ascii="Arial" w:hAnsi="Arial"/>
                <w:b/>
                <w:color w:val="FFFFFF"/>
                <w:sz w:val="16"/>
              </w:rPr>
              <w:t>Recommendation</w:t>
            </w:r>
          </w:p>
        </w:tc>
      </w:tr>
      <w:tr>
        <w:tc>
          <w:tcPr>
            <w:tcW w:type="dxa" w:w="2592"/>
            <w:vAlign w:val="center"/>
          </w:tcPr>
          <w:p>
            <w:r/>
            <w:r>
              <w:rPr>
                <w:rFonts w:ascii="Arial" w:hAnsi="Arial"/>
                <w:b w:val="0"/>
                <w:sz w:val="15"/>
              </w:rPr>
              <w:t>Frontend</w:t>
            </w:r>
          </w:p>
        </w:tc>
        <w:tc>
          <w:tcPr>
            <w:tcW w:type="dxa" w:w="7200"/>
            <w:vAlign w:val="center"/>
          </w:tcPr>
          <w:p>
            <w:r/>
            <w:r>
              <w:rPr>
                <w:rFonts w:ascii="Arial" w:hAnsi="Arial"/>
                <w:b w:val="0"/>
                <w:sz w:val="15"/>
              </w:rPr>
              <w:t>Next.js / React + TypeScript</w:t>
            </w:r>
          </w:p>
        </w:tc>
      </w:tr>
      <w:tr>
        <w:tc>
          <w:tcPr>
            <w:tcW w:type="dxa" w:w="2592"/>
            <w:vAlign w:val="center"/>
          </w:tcPr>
          <w:p>
            <w:r/>
            <w:r>
              <w:rPr>
                <w:rFonts w:ascii="Arial" w:hAnsi="Arial"/>
                <w:b w:val="0"/>
                <w:sz w:val="15"/>
              </w:rPr>
              <w:t>Cloud backend</w:t>
            </w:r>
          </w:p>
        </w:tc>
        <w:tc>
          <w:tcPr>
            <w:tcW w:type="dxa" w:w="7200"/>
            <w:vAlign w:val="center"/>
          </w:tcPr>
          <w:p>
            <w:r/>
            <w:r>
              <w:rPr>
                <w:rFonts w:ascii="Arial" w:hAnsi="Arial"/>
                <w:b w:val="0"/>
                <w:sz w:val="15"/>
              </w:rPr>
              <w:t>Node.js + TypeScript, preferably NestJS for modularity</w:t>
            </w:r>
          </w:p>
        </w:tc>
      </w:tr>
      <w:tr>
        <w:tc>
          <w:tcPr>
            <w:tcW w:type="dxa" w:w="2592"/>
            <w:vAlign w:val="center"/>
          </w:tcPr>
          <w:p>
            <w:r/>
            <w:r>
              <w:rPr>
                <w:rFonts w:ascii="Arial" w:hAnsi="Arial"/>
                <w:b w:val="0"/>
                <w:sz w:val="15"/>
              </w:rPr>
              <w:t>Cloud OLTP DB</w:t>
            </w:r>
          </w:p>
        </w:tc>
        <w:tc>
          <w:tcPr>
            <w:tcW w:type="dxa" w:w="7200"/>
            <w:vAlign w:val="center"/>
          </w:tcPr>
          <w:p>
            <w:r/>
            <w:r>
              <w:rPr>
                <w:rFonts w:ascii="Arial" w:hAnsi="Arial"/>
                <w:b w:val="0"/>
                <w:sz w:val="15"/>
              </w:rPr>
              <w:t>PostgreSQL</w:t>
            </w:r>
          </w:p>
        </w:tc>
      </w:tr>
      <w:tr>
        <w:tc>
          <w:tcPr>
            <w:tcW w:type="dxa" w:w="2592"/>
            <w:vAlign w:val="center"/>
          </w:tcPr>
          <w:p>
            <w:r/>
            <w:r>
              <w:rPr>
                <w:rFonts w:ascii="Arial" w:hAnsi="Arial"/>
                <w:b w:val="0"/>
                <w:sz w:val="15"/>
              </w:rPr>
              <w:t>Cache / short state</w:t>
            </w:r>
          </w:p>
        </w:tc>
        <w:tc>
          <w:tcPr>
            <w:tcW w:type="dxa" w:w="7200"/>
            <w:vAlign w:val="center"/>
          </w:tcPr>
          <w:p>
            <w:r/>
            <w:r>
              <w:rPr>
                <w:rFonts w:ascii="Arial" w:hAnsi="Arial"/>
                <w:b w:val="0"/>
                <w:sz w:val="15"/>
              </w:rPr>
              <w:t>Redis</w:t>
            </w:r>
          </w:p>
        </w:tc>
      </w:tr>
      <w:tr>
        <w:tc>
          <w:tcPr>
            <w:tcW w:type="dxa" w:w="2592"/>
            <w:vAlign w:val="center"/>
          </w:tcPr>
          <w:p>
            <w:r/>
            <w:r>
              <w:rPr>
                <w:rFonts w:ascii="Arial" w:hAnsi="Arial"/>
                <w:b w:val="0"/>
                <w:sz w:val="15"/>
              </w:rPr>
              <w:t>Async jobs</w:t>
            </w:r>
          </w:p>
        </w:tc>
        <w:tc>
          <w:tcPr>
            <w:tcW w:type="dxa" w:w="7200"/>
            <w:vAlign w:val="center"/>
          </w:tcPr>
          <w:p>
            <w:r/>
            <w:r>
              <w:rPr>
                <w:rFonts w:ascii="Arial" w:hAnsi="Arial"/>
                <w:b w:val="0"/>
                <w:sz w:val="15"/>
              </w:rPr>
              <w:t>SQS/BullMQ/RabbitMQ first; Kafka only when volume requires it</w:t>
            </w:r>
          </w:p>
        </w:tc>
      </w:tr>
      <w:tr>
        <w:tc>
          <w:tcPr>
            <w:tcW w:type="dxa" w:w="2592"/>
            <w:vAlign w:val="center"/>
          </w:tcPr>
          <w:p>
            <w:r/>
            <w:r>
              <w:rPr>
                <w:rFonts w:ascii="Arial" w:hAnsi="Arial"/>
                <w:b w:val="0"/>
                <w:sz w:val="15"/>
              </w:rPr>
              <w:t>Object storage</w:t>
            </w:r>
          </w:p>
        </w:tc>
        <w:tc>
          <w:tcPr>
            <w:tcW w:type="dxa" w:w="7200"/>
            <w:vAlign w:val="center"/>
          </w:tcPr>
          <w:p>
            <w:r/>
            <w:r>
              <w:rPr>
                <w:rFonts w:ascii="Arial" w:hAnsi="Arial"/>
                <w:b w:val="0"/>
                <w:sz w:val="15"/>
              </w:rPr>
              <w:t>S3-compatible storage + CDN</w:t>
            </w:r>
          </w:p>
        </w:tc>
      </w:tr>
      <w:tr>
        <w:tc>
          <w:tcPr>
            <w:tcW w:type="dxa" w:w="2592"/>
            <w:vAlign w:val="center"/>
          </w:tcPr>
          <w:p>
            <w:r/>
            <w:r>
              <w:rPr>
                <w:rFonts w:ascii="Arial" w:hAnsi="Arial"/>
                <w:b w:val="0"/>
                <w:sz w:val="15"/>
              </w:rPr>
              <w:t>Auth</w:t>
            </w:r>
          </w:p>
        </w:tc>
        <w:tc>
          <w:tcPr>
            <w:tcW w:type="dxa" w:w="7200"/>
            <w:vAlign w:val="center"/>
          </w:tcPr>
          <w:p>
            <w:r/>
            <w:r>
              <w:rPr>
                <w:rFonts w:ascii="Arial" w:hAnsi="Arial"/>
                <w:b w:val="0"/>
                <w:sz w:val="15"/>
              </w:rPr>
              <w:t>OIDC provider; enterprise SSO later</w:t>
            </w:r>
          </w:p>
        </w:tc>
      </w:tr>
      <w:tr>
        <w:tc>
          <w:tcPr>
            <w:tcW w:type="dxa" w:w="2592"/>
            <w:vAlign w:val="center"/>
          </w:tcPr>
          <w:p>
            <w:r/>
            <w:r>
              <w:rPr>
                <w:rFonts w:ascii="Arial" w:hAnsi="Arial"/>
                <w:b w:val="0"/>
                <w:sz w:val="15"/>
              </w:rPr>
              <w:t>Agent</w:t>
            </w:r>
          </w:p>
        </w:tc>
        <w:tc>
          <w:tcPr>
            <w:tcW w:type="dxa" w:w="7200"/>
            <w:vAlign w:val="center"/>
          </w:tcPr>
          <w:p>
            <w:r/>
            <w:r>
              <w:rPr>
                <w:rFonts w:ascii="Arial" w:hAnsi="Arial"/>
                <w:b w:val="0"/>
                <w:sz w:val="15"/>
              </w:rPr>
              <w:t>Go recommended for single binary/container; Node/TS acceptable if team speed is higher</w:t>
            </w:r>
          </w:p>
        </w:tc>
      </w:tr>
      <w:tr>
        <w:tc>
          <w:tcPr>
            <w:tcW w:type="dxa" w:w="2592"/>
            <w:vAlign w:val="center"/>
          </w:tcPr>
          <w:p>
            <w:r/>
            <w:r>
              <w:rPr>
                <w:rFonts w:ascii="Arial" w:hAnsi="Arial"/>
                <w:b w:val="0"/>
                <w:sz w:val="15"/>
              </w:rPr>
              <w:t>Web SDK</w:t>
            </w:r>
          </w:p>
        </w:tc>
        <w:tc>
          <w:tcPr>
            <w:tcW w:type="dxa" w:w="7200"/>
            <w:vAlign w:val="center"/>
          </w:tcPr>
          <w:p>
            <w:r/>
            <w:r>
              <w:rPr>
                <w:rFonts w:ascii="Arial" w:hAnsi="Arial"/>
                <w:b w:val="0"/>
                <w:sz w:val="15"/>
              </w:rPr>
              <w:t>TypeScript package</w:t>
            </w:r>
          </w:p>
        </w:tc>
      </w:tr>
      <w:tr>
        <w:tc>
          <w:tcPr>
            <w:tcW w:type="dxa" w:w="2592"/>
            <w:vAlign w:val="center"/>
          </w:tcPr>
          <w:p>
            <w:r/>
            <w:r>
              <w:rPr>
                <w:rFonts w:ascii="Arial" w:hAnsi="Arial"/>
                <w:b w:val="0"/>
                <w:sz w:val="15"/>
              </w:rPr>
              <w:t>Mobile</w:t>
            </w:r>
          </w:p>
        </w:tc>
        <w:tc>
          <w:tcPr>
            <w:tcW w:type="dxa" w:w="7200"/>
            <w:vAlign w:val="center"/>
          </w:tcPr>
          <w:p>
            <w:r/>
            <w:r>
              <w:rPr>
                <w:rFonts w:ascii="Arial" w:hAnsi="Arial"/>
                <w:b w:val="0"/>
                <w:sz w:val="15"/>
              </w:rPr>
              <w:t>Build for first partner’s stack only</w:t>
            </w:r>
          </w:p>
        </w:tc>
      </w:tr>
      <w:tr>
        <w:tc>
          <w:tcPr>
            <w:tcW w:type="dxa" w:w="2592"/>
            <w:vAlign w:val="center"/>
          </w:tcPr>
          <w:p>
            <w:r/>
            <w:r>
              <w:rPr>
                <w:rFonts w:ascii="Arial" w:hAnsi="Arial"/>
                <w:b w:val="0"/>
                <w:sz w:val="15"/>
              </w:rPr>
              <w:t>Cloud deployment</w:t>
            </w:r>
          </w:p>
        </w:tc>
        <w:tc>
          <w:tcPr>
            <w:tcW w:type="dxa" w:w="7200"/>
            <w:vAlign w:val="center"/>
          </w:tcPr>
          <w:p>
            <w:r/>
            <w:r>
              <w:rPr>
                <w:rFonts w:ascii="Arial" w:hAnsi="Arial"/>
                <w:b w:val="0"/>
                <w:sz w:val="15"/>
              </w:rPr>
              <w:t>AWS ECS/EKS or equivalent; managed PostgreSQL/Redis</w:t>
            </w:r>
          </w:p>
        </w:tc>
      </w:tr>
      <w:tr>
        <w:tc>
          <w:tcPr>
            <w:tcW w:type="dxa" w:w="2592"/>
            <w:vAlign w:val="center"/>
          </w:tcPr>
          <w:p>
            <w:r/>
            <w:r>
              <w:rPr>
                <w:rFonts w:ascii="Arial" w:hAnsi="Arial"/>
                <w:b w:val="0"/>
                <w:sz w:val="15"/>
              </w:rPr>
              <w:t>Secrets/KMS</w:t>
            </w:r>
          </w:p>
        </w:tc>
        <w:tc>
          <w:tcPr>
            <w:tcW w:type="dxa" w:w="7200"/>
            <w:vAlign w:val="center"/>
          </w:tcPr>
          <w:p>
            <w:r/>
            <w:r>
              <w:rPr>
                <w:rFonts w:ascii="Arial" w:hAnsi="Arial"/>
                <w:b w:val="0"/>
                <w:sz w:val="15"/>
              </w:rPr>
              <w:t>Cloud KMS + Secrets Manager</w:t>
            </w:r>
          </w:p>
        </w:tc>
      </w:tr>
      <w:tr>
        <w:tc>
          <w:tcPr>
            <w:tcW w:type="dxa" w:w="2592"/>
            <w:vAlign w:val="center"/>
          </w:tcPr>
          <w:p>
            <w:r/>
            <w:r>
              <w:rPr>
                <w:rFonts w:ascii="Arial" w:hAnsi="Arial"/>
                <w:b w:val="0"/>
                <w:sz w:val="15"/>
              </w:rPr>
              <w:t>Observability</w:t>
            </w:r>
          </w:p>
        </w:tc>
        <w:tc>
          <w:tcPr>
            <w:tcW w:type="dxa" w:w="7200"/>
            <w:vAlign w:val="center"/>
          </w:tcPr>
          <w:p>
            <w:r/>
            <w:r>
              <w:rPr>
                <w:rFonts w:ascii="Arial" w:hAnsi="Arial"/>
                <w:b w:val="0"/>
                <w:sz w:val="15"/>
              </w:rPr>
              <w:t>OpenTelemetry + logs/metrics/traces</w:t>
            </w:r>
          </w:p>
        </w:tc>
      </w:tr>
    </w:tbl>
    <w:p/>
    <w:p>
      <w:r>
        <w:t>The architecture is cloud-agnostic. AWS names are examples, not requirements.</w:t>
      </w:r>
    </w:p>
    <w:p>
      <w:r>
        <w:br w:type="page"/>
      </w:r>
    </w:p>
    <w:p>
      <w:pPr>
        <w:pStyle w:val="Heading1"/>
      </w:pPr>
      <w:r>
        <w:t>27. Scaling and Performance</w:t>
      </w:r>
    </w:p>
    <w:p>
      <w:pPr>
        <w:pStyle w:val="ListBullet"/>
        <w:spacing w:after="30"/>
      </w:pPr>
      <w:r>
        <w:t>Partner-local ad decision target: p95 under 100 ms for cached config + pre-computed membership.</w:t>
      </w:r>
    </w:p>
    <w:p>
      <w:pPr>
        <w:pStyle w:val="ListBullet"/>
        <w:spacing w:after="30"/>
      </w:pPr>
      <w:r>
        <w:t>No complex production-database joins per impression.</w:t>
      </w:r>
    </w:p>
    <w:p>
      <w:pPr>
        <w:pStyle w:val="ListBullet"/>
        <w:spacing w:after="30"/>
      </w:pPr>
      <w:r>
        <w:t>Cache active manifests and placement→campaign index locally.</w:t>
      </w:r>
    </w:p>
    <w:p>
      <w:pPr>
        <w:pStyle w:val="ListBullet"/>
        <w:spacing w:after="30"/>
      </w:pPr>
      <w:r>
        <w:t>Batch reporting instead of one central event request per impression.</w:t>
      </w:r>
    </w:p>
    <w:p>
      <w:pPr>
        <w:pStyle w:val="ListBullet"/>
        <w:spacing w:after="30"/>
      </w:pPr>
      <w:r>
        <w:t>Horizontal scale central API and event workers.</w:t>
      </w:r>
    </w:p>
    <w:p>
      <w:pPr>
        <w:pStyle w:val="ListBullet"/>
        <w:spacing w:after="30"/>
      </w:pPr>
      <w:r>
        <w:t>Move aggregate analytics from PostgreSQL to ClickHouse/BigQuery/Snowflake only when event volume justifies it.</w:t>
      </w:r>
    </w:p>
    <w:p>
      <w:pPr>
        <w:pStyle w:val="ListBullet"/>
        <w:spacing w:after="30"/>
      </w:pPr>
      <w:r>
        <w:t>Partition metrics by date + partner + activation.</w:t>
      </w:r>
    </w:p>
    <w:p>
      <w:pPr>
        <w:pStyle w:val="ListBullet"/>
        <w:spacing w:after="30"/>
      </w:pPr>
      <w:r>
        <w:t>Use CDN/partner-hosted creative options.</w:t>
      </w:r>
    </w:p>
    <w:p>
      <w:r>
        <w:br w:type="page"/>
      </w:r>
    </w:p>
    <w:p>
      <w:pPr>
        <w:pStyle w:val="Heading1"/>
      </w:pPr>
      <w:r>
        <w:t>28. TEE / Protected Processing — Later Phase</w:t>
      </w:r>
    </w:p>
    <w:p>
      <w:pPr>
        <w:jc w:val="center"/>
      </w:pPr>
      <w:r>
        <w:drawing>
          <wp:inline xmlns:a="http://schemas.openxmlformats.org/drawingml/2006/main" xmlns:pic="http://schemas.openxmlformats.org/drawingml/2006/picture">
            <wp:extent cx="6217920" cy="1442608"/>
            <wp:docPr id="12" name="Picture 12"/>
            <wp:cNvGraphicFramePr>
              <a:graphicFrameLocks noChangeAspect="1"/>
            </wp:cNvGraphicFramePr>
            <a:graphic>
              <a:graphicData uri="http://schemas.openxmlformats.org/drawingml/2006/picture">
                <pic:pic>
                  <pic:nvPicPr>
                    <pic:cNvPr id="0" name="12_tee_future.png"/>
                    <pic:cNvPicPr/>
                  </pic:nvPicPr>
                  <pic:blipFill>
                    <a:blip r:embed="rId20"/>
                    <a:stretch>
                      <a:fillRect/>
                    </a:stretch>
                  </pic:blipFill>
                  <pic:spPr>
                    <a:xfrm>
                      <a:off x="0" y="0"/>
                      <a:ext cx="6217920" cy="1442608"/>
                    </a:xfrm>
                    <a:prstGeom prst="rect"/>
                  </pic:spPr>
                </pic:pic>
              </a:graphicData>
            </a:graphic>
          </wp:inline>
        </w:drawing>
      </w:r>
    </w:p>
    <w:p>
      <w:pPr>
        <w:jc w:val="center"/>
      </w:pPr>
      <w:r>
        <w:rPr>
          <w:i/>
          <w:color w:val="4B5563"/>
          <w:sz w:val="16"/>
        </w:rPr>
        <w:t>Figure 12. TEE is a later shared-computation layer, not the MVP ad-serving path.</w:t>
      </w:r>
    </w:p>
    <w:tbl>
      <w:tblPr>
        <w:tblStyle w:val="TableGrid"/>
        <w:tblW w:type="auto" w:w="0"/>
        <w:jc w:val="center"/>
        <w:tblLook w:firstColumn="1" w:firstRow="1" w:lastColumn="0" w:lastRow="0" w:noHBand="0" w:noVBand="1" w:val="04A0"/>
      </w:tblPr>
      <w:tblGrid>
        <w:gridCol w:w="5227"/>
        <w:gridCol w:w="5227"/>
      </w:tblGrid>
      <w:tr>
        <w:tc>
          <w:tcPr>
            <w:tcW w:type="dxa" w:w="4320"/>
            <w:vAlign w:val="center"/>
            <w:shd w:fill="1B4363"/>
          </w:tcPr>
          <w:p>
            <w:r/>
            <w:r>
              <w:rPr>
                <w:rFonts w:ascii="Arial" w:hAnsi="Arial"/>
                <w:b/>
                <w:color w:val="FFFFFF"/>
                <w:sz w:val="16"/>
              </w:rPr>
              <w:t>Use case</w:t>
            </w:r>
          </w:p>
        </w:tc>
        <w:tc>
          <w:tcPr>
            <w:tcW w:type="dxa" w:w="5040"/>
            <w:vAlign w:val="center"/>
            <w:shd w:fill="1B4363"/>
          </w:tcPr>
          <w:p>
            <w:r/>
            <w:r>
              <w:rPr>
                <w:rFonts w:ascii="Arial" w:hAnsi="Arial"/>
                <w:b/>
                <w:color w:val="FFFFFF"/>
                <w:sz w:val="16"/>
              </w:rPr>
              <w:t>TEE needed?</w:t>
            </w:r>
          </w:p>
        </w:tc>
      </w:tr>
      <w:tr>
        <w:tc>
          <w:tcPr>
            <w:tcW w:type="dxa" w:w="4320"/>
            <w:vAlign w:val="center"/>
          </w:tcPr>
          <w:p>
            <w:r/>
            <w:r>
              <w:rPr>
                <w:rFonts w:ascii="Arial" w:hAnsi="Arial"/>
                <w:b w:val="0"/>
                <w:sz w:val="15"/>
              </w:rPr>
              <w:t>One Partner → own app/web</w:t>
            </w:r>
          </w:p>
        </w:tc>
        <w:tc>
          <w:tcPr>
            <w:tcW w:type="dxa" w:w="5040"/>
            <w:vAlign w:val="center"/>
          </w:tcPr>
          <w:p>
            <w:r/>
            <w:r>
              <w:rPr>
                <w:rFonts w:ascii="Arial" w:hAnsi="Arial"/>
                <w:b w:val="0"/>
                <w:sz w:val="15"/>
              </w:rPr>
              <w:t>No</w:t>
            </w:r>
          </w:p>
        </w:tc>
      </w:tr>
      <w:tr>
        <w:tc>
          <w:tcPr>
            <w:tcW w:type="dxa" w:w="4320"/>
            <w:vAlign w:val="center"/>
          </w:tcPr>
          <w:p>
            <w:r/>
            <w:r>
              <w:rPr>
                <w:rFonts w:ascii="Arial" w:hAnsi="Arial"/>
                <w:b w:val="0"/>
                <w:sz w:val="15"/>
              </w:rPr>
              <w:t>One Partner → eligible Meta/Google</w:t>
            </w:r>
          </w:p>
        </w:tc>
        <w:tc>
          <w:tcPr>
            <w:tcW w:type="dxa" w:w="5040"/>
            <w:vAlign w:val="center"/>
          </w:tcPr>
          <w:p>
            <w:r/>
            <w:r>
              <w:rPr>
                <w:rFonts w:ascii="Arial" w:hAnsi="Arial"/>
                <w:b w:val="0"/>
                <w:sz w:val="15"/>
              </w:rPr>
              <w:t>Usually no</w:t>
            </w:r>
          </w:p>
        </w:tc>
      </w:tr>
      <w:tr>
        <w:tc>
          <w:tcPr>
            <w:tcW w:type="dxa" w:w="4320"/>
            <w:vAlign w:val="center"/>
          </w:tcPr>
          <w:p>
            <w:r/>
            <w:r>
              <w:rPr>
                <w:rFonts w:ascii="Arial" w:hAnsi="Arial"/>
                <w:b w:val="0"/>
                <w:sz w:val="15"/>
              </w:rPr>
              <w:t>Multiple Partners serving independently</w:t>
            </w:r>
          </w:p>
        </w:tc>
        <w:tc>
          <w:tcPr>
            <w:tcW w:type="dxa" w:w="5040"/>
            <w:vAlign w:val="center"/>
          </w:tcPr>
          <w:p>
            <w:r/>
            <w:r>
              <w:rPr>
                <w:rFonts w:ascii="Arial" w:hAnsi="Arial"/>
                <w:b w:val="0"/>
                <w:sz w:val="15"/>
              </w:rPr>
              <w:t>No</w:t>
            </w:r>
          </w:p>
        </w:tc>
      </w:tr>
      <w:tr>
        <w:tc>
          <w:tcPr>
            <w:tcW w:type="dxa" w:w="4320"/>
            <w:vAlign w:val="center"/>
          </w:tcPr>
          <w:p>
            <w:r/>
            <w:r>
              <w:rPr>
                <w:rFonts w:ascii="Arial" w:hAnsi="Arial"/>
                <w:b w:val="0"/>
                <w:sz w:val="15"/>
              </w:rPr>
              <w:t>Cross-partner dedupe</w:t>
            </w:r>
          </w:p>
        </w:tc>
        <w:tc>
          <w:tcPr>
            <w:tcW w:type="dxa" w:w="5040"/>
            <w:vAlign w:val="center"/>
          </w:tcPr>
          <w:p>
            <w:r/>
            <w:r>
              <w:rPr>
                <w:rFonts w:ascii="Arial" w:hAnsi="Arial"/>
                <w:b w:val="0"/>
                <w:sz w:val="15"/>
              </w:rPr>
              <w:t>Yes / useful</w:t>
            </w:r>
          </w:p>
        </w:tc>
      </w:tr>
      <w:tr>
        <w:tc>
          <w:tcPr>
            <w:tcW w:type="dxa" w:w="4320"/>
            <w:vAlign w:val="center"/>
          </w:tcPr>
          <w:p>
            <w:r/>
            <w:r>
              <w:rPr>
                <w:rFonts w:ascii="Arial" w:hAnsi="Arial"/>
                <w:b w:val="0"/>
                <w:sz w:val="15"/>
              </w:rPr>
              <w:t>Unique cross-network reach</w:t>
            </w:r>
          </w:p>
        </w:tc>
        <w:tc>
          <w:tcPr>
            <w:tcW w:type="dxa" w:w="5040"/>
            <w:vAlign w:val="center"/>
          </w:tcPr>
          <w:p>
            <w:r/>
            <w:r>
              <w:rPr>
                <w:rFonts w:ascii="Arial" w:hAnsi="Arial"/>
                <w:b w:val="0"/>
                <w:sz w:val="15"/>
              </w:rPr>
              <w:t>Yes / useful</w:t>
            </w:r>
          </w:p>
        </w:tc>
      </w:tr>
      <w:tr>
        <w:tc>
          <w:tcPr>
            <w:tcW w:type="dxa" w:w="4320"/>
            <w:vAlign w:val="center"/>
          </w:tcPr>
          <w:p>
            <w:r/>
            <w:r>
              <w:rPr>
                <w:rFonts w:ascii="Arial" w:hAnsi="Arial"/>
                <w:b w:val="0"/>
                <w:sz w:val="15"/>
              </w:rPr>
              <w:t>Overlap / union / intersection</w:t>
            </w:r>
          </w:p>
        </w:tc>
        <w:tc>
          <w:tcPr>
            <w:tcW w:type="dxa" w:w="5040"/>
            <w:vAlign w:val="center"/>
          </w:tcPr>
          <w:p>
            <w:r/>
            <w:r>
              <w:rPr>
                <w:rFonts w:ascii="Arial" w:hAnsi="Arial"/>
                <w:b w:val="0"/>
                <w:sz w:val="15"/>
              </w:rPr>
              <w:t>Yes / useful</w:t>
            </w:r>
          </w:p>
        </w:tc>
      </w:tr>
      <w:tr>
        <w:tc>
          <w:tcPr>
            <w:tcW w:type="dxa" w:w="4320"/>
            <w:vAlign w:val="center"/>
          </w:tcPr>
          <w:p>
            <w:r/>
            <w:r>
              <w:rPr>
                <w:rFonts w:ascii="Arial" w:hAnsi="Arial"/>
                <w:b w:val="0"/>
                <w:sz w:val="15"/>
              </w:rPr>
              <w:t>Cross-partner frequency</w:t>
            </w:r>
          </w:p>
        </w:tc>
        <w:tc>
          <w:tcPr>
            <w:tcW w:type="dxa" w:w="5040"/>
            <w:vAlign w:val="center"/>
          </w:tcPr>
          <w:p>
            <w:r/>
            <w:r>
              <w:rPr>
                <w:rFonts w:ascii="Arial" w:hAnsi="Arial"/>
                <w:b w:val="0"/>
                <w:sz w:val="15"/>
              </w:rPr>
              <w:t>Yes / useful</w:t>
            </w:r>
          </w:p>
        </w:tc>
      </w:tr>
      <w:tr>
        <w:tc>
          <w:tcPr>
            <w:tcW w:type="dxa" w:w="4320"/>
            <w:vAlign w:val="center"/>
          </w:tcPr>
          <w:p>
            <w:r/>
            <w:r>
              <w:rPr>
                <w:rFonts w:ascii="Arial" w:hAnsi="Arial"/>
                <w:b w:val="0"/>
                <w:sz w:val="15"/>
              </w:rPr>
              <w:t>One combined external audience from several Partners</w:t>
            </w:r>
          </w:p>
        </w:tc>
        <w:tc>
          <w:tcPr>
            <w:tcW w:type="dxa" w:w="5040"/>
            <w:vAlign w:val="center"/>
          </w:tcPr>
          <w:p>
            <w:r/>
            <w:r>
              <w:rPr>
                <w:rFonts w:ascii="Arial" w:hAnsi="Arial"/>
                <w:b w:val="0"/>
                <w:sz w:val="15"/>
              </w:rPr>
              <w:t>Yes / strongly useful</w:t>
            </w:r>
          </w:p>
        </w:tc>
      </w:tr>
    </w:tbl>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Phase discipline</w:t>
            </w:r>
          </w:p>
          <w:p>
            <w:pPr>
              <w:spacing w:after="0"/>
            </w:pPr>
            <w:r>
              <w:t>Do not make the MVP dependent on TEE. First prove Partner onboarding, app/web delivery and qualified outcomes.</w:t>
            </w:r>
          </w:p>
        </w:tc>
      </w:tr>
    </w:tbl>
    <w:p/>
    <w:p>
      <w:r>
        <w:br w:type="page"/>
      </w:r>
    </w:p>
    <w:p>
      <w:pPr>
        <w:pStyle w:val="Heading1"/>
      </w:pPr>
      <w:r>
        <w:t>29. MVP Build Sequence (Historical Plan - Superseded by §85)</w:t>
      </w:r>
    </w:p>
    <w:tbl>
      <w:tblPr>
        <w:tblStyle w:val="TableGrid"/>
        <w:tblW w:type="auto" w:w="0"/>
        <w:jc w:val="center"/>
        <w:tblLook w:firstColumn="1" w:firstRow="1" w:lastColumn="0" w:lastRow="0" w:noHBand="0" w:noVBand="1" w:val="04A0"/>
      </w:tblPr>
      <w:tblGrid>
        <w:gridCol w:w="5227"/>
        <w:gridCol w:w="5227"/>
      </w:tblGrid>
      <w:tr>
        <w:tc>
          <w:tcPr>
            <w:tcW w:type="dxa" w:w="3024"/>
            <w:vAlign w:val="center"/>
            <w:shd w:fill="1B4363"/>
          </w:tcPr>
          <w:p>
            <w:r/>
            <w:r>
              <w:rPr>
                <w:rFonts w:ascii="Arial" w:hAnsi="Arial"/>
                <w:b/>
                <w:color w:val="FFFFFF"/>
                <w:sz w:val="16"/>
              </w:rPr>
              <w:t>Sprint / Epic</w:t>
            </w:r>
          </w:p>
        </w:tc>
        <w:tc>
          <w:tcPr>
            <w:tcW w:type="dxa" w:w="6768"/>
            <w:vAlign w:val="center"/>
            <w:shd w:fill="1B4363"/>
          </w:tcPr>
          <w:p>
            <w:r/>
            <w:r>
              <w:rPr>
                <w:rFonts w:ascii="Arial" w:hAnsi="Arial"/>
                <w:b/>
                <w:color w:val="FFFFFF"/>
                <w:sz w:val="16"/>
              </w:rPr>
              <w:t>Build output</w:t>
            </w:r>
          </w:p>
        </w:tc>
      </w:tr>
      <w:tr>
        <w:tc>
          <w:tcPr>
            <w:tcW w:type="dxa" w:w="3024"/>
            <w:vAlign w:val="center"/>
          </w:tcPr>
          <w:p>
            <w:r/>
            <w:r>
              <w:rPr>
                <w:rFonts w:ascii="Arial" w:hAnsi="Arial"/>
                <w:b w:val="0"/>
                <w:sz w:val="15"/>
              </w:rPr>
              <w:t>Epic 1 — Identity + orgs</w:t>
            </w:r>
          </w:p>
        </w:tc>
        <w:tc>
          <w:tcPr>
            <w:tcW w:type="dxa" w:w="6768"/>
            <w:vAlign w:val="center"/>
          </w:tcPr>
          <w:p>
            <w:r/>
            <w:r>
              <w:rPr>
                <w:rFonts w:ascii="Arial" w:hAnsi="Arial"/>
                <w:b w:val="0"/>
                <w:sz w:val="15"/>
              </w:rPr>
              <w:t>Auth, organizations, RBAC, networks, Buyer/Partner roles</w:t>
            </w:r>
          </w:p>
        </w:tc>
      </w:tr>
      <w:tr>
        <w:tc>
          <w:tcPr>
            <w:tcW w:type="dxa" w:w="3024"/>
            <w:vAlign w:val="center"/>
          </w:tcPr>
          <w:p>
            <w:r/>
            <w:r>
              <w:rPr>
                <w:rFonts w:ascii="Arial" w:hAnsi="Arial"/>
                <w:b w:val="0"/>
                <w:sz w:val="15"/>
              </w:rPr>
              <w:t>Epic 2 — Partner catalogue</w:t>
            </w:r>
          </w:p>
        </w:tc>
        <w:tc>
          <w:tcPr>
            <w:tcW w:type="dxa" w:w="6768"/>
            <w:vAlign w:val="center"/>
          </w:tcPr>
          <w:p>
            <w:r/>
            <w:r>
              <w:rPr>
                <w:rFonts w:ascii="Arial" w:hAnsi="Arial"/>
                <w:b w:val="0"/>
                <w:sz w:val="15"/>
              </w:rPr>
              <w:t>Partner profile, segments metadata, placements, commercial rules</w:t>
            </w:r>
          </w:p>
        </w:tc>
      </w:tr>
      <w:tr>
        <w:tc>
          <w:tcPr>
            <w:tcW w:type="dxa" w:w="3024"/>
            <w:vAlign w:val="center"/>
          </w:tcPr>
          <w:p>
            <w:r/>
            <w:r>
              <w:rPr>
                <w:rFonts w:ascii="Arial" w:hAnsi="Arial"/>
                <w:b w:val="0"/>
                <w:sz w:val="15"/>
              </w:rPr>
              <w:t>Epic 3 — Campaign workflow</w:t>
            </w:r>
          </w:p>
        </w:tc>
        <w:tc>
          <w:tcPr>
            <w:tcW w:type="dxa" w:w="6768"/>
            <w:vAlign w:val="center"/>
          </w:tcPr>
          <w:p>
            <w:r/>
            <w:r>
              <w:rPr>
                <w:rFonts w:ascii="Arial" w:hAnsi="Arial"/>
                <w:b w:val="0"/>
                <w:sz w:val="15"/>
              </w:rPr>
              <w:t>Campaign builder, Partner requests, approve/reject/change, signed manifest</w:t>
            </w:r>
          </w:p>
        </w:tc>
      </w:tr>
      <w:tr>
        <w:tc>
          <w:tcPr>
            <w:tcW w:type="dxa" w:w="3024"/>
            <w:vAlign w:val="center"/>
          </w:tcPr>
          <w:p>
            <w:r/>
            <w:r>
              <w:rPr>
                <w:rFonts w:ascii="Arial" w:hAnsi="Arial"/>
                <w:b w:val="0"/>
                <w:sz w:val="15"/>
              </w:rPr>
              <w:t>Epic 4 — Partner Agent core</w:t>
            </w:r>
          </w:p>
        </w:tc>
        <w:tc>
          <w:tcPr>
            <w:tcW w:type="dxa" w:w="6768"/>
            <w:vAlign w:val="center"/>
          </w:tcPr>
          <w:p>
            <w:r/>
            <w:r>
              <w:rPr>
                <w:rFonts w:ascii="Arial" w:hAnsi="Arial"/>
                <w:b w:val="0"/>
                <w:sz w:val="15"/>
              </w:rPr>
              <w:t>Registration, control sync, connector interface, local segment membership, health</w:t>
            </w:r>
          </w:p>
        </w:tc>
      </w:tr>
      <w:tr>
        <w:tc>
          <w:tcPr>
            <w:tcW w:type="dxa" w:w="3024"/>
            <w:vAlign w:val="center"/>
          </w:tcPr>
          <w:p>
            <w:r/>
            <w:r>
              <w:rPr>
                <w:rFonts w:ascii="Arial" w:hAnsi="Arial"/>
                <w:b w:val="0"/>
                <w:sz w:val="15"/>
              </w:rPr>
              <w:t>Epic 5 — Web serving</w:t>
            </w:r>
          </w:p>
        </w:tc>
        <w:tc>
          <w:tcPr>
            <w:tcW w:type="dxa" w:w="6768"/>
            <w:vAlign w:val="center"/>
          </w:tcPr>
          <w:p>
            <w:r/>
            <w:r>
              <w:rPr>
                <w:rFonts w:ascii="Arial" w:hAnsi="Arial"/>
                <w:b w:val="0"/>
                <w:sz w:val="15"/>
              </w:rPr>
              <w:t>Web ad slot + partner backend integration + local decision API + NO_AD fallback</w:t>
            </w:r>
          </w:p>
        </w:tc>
      </w:tr>
      <w:tr>
        <w:tc>
          <w:tcPr>
            <w:tcW w:type="dxa" w:w="3024"/>
            <w:vAlign w:val="center"/>
          </w:tcPr>
          <w:p>
            <w:r/>
            <w:r>
              <w:rPr>
                <w:rFonts w:ascii="Arial" w:hAnsi="Arial"/>
                <w:b w:val="0"/>
                <w:sz w:val="15"/>
              </w:rPr>
              <w:t>Epic 6 — Attribution</w:t>
            </w:r>
          </w:p>
        </w:tc>
        <w:tc>
          <w:tcPr>
            <w:tcW w:type="dxa" w:w="6768"/>
            <w:vAlign w:val="center"/>
          </w:tcPr>
          <w:p>
            <w:r/>
            <w:r>
              <w:rPr>
                <w:rFonts w:ascii="Arial" w:hAnsi="Arial"/>
                <w:b w:val="0"/>
                <w:sz w:val="15"/>
              </w:rPr>
              <w:t>Anonymous click token, Buyer landing attribution, CRM outcome API</w:t>
            </w:r>
          </w:p>
        </w:tc>
      </w:tr>
      <w:tr>
        <w:tc>
          <w:tcPr>
            <w:tcW w:type="dxa" w:w="3024"/>
            <w:vAlign w:val="center"/>
          </w:tcPr>
          <w:p>
            <w:r/>
            <w:r>
              <w:rPr>
                <w:rFonts w:ascii="Arial" w:hAnsi="Arial"/>
                <w:b w:val="0"/>
                <w:sz w:val="15"/>
              </w:rPr>
              <w:t>Epic 7 — Reporting</w:t>
            </w:r>
          </w:p>
        </w:tc>
        <w:tc>
          <w:tcPr>
            <w:tcW w:type="dxa" w:w="6768"/>
            <w:vAlign w:val="center"/>
          </w:tcPr>
          <w:p>
            <w:r/>
            <w:r>
              <w:rPr>
                <w:rFonts w:ascii="Arial" w:hAnsi="Arial"/>
                <w:b w:val="0"/>
                <w:sz w:val="15"/>
              </w:rPr>
              <w:t>Batch ingest, aggregation, Buyer/Partner dashboards</w:t>
            </w:r>
          </w:p>
        </w:tc>
      </w:tr>
      <w:tr>
        <w:tc>
          <w:tcPr>
            <w:tcW w:type="dxa" w:w="3024"/>
            <w:vAlign w:val="center"/>
          </w:tcPr>
          <w:p>
            <w:r/>
            <w:r>
              <w:rPr>
                <w:rFonts w:ascii="Arial" w:hAnsi="Arial"/>
                <w:b w:val="0"/>
                <w:sz w:val="15"/>
              </w:rPr>
              <w:t>Epic 8 — Multi-partner</w:t>
            </w:r>
          </w:p>
        </w:tc>
        <w:tc>
          <w:tcPr>
            <w:tcW w:type="dxa" w:w="6768"/>
            <w:vAlign w:val="center"/>
          </w:tcPr>
          <w:p>
            <w:r/>
            <w:r>
              <w:rPr>
                <w:rFonts w:ascii="Arial" w:hAnsi="Arial"/>
                <w:b w:val="0"/>
                <w:sz w:val="15"/>
              </w:rPr>
              <w:t>Parent campaign + multiple activations + partner-level reporting</w:t>
            </w:r>
          </w:p>
        </w:tc>
      </w:tr>
      <w:tr>
        <w:tc>
          <w:tcPr>
            <w:tcW w:type="dxa" w:w="3024"/>
            <w:vAlign w:val="center"/>
          </w:tcPr>
          <w:p>
            <w:r/>
            <w:r>
              <w:rPr>
                <w:rFonts w:ascii="Arial" w:hAnsi="Arial"/>
                <w:b w:val="0"/>
                <w:sz w:val="15"/>
              </w:rPr>
              <w:t>Epic 9 — Billing</w:t>
            </w:r>
          </w:p>
        </w:tc>
        <w:tc>
          <w:tcPr>
            <w:tcW w:type="dxa" w:w="6768"/>
            <w:vAlign w:val="center"/>
          </w:tcPr>
          <w:p>
            <w:r/>
            <w:r>
              <w:rPr>
                <w:rFonts w:ascii="Arial" w:hAnsi="Arial"/>
                <w:b w:val="0"/>
                <w:sz w:val="15"/>
              </w:rPr>
              <w:t>Basic invoice/payout/reconciliation</w:t>
            </w:r>
          </w:p>
        </w:tc>
      </w:tr>
      <w:tr>
        <w:tc>
          <w:tcPr>
            <w:tcW w:type="dxa" w:w="3024"/>
            <w:vAlign w:val="center"/>
          </w:tcPr>
          <w:p>
            <w:r/>
            <w:r>
              <w:rPr>
                <w:rFonts w:ascii="Arial" w:hAnsi="Arial"/>
                <w:b w:val="0"/>
                <w:sz w:val="15"/>
              </w:rPr>
              <w:t>Epic 10 — Mobile</w:t>
            </w:r>
          </w:p>
        </w:tc>
        <w:tc>
          <w:tcPr>
            <w:tcW w:type="dxa" w:w="6768"/>
            <w:vAlign w:val="center"/>
          </w:tcPr>
          <w:p>
            <w:r/>
            <w:r>
              <w:rPr>
                <w:rFonts w:ascii="Arial" w:hAnsi="Arial"/>
                <w:b w:val="0"/>
                <w:sz w:val="15"/>
              </w:rPr>
              <w:t>First pilot Partner mobile SDK/component</w:t>
            </w:r>
          </w:p>
        </w:tc>
      </w:tr>
      <w:tr>
        <w:tc>
          <w:tcPr>
            <w:tcW w:type="dxa" w:w="3024"/>
            <w:vAlign w:val="center"/>
          </w:tcPr>
          <w:p>
            <w:r/>
            <w:r>
              <w:rPr>
                <w:rFonts w:ascii="Arial" w:hAnsi="Arial"/>
                <w:b w:val="0"/>
                <w:sz w:val="15"/>
              </w:rPr>
              <w:t>Epic 11 — Meta proof</w:t>
            </w:r>
          </w:p>
        </w:tc>
        <w:tc>
          <w:tcPr>
            <w:tcW w:type="dxa" w:w="6768"/>
            <w:vAlign w:val="center"/>
          </w:tcPr>
          <w:p>
            <w:r/>
            <w:r>
              <w:rPr>
                <w:rFonts w:ascii="Arial" w:hAnsi="Arial"/>
                <w:b w:val="0"/>
                <w:sz w:val="15"/>
              </w:rPr>
              <w:t>One Partner/Buyer/account flow behind feature flag</w:t>
            </w:r>
          </w:p>
        </w:tc>
      </w:tr>
      <w:tr>
        <w:tc>
          <w:tcPr>
            <w:tcW w:type="dxa" w:w="3024"/>
            <w:vAlign w:val="center"/>
          </w:tcPr>
          <w:p>
            <w:r/>
            <w:r>
              <w:rPr>
                <w:rFonts w:ascii="Arial" w:hAnsi="Arial"/>
                <w:b w:val="0"/>
                <w:sz w:val="15"/>
              </w:rPr>
              <w:t>Epic 12 — Google proof</w:t>
            </w:r>
          </w:p>
        </w:tc>
        <w:tc>
          <w:tcPr>
            <w:tcW w:type="dxa" w:w="6768"/>
            <w:vAlign w:val="center"/>
          </w:tcPr>
          <w:p>
            <w:r/>
            <w:r>
              <w:rPr>
                <w:rFonts w:ascii="Arial" w:hAnsi="Arial"/>
                <w:b w:val="0"/>
                <w:sz w:val="15"/>
              </w:rPr>
              <w:t>Only after exact policy/account eligibility validation</w:t>
            </w:r>
          </w:p>
        </w:tc>
      </w:tr>
    </w:tbl>
    <w:p/>
    <w:p>
      <w:pPr>
        <w:pStyle w:val="Heading2"/>
      </w:pPr>
      <w:r>
        <w:t>29.1 First pilot definition</w:t>
      </w:r>
    </w:p>
    <w:p>
      <w:pPr>
        <w:pStyle w:val="Code"/>
      </w:pPr>
      <w:r>
        <w:rPr>
          <w:rFonts w:ascii="Courier New" w:hAnsi="Courier New"/>
          <w:sz w:val="15"/>
        </w:rPr>
        <w:t>1 Buyer</w:t>
        <w:br/>
        <w:t>2-3 Data Partners</w:t>
        <w:br/>
        <w:t>1 segment per Partner</w:t>
        <w:br/>
        <w:t>1 web/app placement per Partner</w:t>
        <w:br/>
        <w:t>1 campaign objective: Qualified Lead</w:t>
        <w:br/>
        <w:t>Buyer landing-page lead capture</w:t>
        <w:br/>
        <w:t>No TEE</w:t>
        <w:br/>
        <w:t>No cross-partner dedupe</w:t>
        <w:br/>
        <w:t>Meta/Google optional, not required to prove core MVP</w:t>
      </w:r>
    </w:p>
    <w:p>
      <w:r>
        <w:br w:type="page"/>
      </w:r>
    </w:p>
    <w:p>
      <w:pPr>
        <w:pStyle w:val="Heading1"/>
      </w:pPr>
      <w:r>
        <w:t>30. Developer Acceptance Criteria</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Area</w:t>
            </w:r>
          </w:p>
        </w:tc>
        <w:tc>
          <w:tcPr>
            <w:tcW w:type="dxa" w:w="7056"/>
            <w:vAlign w:val="center"/>
            <w:shd w:fill="1B4363"/>
          </w:tcPr>
          <w:p>
            <w:r/>
            <w:r>
              <w:rPr>
                <w:rFonts w:ascii="Arial" w:hAnsi="Arial"/>
                <w:b/>
                <w:color w:val="FFFFFF"/>
                <w:sz w:val="16"/>
              </w:rPr>
              <w:t>Pass condition</w:t>
            </w:r>
          </w:p>
        </w:tc>
      </w:tr>
      <w:tr>
        <w:tc>
          <w:tcPr>
            <w:tcW w:type="dxa" w:w="2592"/>
            <w:vAlign w:val="center"/>
          </w:tcPr>
          <w:p>
            <w:r/>
            <w:r>
              <w:rPr>
                <w:rFonts w:ascii="Arial" w:hAnsi="Arial"/>
                <w:b w:val="0"/>
                <w:sz w:val="15"/>
              </w:rPr>
              <w:t>Privacy</w:t>
            </w:r>
          </w:p>
        </w:tc>
        <w:tc>
          <w:tcPr>
            <w:tcW w:type="dxa" w:w="7056"/>
            <w:vAlign w:val="center"/>
          </w:tcPr>
          <w:p>
            <w:r/>
            <w:r>
              <w:rPr>
                <w:rFonts w:ascii="Arial" w:hAnsi="Arial"/>
                <w:b w:val="0"/>
                <w:sz w:val="15"/>
              </w:rPr>
              <w:t>No customer list / segment membership / partner_user_id stored centrally.</w:t>
            </w:r>
          </w:p>
        </w:tc>
      </w:tr>
      <w:tr>
        <w:tc>
          <w:tcPr>
            <w:tcW w:type="dxa" w:w="2592"/>
            <w:vAlign w:val="center"/>
          </w:tcPr>
          <w:p>
            <w:r/>
            <w:r>
              <w:rPr>
                <w:rFonts w:ascii="Arial" w:hAnsi="Arial"/>
                <w:b w:val="0"/>
                <w:sz w:val="15"/>
              </w:rPr>
              <w:t>Approval</w:t>
            </w:r>
          </w:p>
        </w:tc>
        <w:tc>
          <w:tcPr>
            <w:tcW w:type="dxa" w:w="7056"/>
            <w:vAlign w:val="center"/>
          </w:tcPr>
          <w:p>
            <w:r/>
            <w:r>
              <w:rPr>
                <w:rFonts w:ascii="Arial" w:hAnsi="Arial"/>
                <w:b w:val="0"/>
                <w:sz w:val="15"/>
              </w:rPr>
              <w:t>No ad or external upload without Partner approval.</w:t>
            </w:r>
          </w:p>
        </w:tc>
      </w:tr>
      <w:tr>
        <w:tc>
          <w:tcPr>
            <w:tcW w:type="dxa" w:w="2592"/>
            <w:vAlign w:val="center"/>
          </w:tcPr>
          <w:p>
            <w:r/>
            <w:r>
              <w:rPr>
                <w:rFonts w:ascii="Arial" w:hAnsi="Arial"/>
                <w:b w:val="0"/>
                <w:sz w:val="15"/>
              </w:rPr>
              <w:t>Web serving</w:t>
            </w:r>
          </w:p>
        </w:tc>
        <w:tc>
          <w:tcPr>
            <w:tcW w:type="dxa" w:w="7056"/>
            <w:vAlign w:val="center"/>
          </w:tcPr>
          <w:p>
            <w:r/>
            <w:r>
              <w:rPr>
                <w:rFonts w:ascii="Arial" w:hAnsi="Arial"/>
                <w:b w:val="0"/>
                <w:sz w:val="15"/>
              </w:rPr>
              <w:t>Eligible user gets approved ad; ineligible user does not.</w:t>
            </w:r>
          </w:p>
        </w:tc>
      </w:tr>
      <w:tr>
        <w:tc>
          <w:tcPr>
            <w:tcW w:type="dxa" w:w="2592"/>
            <w:vAlign w:val="center"/>
          </w:tcPr>
          <w:p>
            <w:r/>
            <w:r>
              <w:rPr>
                <w:rFonts w:ascii="Arial" w:hAnsi="Arial"/>
                <w:b w:val="0"/>
                <w:sz w:val="15"/>
              </w:rPr>
              <w:t>Availability</w:t>
            </w:r>
          </w:p>
        </w:tc>
        <w:tc>
          <w:tcPr>
            <w:tcW w:type="dxa" w:w="7056"/>
            <w:vAlign w:val="center"/>
          </w:tcPr>
          <w:p>
            <w:r/>
            <w:r>
              <w:rPr>
                <w:rFonts w:ascii="Arial" w:hAnsi="Arial"/>
                <w:b w:val="0"/>
                <w:sz w:val="15"/>
              </w:rPr>
              <w:t>Agent outage does not break Partner site/app.</w:t>
            </w:r>
          </w:p>
        </w:tc>
      </w:tr>
      <w:tr>
        <w:tc>
          <w:tcPr>
            <w:tcW w:type="dxa" w:w="2592"/>
            <w:vAlign w:val="center"/>
          </w:tcPr>
          <w:p>
            <w:r/>
            <w:r>
              <w:rPr>
                <w:rFonts w:ascii="Arial" w:hAnsi="Arial"/>
                <w:b w:val="0"/>
                <w:sz w:val="15"/>
              </w:rPr>
              <w:t>Multi-partner</w:t>
            </w:r>
          </w:p>
        </w:tc>
        <w:tc>
          <w:tcPr>
            <w:tcW w:type="dxa" w:w="7056"/>
            <w:vAlign w:val="center"/>
          </w:tcPr>
          <w:p>
            <w:r/>
            <w:r>
              <w:rPr>
                <w:rFonts w:ascii="Arial" w:hAnsi="Arial"/>
                <w:b w:val="0"/>
                <w:sz w:val="15"/>
              </w:rPr>
              <w:t>One Buyer campaign can create independent activations for at least two Partners.</w:t>
            </w:r>
          </w:p>
        </w:tc>
      </w:tr>
      <w:tr>
        <w:tc>
          <w:tcPr>
            <w:tcW w:type="dxa" w:w="2592"/>
            <w:vAlign w:val="center"/>
          </w:tcPr>
          <w:p>
            <w:r/>
            <w:r>
              <w:rPr>
                <w:rFonts w:ascii="Arial" w:hAnsi="Arial"/>
                <w:b w:val="0"/>
                <w:sz w:val="15"/>
              </w:rPr>
              <w:t>Attribution</w:t>
            </w:r>
          </w:p>
        </w:tc>
        <w:tc>
          <w:tcPr>
            <w:tcW w:type="dxa" w:w="7056"/>
            <w:vAlign w:val="center"/>
          </w:tcPr>
          <w:p>
            <w:r/>
            <w:r>
              <w:rPr>
                <w:rFonts w:ascii="Arial" w:hAnsi="Arial"/>
                <w:b w:val="0"/>
                <w:sz w:val="15"/>
              </w:rPr>
              <w:t>Qualified lead can be returned using anonymous token.</w:t>
            </w:r>
          </w:p>
        </w:tc>
      </w:tr>
      <w:tr>
        <w:tc>
          <w:tcPr>
            <w:tcW w:type="dxa" w:w="2592"/>
            <w:vAlign w:val="center"/>
          </w:tcPr>
          <w:p>
            <w:r/>
            <w:r>
              <w:rPr>
                <w:rFonts w:ascii="Arial" w:hAnsi="Arial"/>
                <w:b w:val="0"/>
                <w:sz w:val="15"/>
              </w:rPr>
              <w:t>Reporting</w:t>
            </w:r>
          </w:p>
        </w:tc>
        <w:tc>
          <w:tcPr>
            <w:tcW w:type="dxa" w:w="7056"/>
            <w:vAlign w:val="center"/>
          </w:tcPr>
          <w:p>
            <w:r/>
            <w:r>
              <w:rPr>
                <w:rFonts w:ascii="Arial" w:hAnsi="Arial"/>
                <w:b w:val="0"/>
                <w:sz w:val="15"/>
              </w:rPr>
              <w:t>Partner counters reconcile with central aggregate within defined tolerance.</w:t>
            </w:r>
          </w:p>
        </w:tc>
      </w:tr>
      <w:tr>
        <w:tc>
          <w:tcPr>
            <w:tcW w:type="dxa" w:w="2592"/>
            <w:vAlign w:val="center"/>
          </w:tcPr>
          <w:p>
            <w:r/>
            <w:r>
              <w:rPr>
                <w:rFonts w:ascii="Arial" w:hAnsi="Arial"/>
                <w:b w:val="0"/>
                <w:sz w:val="15"/>
              </w:rPr>
              <w:t>Security</w:t>
            </w:r>
          </w:p>
        </w:tc>
        <w:tc>
          <w:tcPr>
            <w:tcW w:type="dxa" w:w="7056"/>
            <w:vAlign w:val="center"/>
          </w:tcPr>
          <w:p>
            <w:r/>
            <w:r>
              <w:rPr>
                <w:rFonts w:ascii="Arial" w:hAnsi="Arial"/>
                <w:b w:val="0"/>
                <w:sz w:val="15"/>
              </w:rPr>
              <w:t>Secrets are not in code/logs; manifest signature verification is enforced.</w:t>
            </w:r>
          </w:p>
        </w:tc>
      </w:tr>
      <w:tr>
        <w:tc>
          <w:tcPr>
            <w:tcW w:type="dxa" w:w="2592"/>
            <w:vAlign w:val="center"/>
          </w:tcPr>
          <w:p>
            <w:r/>
            <w:r>
              <w:rPr>
                <w:rFonts w:ascii="Arial" w:hAnsi="Arial"/>
                <w:b w:val="0"/>
                <w:sz w:val="15"/>
              </w:rPr>
              <w:t>Kill switch</w:t>
            </w:r>
          </w:p>
        </w:tc>
        <w:tc>
          <w:tcPr>
            <w:tcW w:type="dxa" w:w="7056"/>
            <w:vAlign w:val="center"/>
          </w:tcPr>
          <w:p>
            <w:r/>
            <w:r>
              <w:rPr>
                <w:rFonts w:ascii="Arial" w:hAnsi="Arial"/>
                <w:b w:val="0"/>
                <w:sz w:val="15"/>
              </w:rPr>
              <w:t>Partner can immediately stop local campaign serving.</w:t>
            </w:r>
          </w:p>
        </w:tc>
      </w:tr>
      <w:tr>
        <w:tc>
          <w:tcPr>
            <w:tcW w:type="dxa" w:w="2592"/>
            <w:vAlign w:val="center"/>
          </w:tcPr>
          <w:p>
            <w:r/>
            <w:r>
              <w:rPr>
                <w:rFonts w:ascii="Arial" w:hAnsi="Arial"/>
                <w:b w:val="0"/>
                <w:sz w:val="15"/>
              </w:rPr>
              <w:t>External channels</w:t>
            </w:r>
          </w:p>
        </w:tc>
        <w:tc>
          <w:tcPr>
            <w:tcW w:type="dxa" w:w="7056"/>
            <w:vAlign w:val="center"/>
          </w:tcPr>
          <w:p>
            <w:r/>
            <w:r>
              <w:rPr>
                <w:rFonts w:ascii="Arial" w:hAnsi="Arial"/>
                <w:b w:val="0"/>
                <w:sz w:val="15"/>
              </w:rPr>
              <w:t>Connector cannot run unless capability/eligibility state is READY.</w:t>
            </w:r>
          </w:p>
        </w:tc>
      </w:tr>
    </w:tbl>
    <w:p/>
    <w:p>
      <w:r>
        <w:br w:type="page"/>
      </w:r>
    </w:p>
    <w:p>
      <w:pPr>
        <w:pStyle w:val="Heading1"/>
      </w:pPr>
      <w:r>
        <w:t>31. Responsibility Matrix</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880"/>
            <w:vAlign w:val="center"/>
            <w:shd w:fill="1B4363"/>
          </w:tcPr>
          <w:p>
            <w:r/>
            <w:r>
              <w:rPr>
                <w:rFonts w:ascii="Arial" w:hAnsi="Arial"/>
                <w:b/>
                <w:color w:val="FFFFFF"/>
                <w:sz w:val="16"/>
              </w:rPr>
              <w:t>Responsibility</w:t>
            </w:r>
          </w:p>
        </w:tc>
        <w:tc>
          <w:tcPr>
            <w:tcW w:type="dxa" w:w="1728"/>
            <w:vAlign w:val="center"/>
            <w:shd w:fill="1B4363"/>
          </w:tcPr>
          <w:p>
            <w:r/>
            <w:r>
              <w:rPr>
                <w:rFonts w:ascii="Arial" w:hAnsi="Arial"/>
                <w:b/>
                <w:color w:val="FFFFFF"/>
                <w:sz w:val="16"/>
              </w:rPr>
              <w:t>Oolix</w:t>
            </w:r>
          </w:p>
        </w:tc>
        <w:tc>
          <w:tcPr>
            <w:tcW w:type="dxa" w:w="2304"/>
            <w:vAlign w:val="center"/>
            <w:shd w:fill="1B4363"/>
          </w:tcPr>
          <w:p>
            <w:r/>
            <w:r>
              <w:rPr>
                <w:rFonts w:ascii="Arial" w:hAnsi="Arial"/>
                <w:b/>
                <w:color w:val="FFFFFF"/>
                <w:sz w:val="16"/>
              </w:rPr>
              <w:t>Data Partner</w:t>
            </w:r>
          </w:p>
        </w:tc>
        <w:tc>
          <w:tcPr>
            <w:tcW w:type="dxa" w:w="1728"/>
            <w:vAlign w:val="center"/>
            <w:shd w:fill="1B4363"/>
          </w:tcPr>
          <w:p>
            <w:r/>
            <w:r>
              <w:rPr>
                <w:rFonts w:ascii="Arial" w:hAnsi="Arial"/>
                <w:b/>
                <w:color w:val="FFFFFF"/>
                <w:sz w:val="16"/>
              </w:rPr>
              <w:t>Buyer</w:t>
            </w:r>
          </w:p>
        </w:tc>
        <w:tc>
          <w:tcPr>
            <w:tcW w:type="dxa" w:w="1728"/>
            <w:vAlign w:val="center"/>
            <w:shd w:fill="1B4363"/>
          </w:tcPr>
          <w:p>
            <w:r/>
            <w:r>
              <w:rPr>
                <w:rFonts w:ascii="Arial" w:hAnsi="Arial"/>
                <w:b/>
                <w:color w:val="FFFFFF"/>
                <w:sz w:val="16"/>
              </w:rPr>
              <w:t>VC / Network</w:t>
            </w:r>
          </w:p>
        </w:tc>
      </w:tr>
      <w:tr>
        <w:tc>
          <w:tcPr>
            <w:tcW w:type="dxa" w:w="2880"/>
            <w:vAlign w:val="center"/>
          </w:tcPr>
          <w:p>
            <w:r/>
            <w:r>
              <w:rPr>
                <w:rFonts w:ascii="Arial" w:hAnsi="Arial"/>
                <w:b w:val="0"/>
                <w:sz w:val="15"/>
              </w:rPr>
              <w:t>Customer DB</w:t>
            </w:r>
          </w:p>
        </w:tc>
        <w:tc>
          <w:tcPr>
            <w:tcW w:type="dxa" w:w="1728"/>
            <w:vAlign w:val="center"/>
          </w:tcPr>
          <w:p>
            <w:r/>
            <w:r>
              <w:rPr>
                <w:rFonts w:ascii="Arial" w:hAnsi="Arial"/>
                <w:b w:val="0"/>
                <w:sz w:val="15"/>
              </w:rPr>
              <w:t>No access</w:t>
            </w:r>
          </w:p>
        </w:tc>
        <w:tc>
          <w:tcPr>
            <w:tcW w:type="dxa" w:w="2304"/>
            <w:vAlign w:val="center"/>
          </w:tcPr>
          <w:p>
            <w:r/>
            <w:r>
              <w:rPr>
                <w:rFonts w:ascii="Arial" w:hAnsi="Arial"/>
                <w:b w:val="0"/>
                <w:sz w:val="15"/>
              </w:rPr>
              <w:t>Owns</w:t>
            </w:r>
          </w:p>
        </w:tc>
        <w:tc>
          <w:tcPr>
            <w:tcW w:type="dxa" w:w="1728"/>
            <w:vAlign w:val="center"/>
          </w:tcPr>
          <w:p>
            <w:r/>
            <w:r>
              <w:rPr>
                <w:rFonts w:ascii="Arial" w:hAnsi="Arial"/>
                <w:b w:val="0"/>
                <w:sz w:val="15"/>
              </w:rPr>
              <w:t>No access</w:t>
            </w:r>
          </w:p>
        </w:tc>
        <w:tc>
          <w:tcPr>
            <w:tcW w:type="dxa" w:w="1728"/>
            <w:vAlign w:val="center"/>
          </w:tcPr>
          <w:p>
            <w:r/>
            <w:r>
              <w:rPr>
                <w:rFonts w:ascii="Arial" w:hAnsi="Arial"/>
                <w:b w:val="0"/>
                <w:sz w:val="15"/>
              </w:rPr>
              <w:t>No access</w:t>
            </w:r>
          </w:p>
        </w:tc>
      </w:tr>
      <w:tr>
        <w:tc>
          <w:tcPr>
            <w:tcW w:type="dxa" w:w="2880"/>
            <w:vAlign w:val="center"/>
          </w:tcPr>
          <w:p>
            <w:r/>
            <w:r>
              <w:rPr>
                <w:rFonts w:ascii="Arial" w:hAnsi="Arial"/>
                <w:b w:val="0"/>
                <w:sz w:val="15"/>
              </w:rPr>
              <w:t>Campaign UI</w:t>
            </w:r>
          </w:p>
        </w:tc>
        <w:tc>
          <w:tcPr>
            <w:tcW w:type="dxa" w:w="1728"/>
            <w:vAlign w:val="center"/>
          </w:tcPr>
          <w:p>
            <w:r/>
            <w:r>
              <w:rPr>
                <w:rFonts w:ascii="Arial" w:hAnsi="Arial"/>
                <w:b w:val="0"/>
                <w:sz w:val="15"/>
              </w:rPr>
              <w:t>Builds</w:t>
            </w:r>
          </w:p>
        </w:tc>
        <w:tc>
          <w:tcPr>
            <w:tcW w:type="dxa" w:w="2304"/>
            <w:vAlign w:val="center"/>
          </w:tcPr>
          <w:p>
            <w:r/>
            <w:r>
              <w:rPr>
                <w:rFonts w:ascii="Arial" w:hAnsi="Arial"/>
                <w:b w:val="0"/>
                <w:sz w:val="15"/>
              </w:rPr>
              <w:t>Reviews</w:t>
            </w:r>
          </w:p>
        </w:tc>
        <w:tc>
          <w:tcPr>
            <w:tcW w:type="dxa" w:w="1728"/>
            <w:vAlign w:val="center"/>
          </w:tcPr>
          <w:p>
            <w:r/>
            <w:r>
              <w:rPr>
                <w:rFonts w:ascii="Arial" w:hAnsi="Arial"/>
                <w:b w:val="0"/>
                <w:sz w:val="15"/>
              </w:rPr>
              <w:t>Creates</w:t>
            </w:r>
          </w:p>
        </w:tc>
        <w:tc>
          <w:tcPr>
            <w:tcW w:type="dxa" w:w="1728"/>
            <w:vAlign w:val="center"/>
          </w:tcPr>
          <w:p>
            <w:r/>
            <w:r>
              <w:rPr>
                <w:rFonts w:ascii="Arial" w:hAnsi="Arial"/>
                <w:b w:val="0"/>
                <w:sz w:val="15"/>
              </w:rPr>
              <w:t>Aggregate view</w:t>
            </w:r>
          </w:p>
        </w:tc>
      </w:tr>
      <w:tr>
        <w:tc>
          <w:tcPr>
            <w:tcW w:type="dxa" w:w="2880"/>
            <w:vAlign w:val="center"/>
          </w:tcPr>
          <w:p>
            <w:r/>
            <w:r>
              <w:rPr>
                <w:rFonts w:ascii="Arial" w:hAnsi="Arial"/>
                <w:b w:val="0"/>
                <w:sz w:val="15"/>
              </w:rPr>
              <w:t>Segment membership</w:t>
            </w:r>
          </w:p>
        </w:tc>
        <w:tc>
          <w:tcPr>
            <w:tcW w:type="dxa" w:w="1728"/>
            <w:vAlign w:val="center"/>
          </w:tcPr>
          <w:p>
            <w:r/>
            <w:r>
              <w:rPr>
                <w:rFonts w:ascii="Arial" w:hAnsi="Arial"/>
                <w:b w:val="0"/>
                <w:sz w:val="15"/>
              </w:rPr>
              <w:t>No central copy</w:t>
            </w:r>
          </w:p>
        </w:tc>
        <w:tc>
          <w:tcPr>
            <w:tcW w:type="dxa" w:w="2304"/>
            <w:vAlign w:val="center"/>
          </w:tcPr>
          <w:p>
            <w:r/>
            <w:r>
              <w:rPr>
                <w:rFonts w:ascii="Arial" w:hAnsi="Arial"/>
                <w:b w:val="0"/>
                <w:sz w:val="15"/>
              </w:rPr>
              <w:t>Creates/controls</w:t>
            </w:r>
          </w:p>
        </w:tc>
        <w:tc>
          <w:tcPr>
            <w:tcW w:type="dxa" w:w="1728"/>
            <w:vAlign w:val="center"/>
          </w:tcPr>
          <w:p>
            <w:r/>
            <w:r>
              <w:rPr>
                <w:rFonts w:ascii="Arial" w:hAnsi="Arial"/>
                <w:b w:val="0"/>
                <w:sz w:val="15"/>
              </w:rPr>
              <w:t>Cannot see users</w:t>
            </w:r>
          </w:p>
        </w:tc>
        <w:tc>
          <w:tcPr>
            <w:tcW w:type="dxa" w:w="1728"/>
            <w:vAlign w:val="center"/>
          </w:tcPr>
          <w:p>
            <w:r/>
            <w:r>
              <w:rPr>
                <w:rFonts w:ascii="Arial" w:hAnsi="Arial"/>
                <w:b w:val="0"/>
                <w:sz w:val="15"/>
              </w:rPr>
              <w:t>Cannot see users</w:t>
            </w:r>
          </w:p>
        </w:tc>
      </w:tr>
      <w:tr>
        <w:tc>
          <w:tcPr>
            <w:tcW w:type="dxa" w:w="2880"/>
            <w:vAlign w:val="center"/>
          </w:tcPr>
          <w:p>
            <w:r/>
            <w:r>
              <w:rPr>
                <w:rFonts w:ascii="Arial" w:hAnsi="Arial"/>
                <w:b w:val="0"/>
                <w:sz w:val="15"/>
              </w:rPr>
              <w:t>Partner Agent</w:t>
            </w:r>
          </w:p>
        </w:tc>
        <w:tc>
          <w:tcPr>
            <w:tcW w:type="dxa" w:w="1728"/>
            <w:vAlign w:val="center"/>
          </w:tcPr>
          <w:p>
            <w:r/>
            <w:r>
              <w:rPr>
                <w:rFonts w:ascii="Arial" w:hAnsi="Arial"/>
                <w:b w:val="0"/>
                <w:sz w:val="15"/>
              </w:rPr>
              <w:t>Build/support</w:t>
            </w:r>
          </w:p>
        </w:tc>
        <w:tc>
          <w:tcPr>
            <w:tcW w:type="dxa" w:w="2304"/>
            <w:vAlign w:val="center"/>
          </w:tcPr>
          <w:p>
            <w:r/>
            <w:r>
              <w:rPr>
                <w:rFonts w:ascii="Arial" w:hAnsi="Arial"/>
                <w:b w:val="0"/>
                <w:sz w:val="15"/>
              </w:rPr>
              <w:t>Deploy/configure</w:t>
            </w:r>
          </w:p>
        </w:tc>
        <w:tc>
          <w:tcPr>
            <w:tcW w:type="dxa" w:w="1728"/>
            <w:vAlign w:val="center"/>
          </w:tcPr>
          <w:p>
            <w:r/>
            <w:r>
              <w:rPr>
                <w:rFonts w:ascii="Arial" w:hAnsi="Arial"/>
                <w:b w:val="0"/>
                <w:sz w:val="15"/>
              </w:rPr>
              <w:t>-</w:t>
            </w:r>
          </w:p>
        </w:tc>
        <w:tc>
          <w:tcPr>
            <w:tcW w:type="dxa" w:w="1728"/>
            <w:vAlign w:val="center"/>
          </w:tcPr>
          <w:p>
            <w:r/>
            <w:r>
              <w:rPr>
                <w:rFonts w:ascii="Arial" w:hAnsi="Arial"/>
                <w:b w:val="0"/>
                <w:sz w:val="15"/>
              </w:rPr>
              <w:t>-</w:t>
            </w:r>
          </w:p>
        </w:tc>
      </w:tr>
      <w:tr>
        <w:tc>
          <w:tcPr>
            <w:tcW w:type="dxa" w:w="2880"/>
            <w:vAlign w:val="center"/>
          </w:tcPr>
          <w:p>
            <w:r/>
            <w:r>
              <w:rPr>
                <w:rFonts w:ascii="Arial" w:hAnsi="Arial"/>
                <w:b w:val="0"/>
                <w:sz w:val="15"/>
              </w:rPr>
              <w:t>Ad placements</w:t>
            </w:r>
          </w:p>
        </w:tc>
        <w:tc>
          <w:tcPr>
            <w:tcW w:type="dxa" w:w="1728"/>
            <w:vAlign w:val="center"/>
          </w:tcPr>
          <w:p>
            <w:r/>
            <w:r>
              <w:rPr>
                <w:rFonts w:ascii="Arial" w:hAnsi="Arial"/>
                <w:b w:val="0"/>
                <w:sz w:val="15"/>
              </w:rPr>
              <w:t>Provides SDK</w:t>
            </w:r>
          </w:p>
        </w:tc>
        <w:tc>
          <w:tcPr>
            <w:tcW w:type="dxa" w:w="2304"/>
            <w:vAlign w:val="center"/>
          </w:tcPr>
          <w:p>
            <w:r/>
            <w:r>
              <w:rPr>
                <w:rFonts w:ascii="Arial" w:hAnsi="Arial"/>
                <w:b w:val="0"/>
                <w:sz w:val="15"/>
              </w:rPr>
              <w:t>Chooses/integrates</w:t>
            </w:r>
          </w:p>
        </w:tc>
        <w:tc>
          <w:tcPr>
            <w:tcW w:type="dxa" w:w="1728"/>
            <w:vAlign w:val="center"/>
          </w:tcPr>
          <w:p>
            <w:r/>
            <w:r>
              <w:rPr>
                <w:rFonts w:ascii="Arial" w:hAnsi="Arial"/>
                <w:b w:val="0"/>
                <w:sz w:val="15"/>
              </w:rPr>
              <w:t>-</w:t>
            </w:r>
          </w:p>
        </w:tc>
        <w:tc>
          <w:tcPr>
            <w:tcW w:type="dxa" w:w="1728"/>
            <w:vAlign w:val="center"/>
          </w:tcPr>
          <w:p>
            <w:r/>
            <w:r>
              <w:rPr>
                <w:rFonts w:ascii="Arial" w:hAnsi="Arial"/>
                <w:b w:val="0"/>
                <w:sz w:val="15"/>
              </w:rPr>
              <w:t>-</w:t>
            </w:r>
          </w:p>
        </w:tc>
      </w:tr>
      <w:tr>
        <w:tc>
          <w:tcPr>
            <w:tcW w:type="dxa" w:w="2880"/>
            <w:vAlign w:val="center"/>
          </w:tcPr>
          <w:p>
            <w:r/>
            <w:r>
              <w:rPr>
                <w:rFonts w:ascii="Arial" w:hAnsi="Arial"/>
                <w:b w:val="0"/>
                <w:sz w:val="15"/>
              </w:rPr>
              <w:t>Creative</w:t>
            </w:r>
          </w:p>
        </w:tc>
        <w:tc>
          <w:tcPr>
            <w:tcW w:type="dxa" w:w="1728"/>
            <w:vAlign w:val="center"/>
          </w:tcPr>
          <w:p>
            <w:r/>
            <w:r>
              <w:rPr>
                <w:rFonts w:ascii="Arial" w:hAnsi="Arial"/>
                <w:b w:val="0"/>
                <w:sz w:val="15"/>
              </w:rPr>
              <w:t>Stores/workflow</w:t>
            </w:r>
          </w:p>
        </w:tc>
        <w:tc>
          <w:tcPr>
            <w:tcW w:type="dxa" w:w="2304"/>
            <w:vAlign w:val="center"/>
          </w:tcPr>
          <w:p>
            <w:r/>
            <w:r>
              <w:rPr>
                <w:rFonts w:ascii="Arial" w:hAnsi="Arial"/>
                <w:b w:val="0"/>
                <w:sz w:val="15"/>
              </w:rPr>
              <w:t>Approves</w:t>
            </w:r>
          </w:p>
        </w:tc>
        <w:tc>
          <w:tcPr>
            <w:tcW w:type="dxa" w:w="1728"/>
            <w:vAlign w:val="center"/>
          </w:tcPr>
          <w:p>
            <w:r/>
            <w:r>
              <w:rPr>
                <w:rFonts w:ascii="Arial" w:hAnsi="Arial"/>
                <w:b w:val="0"/>
                <w:sz w:val="15"/>
              </w:rPr>
              <w:t>Provides</w:t>
            </w:r>
          </w:p>
        </w:tc>
        <w:tc>
          <w:tcPr>
            <w:tcW w:type="dxa" w:w="1728"/>
            <w:vAlign w:val="center"/>
          </w:tcPr>
          <w:p>
            <w:r/>
            <w:r>
              <w:rPr>
                <w:rFonts w:ascii="Arial" w:hAnsi="Arial"/>
                <w:b w:val="0"/>
                <w:sz w:val="15"/>
              </w:rPr>
              <w:t>-</w:t>
            </w:r>
          </w:p>
        </w:tc>
      </w:tr>
      <w:tr>
        <w:tc>
          <w:tcPr>
            <w:tcW w:type="dxa" w:w="2880"/>
            <w:vAlign w:val="center"/>
          </w:tcPr>
          <w:p>
            <w:r/>
            <w:r>
              <w:rPr>
                <w:rFonts w:ascii="Arial" w:hAnsi="Arial"/>
                <w:b w:val="0"/>
                <w:sz w:val="15"/>
              </w:rPr>
              <w:t>Campaign approval</w:t>
            </w:r>
          </w:p>
        </w:tc>
        <w:tc>
          <w:tcPr>
            <w:tcW w:type="dxa" w:w="1728"/>
            <w:vAlign w:val="center"/>
          </w:tcPr>
          <w:p>
            <w:r/>
            <w:r>
              <w:rPr>
                <w:rFonts w:ascii="Arial" w:hAnsi="Arial"/>
                <w:b w:val="0"/>
                <w:sz w:val="15"/>
              </w:rPr>
              <w:t>Workflow</w:t>
            </w:r>
          </w:p>
        </w:tc>
        <w:tc>
          <w:tcPr>
            <w:tcW w:type="dxa" w:w="2304"/>
            <w:vAlign w:val="center"/>
          </w:tcPr>
          <w:p>
            <w:r/>
            <w:r>
              <w:rPr>
                <w:rFonts w:ascii="Arial" w:hAnsi="Arial"/>
                <w:b w:val="0"/>
                <w:sz w:val="15"/>
              </w:rPr>
              <w:t>Final decision</w:t>
            </w:r>
          </w:p>
        </w:tc>
        <w:tc>
          <w:tcPr>
            <w:tcW w:type="dxa" w:w="1728"/>
            <w:vAlign w:val="center"/>
          </w:tcPr>
          <w:p>
            <w:r/>
            <w:r>
              <w:rPr>
                <w:rFonts w:ascii="Arial" w:hAnsi="Arial"/>
                <w:b w:val="0"/>
                <w:sz w:val="15"/>
              </w:rPr>
              <w:t>Requests</w:t>
            </w:r>
          </w:p>
        </w:tc>
        <w:tc>
          <w:tcPr>
            <w:tcW w:type="dxa" w:w="1728"/>
            <w:vAlign w:val="center"/>
          </w:tcPr>
          <w:p>
            <w:r/>
            <w:r>
              <w:rPr>
                <w:rFonts w:ascii="Arial" w:hAnsi="Arial"/>
                <w:b w:val="0"/>
                <w:sz w:val="15"/>
              </w:rPr>
              <w:t>Cannot override</w:t>
            </w:r>
          </w:p>
        </w:tc>
      </w:tr>
      <w:tr>
        <w:tc>
          <w:tcPr>
            <w:tcW w:type="dxa" w:w="2880"/>
            <w:vAlign w:val="center"/>
          </w:tcPr>
          <w:p>
            <w:r/>
            <w:r>
              <w:rPr>
                <w:rFonts w:ascii="Arial" w:hAnsi="Arial"/>
                <w:b w:val="0"/>
                <w:sz w:val="15"/>
              </w:rPr>
              <w:t>Owned-media decision</w:t>
            </w:r>
          </w:p>
        </w:tc>
        <w:tc>
          <w:tcPr>
            <w:tcW w:type="dxa" w:w="1728"/>
            <w:vAlign w:val="center"/>
          </w:tcPr>
          <w:p>
            <w:r/>
            <w:r>
              <w:rPr>
                <w:rFonts w:ascii="Arial" w:hAnsi="Arial"/>
                <w:b w:val="0"/>
                <w:sz w:val="15"/>
              </w:rPr>
              <w:t>Agent code</w:t>
            </w:r>
          </w:p>
        </w:tc>
        <w:tc>
          <w:tcPr>
            <w:tcW w:type="dxa" w:w="2304"/>
            <w:vAlign w:val="center"/>
          </w:tcPr>
          <w:p>
            <w:r/>
            <w:r>
              <w:rPr>
                <w:rFonts w:ascii="Arial" w:hAnsi="Arial"/>
                <w:b w:val="0"/>
                <w:sz w:val="15"/>
              </w:rPr>
              <w:t>Hosts + local data</w:t>
            </w:r>
          </w:p>
        </w:tc>
        <w:tc>
          <w:tcPr>
            <w:tcW w:type="dxa" w:w="1728"/>
            <w:vAlign w:val="center"/>
          </w:tcPr>
          <w:p>
            <w:r/>
            <w:r>
              <w:rPr>
                <w:rFonts w:ascii="Arial" w:hAnsi="Arial"/>
                <w:b w:val="0"/>
                <w:sz w:val="15"/>
              </w:rPr>
              <w:t>-</w:t>
            </w:r>
          </w:p>
        </w:tc>
        <w:tc>
          <w:tcPr>
            <w:tcW w:type="dxa" w:w="1728"/>
            <w:vAlign w:val="center"/>
          </w:tcPr>
          <w:p>
            <w:r/>
            <w:r>
              <w:rPr>
                <w:rFonts w:ascii="Arial" w:hAnsi="Arial"/>
                <w:b w:val="0"/>
                <w:sz w:val="15"/>
              </w:rPr>
              <w:t>-</w:t>
            </w:r>
          </w:p>
        </w:tc>
      </w:tr>
      <w:tr>
        <w:tc>
          <w:tcPr>
            <w:tcW w:type="dxa" w:w="2880"/>
            <w:vAlign w:val="center"/>
          </w:tcPr>
          <w:p>
            <w:r/>
            <w:r>
              <w:rPr>
                <w:rFonts w:ascii="Arial" w:hAnsi="Arial"/>
                <w:b w:val="0"/>
                <w:sz w:val="15"/>
              </w:rPr>
              <w:t>External channel account</w:t>
            </w:r>
          </w:p>
        </w:tc>
        <w:tc>
          <w:tcPr>
            <w:tcW w:type="dxa" w:w="1728"/>
            <w:vAlign w:val="center"/>
          </w:tcPr>
          <w:p>
            <w:r/>
            <w:r>
              <w:rPr>
                <w:rFonts w:ascii="Arial" w:hAnsi="Arial"/>
                <w:b w:val="0"/>
                <w:sz w:val="15"/>
              </w:rPr>
              <w:t>Orchestrates metadata</w:t>
            </w:r>
          </w:p>
        </w:tc>
        <w:tc>
          <w:tcPr>
            <w:tcW w:type="dxa" w:w="2304"/>
            <w:vAlign w:val="center"/>
          </w:tcPr>
          <w:p>
            <w:r/>
            <w:r>
              <w:rPr>
                <w:rFonts w:ascii="Arial" w:hAnsi="Arial"/>
                <w:b w:val="0"/>
                <w:sz w:val="15"/>
              </w:rPr>
              <w:t>Owns/authorizes selected relationship</w:t>
            </w:r>
          </w:p>
        </w:tc>
        <w:tc>
          <w:tcPr>
            <w:tcW w:type="dxa" w:w="1728"/>
            <w:vAlign w:val="center"/>
          </w:tcPr>
          <w:p>
            <w:r/>
            <w:r>
              <w:rPr>
                <w:rFonts w:ascii="Arial" w:hAnsi="Arial"/>
                <w:b w:val="0"/>
                <w:sz w:val="15"/>
              </w:rPr>
              <w:t>May provide identity/assets where required</w:t>
            </w:r>
          </w:p>
        </w:tc>
        <w:tc>
          <w:tcPr>
            <w:tcW w:type="dxa" w:w="1728"/>
            <w:vAlign w:val="center"/>
          </w:tcPr>
          <w:p>
            <w:r/>
            <w:r>
              <w:rPr>
                <w:rFonts w:ascii="Arial" w:hAnsi="Arial"/>
                <w:b w:val="0"/>
                <w:sz w:val="15"/>
              </w:rPr>
              <w:t>-</w:t>
            </w:r>
          </w:p>
        </w:tc>
      </w:tr>
      <w:tr>
        <w:tc>
          <w:tcPr>
            <w:tcW w:type="dxa" w:w="2880"/>
            <w:vAlign w:val="center"/>
          </w:tcPr>
          <w:p>
            <w:r/>
            <w:r>
              <w:rPr>
                <w:rFonts w:ascii="Arial" w:hAnsi="Arial"/>
                <w:b w:val="0"/>
                <w:sz w:val="15"/>
              </w:rPr>
              <w:t>Lead outcome</w:t>
            </w:r>
          </w:p>
        </w:tc>
        <w:tc>
          <w:tcPr>
            <w:tcW w:type="dxa" w:w="1728"/>
            <w:vAlign w:val="center"/>
          </w:tcPr>
          <w:p>
            <w:r/>
            <w:r>
              <w:rPr>
                <w:rFonts w:ascii="Arial" w:hAnsi="Arial"/>
                <w:b w:val="0"/>
                <w:sz w:val="15"/>
              </w:rPr>
              <w:t>Attribution API</w:t>
            </w:r>
          </w:p>
        </w:tc>
        <w:tc>
          <w:tcPr>
            <w:tcW w:type="dxa" w:w="2304"/>
            <w:vAlign w:val="center"/>
          </w:tcPr>
          <w:p>
            <w:r/>
            <w:r>
              <w:rPr>
                <w:rFonts w:ascii="Arial" w:hAnsi="Arial"/>
                <w:b w:val="0"/>
                <w:sz w:val="15"/>
              </w:rPr>
              <w:t>Optional consent handoff</w:t>
            </w:r>
          </w:p>
        </w:tc>
        <w:tc>
          <w:tcPr>
            <w:tcW w:type="dxa" w:w="1728"/>
            <w:vAlign w:val="center"/>
          </w:tcPr>
          <w:p>
            <w:r/>
            <w:r>
              <w:rPr>
                <w:rFonts w:ascii="Arial" w:hAnsi="Arial"/>
                <w:b w:val="0"/>
                <w:sz w:val="15"/>
              </w:rPr>
              <w:t>CRM feedback</w:t>
            </w:r>
          </w:p>
        </w:tc>
        <w:tc>
          <w:tcPr>
            <w:tcW w:type="dxa" w:w="1728"/>
            <w:vAlign w:val="center"/>
          </w:tcPr>
          <w:p>
            <w:r/>
            <w:r>
              <w:rPr>
                <w:rFonts w:ascii="Arial" w:hAnsi="Arial"/>
                <w:b w:val="0"/>
                <w:sz w:val="15"/>
              </w:rPr>
              <w:t>Aggregate only</w:t>
            </w:r>
          </w:p>
        </w:tc>
      </w:tr>
      <w:tr>
        <w:tc>
          <w:tcPr>
            <w:tcW w:type="dxa" w:w="2880"/>
            <w:vAlign w:val="center"/>
          </w:tcPr>
          <w:p>
            <w:r/>
            <w:r>
              <w:rPr>
                <w:rFonts w:ascii="Arial" w:hAnsi="Arial"/>
                <w:b w:val="0"/>
                <w:sz w:val="15"/>
              </w:rPr>
              <w:t>Settlement</w:t>
            </w:r>
          </w:p>
        </w:tc>
        <w:tc>
          <w:tcPr>
            <w:tcW w:type="dxa" w:w="1728"/>
            <w:vAlign w:val="center"/>
          </w:tcPr>
          <w:p>
            <w:r/>
            <w:r>
              <w:rPr>
                <w:rFonts w:ascii="Arial" w:hAnsi="Arial"/>
                <w:b w:val="0"/>
                <w:sz w:val="15"/>
              </w:rPr>
              <w:t>Calculates</w:t>
            </w:r>
          </w:p>
        </w:tc>
        <w:tc>
          <w:tcPr>
            <w:tcW w:type="dxa" w:w="2304"/>
            <w:vAlign w:val="center"/>
          </w:tcPr>
          <w:p>
            <w:r/>
            <w:r>
              <w:rPr>
                <w:rFonts w:ascii="Arial" w:hAnsi="Arial"/>
                <w:b w:val="0"/>
                <w:sz w:val="15"/>
              </w:rPr>
              <w:t>Receives</w:t>
            </w:r>
          </w:p>
        </w:tc>
        <w:tc>
          <w:tcPr>
            <w:tcW w:type="dxa" w:w="1728"/>
            <w:vAlign w:val="center"/>
          </w:tcPr>
          <w:p>
            <w:r/>
            <w:r>
              <w:rPr>
                <w:rFonts w:ascii="Arial" w:hAnsi="Arial"/>
                <w:b w:val="0"/>
                <w:sz w:val="15"/>
              </w:rPr>
              <w:t>Pays</w:t>
            </w:r>
          </w:p>
        </w:tc>
        <w:tc>
          <w:tcPr>
            <w:tcW w:type="dxa" w:w="1728"/>
            <w:vAlign w:val="center"/>
          </w:tcPr>
          <w:p>
            <w:r/>
            <w:r>
              <w:rPr>
                <w:rFonts w:ascii="Arial" w:hAnsi="Arial"/>
                <w:b w:val="0"/>
                <w:sz w:val="15"/>
              </w:rPr>
              <w:t>Optional commercial share</w:t>
            </w:r>
          </w:p>
        </w:tc>
      </w:tr>
    </w:tbl>
    <w:p/>
    <w:p>
      <w:r>
        <w:br w:type="page"/>
      </w:r>
    </w:p>
    <w:p>
      <w:pPr>
        <w:pStyle w:val="Heading1"/>
      </w:pPr>
      <w:r>
        <w:t>32. Known Policy / Product Risks</w:t>
      </w:r>
    </w:p>
    <w:tbl>
      <w:tblPr>
        <w:tblStyle w:val="TableGrid"/>
        <w:tblW w:type="auto" w:w="0"/>
        <w:jc w:val="center"/>
        <w:tblLook w:firstColumn="1" w:firstRow="1" w:lastColumn="0" w:lastRow="0" w:noHBand="0" w:noVBand="1" w:val="04A0"/>
      </w:tblPr>
      <w:tblGrid>
        <w:gridCol w:w="5227"/>
        <w:gridCol w:w="5227"/>
      </w:tblGrid>
      <w:tr>
        <w:tc>
          <w:tcPr>
            <w:tcW w:type="dxa" w:w="3744"/>
            <w:vAlign w:val="center"/>
            <w:shd w:fill="1B4363"/>
          </w:tcPr>
          <w:p>
            <w:r/>
            <w:r>
              <w:rPr>
                <w:rFonts w:ascii="Arial" w:hAnsi="Arial"/>
                <w:b/>
                <w:color w:val="FFFFFF"/>
                <w:sz w:val="16"/>
              </w:rPr>
              <w:t>Risk</w:t>
            </w:r>
          </w:p>
        </w:tc>
        <w:tc>
          <w:tcPr>
            <w:tcW w:type="dxa" w:w="6048"/>
            <w:vAlign w:val="center"/>
            <w:shd w:fill="1B4363"/>
          </w:tcPr>
          <w:p>
            <w:r/>
            <w:r>
              <w:rPr>
                <w:rFonts w:ascii="Arial" w:hAnsi="Arial"/>
                <w:b/>
                <w:color w:val="FFFFFF"/>
                <w:sz w:val="16"/>
              </w:rPr>
              <w:t>Build response</w:t>
            </w:r>
          </w:p>
        </w:tc>
      </w:tr>
      <w:tr>
        <w:tc>
          <w:tcPr>
            <w:tcW w:type="dxa" w:w="3744"/>
            <w:vAlign w:val="center"/>
          </w:tcPr>
          <w:p>
            <w:r/>
            <w:r>
              <w:rPr>
                <w:rFonts w:ascii="Arial" w:hAnsi="Arial"/>
                <w:b w:val="0"/>
                <w:sz w:val="15"/>
              </w:rPr>
              <w:t>Google Customer Match not eligible for a Partner/Buyer relationship</w:t>
            </w:r>
          </w:p>
        </w:tc>
        <w:tc>
          <w:tcPr>
            <w:tcW w:type="dxa" w:w="6048"/>
            <w:vAlign w:val="center"/>
          </w:tcPr>
          <w:p>
            <w:r/>
            <w:r>
              <w:rPr>
                <w:rFonts w:ascii="Arial" w:hAnsi="Arial"/>
                <w:b w:val="0"/>
                <w:sz w:val="15"/>
              </w:rPr>
              <w:t>Eligibility engine; do not show Google as selectable; fall back to owned media.</w:t>
            </w:r>
          </w:p>
        </w:tc>
      </w:tr>
      <w:tr>
        <w:tc>
          <w:tcPr>
            <w:tcW w:type="dxa" w:w="3744"/>
            <w:vAlign w:val="center"/>
          </w:tcPr>
          <w:p>
            <w:r/>
            <w:r>
              <w:rPr>
                <w:rFonts w:ascii="Arial" w:hAnsi="Arial"/>
                <w:b w:val="0"/>
                <w:sz w:val="15"/>
              </w:rPr>
              <w:t>Meta account/asset permission not sufficient</w:t>
            </w:r>
          </w:p>
        </w:tc>
        <w:tc>
          <w:tcPr>
            <w:tcW w:type="dxa" w:w="6048"/>
            <w:vAlign w:val="center"/>
          </w:tcPr>
          <w:p>
            <w:r/>
            <w:r>
              <w:rPr>
                <w:rFonts w:ascii="Arial" w:hAnsi="Arial"/>
                <w:b w:val="0"/>
                <w:sz w:val="15"/>
              </w:rPr>
              <w:t>Connection capability flags; block campaign until exact permissions exist.</w:t>
            </w:r>
          </w:p>
        </w:tc>
      </w:tr>
      <w:tr>
        <w:tc>
          <w:tcPr>
            <w:tcW w:type="dxa" w:w="3744"/>
            <w:vAlign w:val="center"/>
          </w:tcPr>
          <w:p>
            <w:r/>
            <w:r>
              <w:rPr>
                <w:rFonts w:ascii="Arial" w:hAnsi="Arial"/>
                <w:b w:val="0"/>
                <w:sz w:val="15"/>
              </w:rPr>
              <w:t>Data Partner refuses custom DB work</w:t>
            </w:r>
          </w:p>
        </w:tc>
        <w:tc>
          <w:tcPr>
            <w:tcW w:type="dxa" w:w="6048"/>
            <w:vAlign w:val="center"/>
          </w:tcPr>
          <w:p>
            <w:r/>
            <w:r>
              <w:rPr>
                <w:rFonts w:ascii="Arial" w:hAnsi="Arial"/>
                <w:b w:val="0"/>
                <w:sz w:val="15"/>
              </w:rPr>
              <w:t>Connector choices; no custom API requirement.</w:t>
            </w:r>
          </w:p>
        </w:tc>
      </w:tr>
      <w:tr>
        <w:tc>
          <w:tcPr>
            <w:tcW w:type="dxa" w:w="3744"/>
            <w:vAlign w:val="center"/>
          </w:tcPr>
          <w:p>
            <w:r/>
            <w:r>
              <w:rPr>
                <w:rFonts w:ascii="Arial" w:hAnsi="Arial"/>
                <w:b w:val="0"/>
                <w:sz w:val="15"/>
              </w:rPr>
              <w:t>Data Partner refuses new ad server</w:t>
            </w:r>
          </w:p>
        </w:tc>
        <w:tc>
          <w:tcPr>
            <w:tcW w:type="dxa" w:w="6048"/>
            <w:vAlign w:val="center"/>
          </w:tcPr>
          <w:p>
            <w:r/>
            <w:r>
              <w:rPr>
                <w:rFonts w:ascii="Arial" w:hAnsi="Arial"/>
                <w:b w:val="0"/>
                <w:sz w:val="15"/>
              </w:rPr>
              <w:t>Adapter to existing ad server later; Agent can orchestrate rather than replace.</w:t>
            </w:r>
          </w:p>
        </w:tc>
      </w:tr>
      <w:tr>
        <w:tc>
          <w:tcPr>
            <w:tcW w:type="dxa" w:w="3744"/>
            <w:vAlign w:val="center"/>
          </w:tcPr>
          <w:p>
            <w:r/>
            <w:r>
              <w:rPr>
                <w:rFonts w:ascii="Arial" w:hAnsi="Arial"/>
                <w:b w:val="0"/>
                <w:sz w:val="15"/>
              </w:rPr>
              <w:t>Segment stale / poor quality</w:t>
            </w:r>
          </w:p>
        </w:tc>
        <w:tc>
          <w:tcPr>
            <w:tcW w:type="dxa" w:w="6048"/>
            <w:vAlign w:val="center"/>
          </w:tcPr>
          <w:p>
            <w:r/>
            <w:r>
              <w:rPr>
                <w:rFonts w:ascii="Arial" w:hAnsi="Arial"/>
                <w:b w:val="0"/>
                <w:sz w:val="15"/>
              </w:rPr>
              <w:t>Freshness metadata + pilot + CRM quality feedback + outcome payout.</w:t>
            </w:r>
          </w:p>
        </w:tc>
      </w:tr>
      <w:tr>
        <w:tc>
          <w:tcPr>
            <w:tcW w:type="dxa" w:w="3744"/>
            <w:vAlign w:val="center"/>
          </w:tcPr>
          <w:p>
            <w:r/>
            <w:r>
              <w:rPr>
                <w:rFonts w:ascii="Arial" w:hAnsi="Arial"/>
                <w:b w:val="0"/>
                <w:sz w:val="15"/>
              </w:rPr>
              <w:t>External platform changes API/policy</w:t>
            </w:r>
          </w:p>
        </w:tc>
        <w:tc>
          <w:tcPr>
            <w:tcW w:type="dxa" w:w="6048"/>
            <w:vAlign w:val="center"/>
          </w:tcPr>
          <w:p>
            <w:r/>
            <w:r>
              <w:rPr>
                <w:rFonts w:ascii="Arial" w:hAnsi="Arial"/>
                <w:b w:val="0"/>
                <w:sz w:val="15"/>
              </w:rPr>
              <w:t>Adapters behind interface; owned-media core remains independent.</w:t>
            </w:r>
          </w:p>
        </w:tc>
      </w:tr>
      <w:tr>
        <w:tc>
          <w:tcPr>
            <w:tcW w:type="dxa" w:w="3744"/>
            <w:vAlign w:val="center"/>
          </w:tcPr>
          <w:p>
            <w:r/>
            <w:r>
              <w:rPr>
                <w:rFonts w:ascii="Arial" w:hAnsi="Arial"/>
                <w:b w:val="0"/>
                <w:sz w:val="15"/>
              </w:rPr>
              <w:t>User overlap across Partners</w:t>
            </w:r>
          </w:p>
        </w:tc>
        <w:tc>
          <w:tcPr>
            <w:tcW w:type="dxa" w:w="6048"/>
            <w:vAlign w:val="center"/>
          </w:tcPr>
          <w:p>
            <w:r/>
            <w:r>
              <w:rPr>
                <w:rFonts w:ascii="Arial" w:hAnsi="Arial"/>
                <w:b w:val="0"/>
                <w:sz w:val="15"/>
              </w:rPr>
              <w:t>Accept in MVP; advanced TEE/clean-room later.</w:t>
            </w:r>
          </w:p>
        </w:tc>
      </w:tr>
      <w:tr>
        <w:tc>
          <w:tcPr>
            <w:tcW w:type="dxa" w:w="3744"/>
            <w:vAlign w:val="center"/>
          </w:tcPr>
          <w:p>
            <w:r/>
            <w:r>
              <w:rPr>
                <w:rFonts w:ascii="Arial" w:hAnsi="Arial"/>
                <w:b w:val="0"/>
                <w:sz w:val="15"/>
              </w:rPr>
              <w:t>High partner engineering burden</w:t>
            </w:r>
          </w:p>
        </w:tc>
        <w:tc>
          <w:tcPr>
            <w:tcW w:type="dxa" w:w="6048"/>
            <w:vAlign w:val="center"/>
          </w:tcPr>
          <w:p>
            <w:r/>
            <w:r>
              <w:rPr>
                <w:rFonts w:ascii="Arial" w:hAnsi="Arial"/>
                <w:b w:val="0"/>
                <w:sz w:val="15"/>
              </w:rPr>
              <w:t>One Agent, one data connection, one placement first.</w:t>
            </w:r>
          </w:p>
        </w:tc>
      </w:tr>
      <w:tr>
        <w:tc>
          <w:tcPr>
            <w:tcW w:type="dxa" w:w="3744"/>
            <w:vAlign w:val="center"/>
          </w:tcPr>
          <w:p>
            <w:r/>
            <w:r>
              <w:rPr>
                <w:rFonts w:ascii="Arial" w:hAnsi="Arial"/>
                <w:b w:val="0"/>
                <w:sz w:val="15"/>
              </w:rPr>
              <w:t>Ad latency damages UX</w:t>
            </w:r>
          </w:p>
        </w:tc>
        <w:tc>
          <w:tcPr>
            <w:tcW w:type="dxa" w:w="6048"/>
            <w:vAlign w:val="center"/>
          </w:tcPr>
          <w:p>
            <w:r/>
            <w:r>
              <w:rPr>
                <w:rFonts w:ascii="Arial" w:hAnsi="Arial"/>
                <w:b w:val="0"/>
                <w:sz w:val="15"/>
              </w:rPr>
              <w:t>Local execution + pre-computed segment + timeout/circuit breaker.</w:t>
            </w:r>
          </w:p>
        </w:tc>
      </w:tr>
      <w:tr>
        <w:tc>
          <w:tcPr>
            <w:tcW w:type="dxa" w:w="3744"/>
            <w:vAlign w:val="center"/>
          </w:tcPr>
          <w:p>
            <w:r/>
            <w:r>
              <w:rPr>
                <w:rFonts w:ascii="Arial" w:hAnsi="Arial"/>
                <w:b w:val="0"/>
                <w:sz w:val="15"/>
              </w:rPr>
              <w:t>Overclaiming privacy</w:t>
            </w:r>
          </w:p>
        </w:tc>
        <w:tc>
          <w:tcPr>
            <w:tcW w:type="dxa" w:w="6048"/>
            <w:vAlign w:val="center"/>
          </w:tcPr>
          <w:p>
            <w:r/>
            <w:r>
              <w:rPr>
                <w:rFonts w:ascii="Arial" w:hAnsi="Arial"/>
                <w:b w:val="0"/>
                <w:sz w:val="15"/>
              </w:rPr>
              <w:t>State clearly: owned media keeps user-level data local; Meta/Google receive approved matching data when those channels are used.</w:t>
            </w:r>
          </w:p>
        </w:tc>
      </w:tr>
    </w:tbl>
    <w:p/>
    <w:p>
      <w:r>
        <w:br w:type="page"/>
      </w:r>
    </w:p>
    <w:p>
      <w:pPr>
        <w:pStyle w:val="Heading1"/>
      </w:pPr>
      <w:r>
        <w:t>33. Official External-Channel References</w:t>
      </w:r>
    </w:p>
    <w:p>
      <w:r>
        <w:t>Use these during implementation because external APIs and policies change. This document is architecture guidance, not legal advice.</w:t>
      </w:r>
    </w:p>
    <w:p>
      <w:pPr>
        <w:pStyle w:val="ListBullet"/>
        <w:spacing w:after="30"/>
      </w:pPr>
      <w:r>
        <w:t>Google Data Manager API — unified first-party data ingestion for advertisers, agencies and data partners: https://developers.google.com/data-manager/api</w:t>
      </w:r>
    </w:p>
    <w:p>
      <w:pPr>
        <w:pStyle w:val="ListBullet"/>
        <w:spacing w:after="30"/>
      </w:pPr>
      <w:r>
        <w:t>Google Data Manager API — configure destinations, including data-partner login/linked/operating account scenarios: https://developers.google.com/data-manager/api/devguides/concepts/destinations</w:t>
      </w:r>
    </w:p>
    <w:p>
      <w:pPr>
        <w:pStyle w:val="ListBullet"/>
        <w:spacing w:after="30"/>
      </w:pPr>
      <w:r>
        <w:t>Google Data Manager API — Customer Match overview: https://developers.google.com/data-manager/api/devguides/audiences/google-ads/customer-match</w:t>
      </w:r>
    </w:p>
    <w:p>
      <w:pPr>
        <w:pStyle w:val="ListBullet"/>
        <w:spacing w:after="30"/>
      </w:pPr>
      <w:r>
        <w:t>Google Ads Customer Match policy: https://support.google.com/google-ads/answer/6299717</w:t>
      </w:r>
    </w:p>
    <w:p>
      <w:pPr>
        <w:pStyle w:val="ListBullet"/>
        <w:spacing w:after="30"/>
      </w:pPr>
      <w:r>
        <w:t>Google customer data policies / Third-Party Uploader requirements: https://support.google.com/google-ads/answer/7475709</w:t>
      </w:r>
    </w:p>
    <w:p>
      <w:pPr>
        <w:pStyle w:val="ListBullet"/>
        <w:spacing w:after="30"/>
      </w:pPr>
      <w:r>
        <w:t>Meta Customer List Custom Audiences Terms: https://www.facebook.com/legal/terms/customaudience</w:t>
      </w:r>
    </w:p>
    <w:tbl>
      <w:tblPr>
        <w:tblW w:type="auto" w:w="0"/>
        <w:jc w:val="center"/>
        <w:tblLook w:firstColumn="1" w:firstRow="1" w:lastColumn="0" w:lastRow="0" w:noHBand="0" w:noVBand="1" w:val="04A0"/>
      </w:tblPr>
      <w:tblGrid>
        <w:gridCol w:w="10454"/>
      </w:tblGrid>
      <w:tr>
        <w:tc>
          <w:tcPr>
            <w:tcW w:type="dxa" w:w="10454"/>
            <w:shd w:fill="FFF7ED"/>
          </w:tcPr>
          <w:p>
            <w:r>
              <w:rPr>
                <w:b/>
                <w:color w:val="C2410C"/>
                <w:sz w:val="20"/>
              </w:rPr>
              <w:t>Implementation rule</w:t>
            </w:r>
          </w:p>
          <w:p>
            <w:pPr>
              <w:spacing w:after="0"/>
            </w:pPr>
            <w:r>
              <w:t>Before enabling Meta or Google in production, verify the exact account topology, permissions, consent requirements and business relationship against the current official documentation. External-channel capability is a runtime/configuration decision, not a static product promise.</w:t>
            </w:r>
          </w:p>
        </w:tc>
      </w:tr>
    </w:tbl>
    <w:p/>
    <w:p>
      <w:pPr>
        <w:pStyle w:val="Heading1"/>
      </w:pPr>
      <w:r>
        <w:t>Final Build Statement</w:t>
      </w:r>
    </w:p>
    <w:p>
      <w:r>
        <w:t>For the MVP, developers should build three deployable product surfaces: (1) Oolix Cloud Platform, (2) one modular Partner Agent per Data Partner, and (3) a web/mobile ad rendering SDK/component. The critical path is Buyer campaign → Partner request → Partner approval → signed manifest → local Partner Agent decision → Partner website/app ad → anonymous click/lead → aggregate reporting → payout. Meta and Google are adapters behind explicit capability and policy gates. TEE is a later service only for cross-partner protected computation.</w:t>
      </w:r>
    </w:p>
    <w:p>
      <w:r>
        <w:br w:type="page"/>
      </w:r>
    </w:p>
    <w:p>
      <w:pPr>
        <w:pStyle w:val="Heading1"/>
      </w:pPr>
      <w:r>
        <w:t>PART II - Detailed Functional Specification and Build Contract</w:t>
      </w:r>
    </w:p>
    <w:p>
      <w:r>
        <w:t>This part converts the architecture into screen-level behavior, field definitions, API responsibilities, state machines, validation rules and acceptance criteria so the frontend, backend, Partner Agent and SDK teams can begin implementation without inventing product behavior.</w:t>
      </w:r>
    </w:p>
    <w:p>
      <w:pPr>
        <w:jc w:val="center"/>
      </w:pPr>
      <w:r>
        <w:drawing>
          <wp:inline xmlns:a="http://schemas.openxmlformats.org/drawingml/2006/main" xmlns:pic="http://schemas.openxmlformats.org/drawingml/2006/picture">
            <wp:extent cx="6217920" cy="170671"/>
            <wp:docPr id="13" name="Picture 13"/>
            <wp:cNvGraphicFramePr>
              <a:graphicFrameLocks noChangeAspect="1"/>
            </wp:cNvGraphicFramePr>
            <a:graphic>
              <a:graphicData uri="http://schemas.openxmlformats.org/drawingml/2006/picture">
                <pic:pic>
                  <pic:nvPicPr>
                    <pic:cNvPr id="0" name="13_end_to_end_user_journey.png"/>
                    <pic:cNvPicPr/>
                  </pic:nvPicPr>
                  <pic:blipFill>
                    <a:blip r:embed="rId21"/>
                    <a:stretch>
                      <a:fillRect/>
                    </a:stretch>
                  </pic:blipFill>
                  <pic:spPr>
                    <a:xfrm>
                      <a:off x="0" y="0"/>
                      <a:ext cx="6217920" cy="170671"/>
                    </a:xfrm>
                    <a:prstGeom prst="rect"/>
                  </pic:spPr>
                </pic:pic>
              </a:graphicData>
            </a:graphic>
          </wp:inline>
        </w:drawing>
      </w:r>
    </w:p>
    <w:p>
      <w:pPr>
        <w:jc w:val="center"/>
      </w:pPr>
      <w:r>
        <w:rPr>
          <w:i/>
          <w:color w:val="4B5563"/>
          <w:sz w:val="16"/>
        </w:rPr>
        <w:t>Figure 13. Complete user journey from signup to settlement.</w:t>
      </w:r>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Build rule</w:t>
            </w:r>
          </w:p>
          <w:p>
            <w:r>
              <w:rPr>
                <w:rFonts w:ascii="Arial" w:hAnsi="Arial"/>
                <w:sz w:val="18"/>
              </w:rPr>
              <w:t>If a behavior is not described here, implement the safest default: no customer data leaves the Partner, no campaign runs without Partner approval, and no external channel is activated without eligibility and account authorization.</w:t>
            </w:r>
          </w:p>
        </w:tc>
      </w:tr>
    </w:tbl>
    <w:p/>
    <w:p>
      <w:pPr>
        <w:pStyle w:val="Heading1"/>
      </w:pPr>
      <w:r>
        <w:t>34. Product Information Architecture and Navigation</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shd w:fill="1B4363"/>
          </w:tcPr>
          <w:p>
            <w:r/>
            <w:r>
              <w:rPr>
                <w:rFonts w:ascii="Arial" w:hAnsi="Arial"/>
                <w:b/>
                <w:color w:val="FFFFFF"/>
                <w:sz w:val="16"/>
              </w:rPr>
              <w:t>Persona</w:t>
            </w:r>
          </w:p>
        </w:tc>
        <w:tc>
          <w:tcPr>
            <w:tcW w:type="dxa" w:w="3600"/>
            <w:vAlign w:val="center"/>
            <w:shd w:fill="1B4363"/>
          </w:tcPr>
          <w:p>
            <w:r/>
            <w:r>
              <w:rPr>
                <w:rFonts w:ascii="Arial" w:hAnsi="Arial"/>
                <w:b/>
                <w:color w:val="FFFFFF"/>
                <w:sz w:val="16"/>
              </w:rPr>
              <w:t>Primary Navigation</w:t>
            </w:r>
          </w:p>
        </w:tc>
        <w:tc>
          <w:tcPr>
            <w:tcW w:type="dxa" w:w="4464"/>
            <w:vAlign w:val="center"/>
            <w:shd w:fill="1B4363"/>
          </w:tcPr>
          <w:p>
            <w:r/>
            <w:r>
              <w:rPr>
                <w:rFonts w:ascii="Arial" w:hAnsi="Arial"/>
                <w:b/>
                <w:color w:val="FFFFFF"/>
                <w:sz w:val="16"/>
              </w:rPr>
              <w:t>Primary Jobs</w:t>
            </w:r>
          </w:p>
        </w:tc>
      </w:tr>
      <w:tr>
        <w:tc>
          <w:tcPr>
            <w:tcW w:type="dxa" w:w="1728"/>
            <w:vAlign w:val="center"/>
          </w:tcPr>
          <w:p>
            <w:r/>
            <w:r>
              <w:rPr>
                <w:rFonts w:ascii="Arial" w:hAnsi="Arial"/>
                <w:b w:val="0"/>
                <w:sz w:val="15"/>
              </w:rPr>
              <w:t>Buyer</w:t>
            </w:r>
          </w:p>
        </w:tc>
        <w:tc>
          <w:tcPr>
            <w:tcW w:type="dxa" w:w="3600"/>
            <w:vAlign w:val="center"/>
          </w:tcPr>
          <w:p>
            <w:r/>
            <w:r>
              <w:rPr>
                <w:rFonts w:ascii="Arial" w:hAnsi="Arial"/>
                <w:b w:val="0"/>
                <w:sz w:val="15"/>
              </w:rPr>
              <w:t>Dashboard; Campaigns; Audience Discovery; Creatives; Leads; Reports; Billing; Connections; Team</w:t>
            </w:r>
          </w:p>
        </w:tc>
        <w:tc>
          <w:tcPr>
            <w:tcW w:type="dxa" w:w="4464"/>
            <w:vAlign w:val="center"/>
          </w:tcPr>
          <w:p>
            <w:r/>
            <w:r>
              <w:rPr>
                <w:rFonts w:ascii="Arial" w:hAnsi="Arial"/>
                <w:b w:val="0"/>
                <w:sz w:val="15"/>
              </w:rPr>
              <w:t>Discover supply, create campaigns, fund spend, review outcomes.</w:t>
            </w:r>
          </w:p>
        </w:tc>
      </w:tr>
      <w:tr>
        <w:tc>
          <w:tcPr>
            <w:tcW w:type="dxa" w:w="1728"/>
            <w:vAlign w:val="center"/>
          </w:tcPr>
          <w:p>
            <w:r/>
            <w:r>
              <w:rPr>
                <w:rFonts w:ascii="Arial" w:hAnsi="Arial"/>
                <w:b w:val="0"/>
                <w:sz w:val="15"/>
              </w:rPr>
              <w:t>Data Partner</w:t>
            </w:r>
          </w:p>
        </w:tc>
        <w:tc>
          <w:tcPr>
            <w:tcW w:type="dxa" w:w="3600"/>
            <w:vAlign w:val="center"/>
          </w:tcPr>
          <w:p>
            <w:r/>
            <w:r>
              <w:rPr>
                <w:rFonts w:ascii="Arial" w:hAnsi="Arial"/>
                <w:b w:val="0"/>
                <w:sz w:val="15"/>
              </w:rPr>
              <w:t>Dashboard; Audience Segments; Placements; Campaign Requests; Active Activations; Integrations; Channel Accounts; Reports; Payouts; Policies; Team</w:t>
            </w:r>
          </w:p>
        </w:tc>
        <w:tc>
          <w:tcPr>
            <w:tcW w:type="dxa" w:w="4464"/>
            <w:vAlign w:val="center"/>
          </w:tcPr>
          <w:p>
            <w:r/>
            <w:r>
              <w:rPr>
                <w:rFonts w:ascii="Arial" w:hAnsi="Arial"/>
                <w:b w:val="0"/>
                <w:sz w:val="15"/>
              </w:rPr>
              <w:t>Publish controlled supply, approve requests, operate local integration, receive payout.</w:t>
            </w:r>
          </w:p>
        </w:tc>
      </w:tr>
      <w:tr>
        <w:tc>
          <w:tcPr>
            <w:tcW w:type="dxa" w:w="1728"/>
            <w:vAlign w:val="center"/>
          </w:tcPr>
          <w:p>
            <w:r/>
            <w:r>
              <w:rPr>
                <w:rFonts w:ascii="Arial" w:hAnsi="Arial"/>
                <w:b w:val="0"/>
                <w:sz w:val="15"/>
              </w:rPr>
              <w:t>VC / Network Sponsor</w:t>
            </w:r>
          </w:p>
        </w:tc>
        <w:tc>
          <w:tcPr>
            <w:tcW w:type="dxa" w:w="3600"/>
            <w:vAlign w:val="center"/>
          </w:tcPr>
          <w:p>
            <w:r/>
            <w:r>
              <w:rPr>
                <w:rFonts w:ascii="Arial" w:hAnsi="Arial"/>
                <w:b w:val="0"/>
                <w:sz w:val="15"/>
              </w:rPr>
              <w:t>Network Dashboard; Member Companies; Campaigns; Network Reports; Invitations; Network Policy</w:t>
            </w:r>
          </w:p>
        </w:tc>
        <w:tc>
          <w:tcPr>
            <w:tcW w:type="dxa" w:w="4464"/>
            <w:vAlign w:val="center"/>
          </w:tcPr>
          <w:p>
            <w:r/>
            <w:r>
              <w:rPr>
                <w:rFonts w:ascii="Arial" w:hAnsi="Arial"/>
                <w:b w:val="0"/>
                <w:sz w:val="15"/>
              </w:rPr>
              <w:t>Create private network and view aggregate portfolio-level performance without customer data.</w:t>
            </w:r>
          </w:p>
        </w:tc>
      </w:tr>
      <w:tr>
        <w:tc>
          <w:tcPr>
            <w:tcW w:type="dxa" w:w="1728"/>
            <w:vAlign w:val="center"/>
          </w:tcPr>
          <w:p>
            <w:r>
              <w:t>OOLIX_ADMIN</w:t>
            </w:r>
          </w:p>
        </w:tc>
        <w:tc>
          <w:tcPr>
            <w:tcW w:type="dxa" w:w="3600"/>
            <w:vAlign w:val="center"/>
          </w:tcPr>
          <w:p>
            <w:r/>
            <w:r>
              <w:rPr>
                <w:rFonts w:ascii="Arial" w:hAnsi="Arial"/>
                <w:b w:val="0"/>
                <w:sz w:val="15"/>
              </w:rPr>
              <w:t>Organizations; Networks; Verification; Campaign Ops; Integrations; Risk; Billing; Support; Audit</w:t>
            </w:r>
          </w:p>
        </w:tc>
        <w:tc>
          <w:tcPr>
            <w:tcW w:type="dxa" w:w="4464"/>
            <w:vAlign w:val="center"/>
          </w:tcPr>
          <w:p>
            <w:r/>
            <w:r>
              <w:rPr>
                <w:rFonts w:ascii="Arial" w:hAnsi="Arial"/>
                <w:b w:val="0"/>
                <w:sz w:val="15"/>
              </w:rPr>
              <w:t>Operate platform, resolve issues, never bypass partner approval.</w:t>
            </w:r>
          </w:p>
        </w:tc>
      </w:tr>
    </w:tbl>
    <w:p/>
    <w:p>
      <w:pPr>
        <w:pStyle w:val="ListBullet"/>
        <w:spacing w:after="30"/>
      </w:pPr>
      <w:r>
        <w:t>Use one responsive web application with role-aware navigation rather than separate codebases for each persona.</w:t>
      </w:r>
    </w:p>
    <w:p>
      <w:pPr>
        <w:pStyle w:val="ListBullet"/>
        <w:spacing w:after="30"/>
      </w:pPr>
      <w:r>
        <w:t>An organization can be Buyer, Data Partner, or both; role switching must not require a second account.</w:t>
      </w:r>
    </w:p>
    <w:p>
      <w:pPr>
        <w:pStyle w:val="ListBullet"/>
        <w:spacing w:after="30"/>
      </w:pPr>
      <w:r>
        <w:t>Every route must enforce organization_id, network_id and RBAC server-side.</w:t>
      </w:r>
    </w:p>
    <w:p>
      <w:pPr>
        <w:pStyle w:val="ListBullet"/>
        <w:spacing w:after="30"/>
      </w:pPr>
      <w:r>
        <w:t>No customer-level Data Partner information is exposed in the Oolix frontend.</w:t>
      </w:r>
    </w:p>
    <w:p>
      <w:pPr>
        <w:pStyle w:val="Heading1"/>
      </w:pPr>
      <w:r>
        <w:t>35. Signup, Login, Organization Creation and Verification</w:t>
      </w:r>
    </w:p>
    <w:p>
      <w:pPr>
        <w:jc w:val="center"/>
      </w:pPr>
      <w:r>
        <w:drawing>
          <wp:inline xmlns:a="http://schemas.openxmlformats.org/drawingml/2006/main" xmlns:pic="http://schemas.openxmlformats.org/drawingml/2006/picture">
            <wp:extent cx="6217920" cy="1371925"/>
            <wp:docPr id="14" name="Picture 14"/>
            <wp:cNvGraphicFramePr>
              <a:graphicFrameLocks noChangeAspect="1"/>
            </wp:cNvGraphicFramePr>
            <a:graphic>
              <a:graphicData uri="http://schemas.openxmlformats.org/drawingml/2006/picture">
                <pic:pic>
                  <pic:nvPicPr>
                    <pic:cNvPr id="0" name="16_campaign_state_model.png"/>
                    <pic:cNvPicPr/>
                  </pic:nvPicPr>
                  <pic:blipFill>
                    <a:blip r:embed="rId22"/>
                    <a:stretch>
                      <a:fillRect/>
                    </a:stretch>
                  </pic:blipFill>
                  <pic:spPr>
                    <a:xfrm>
                      <a:off x="0" y="0"/>
                      <a:ext cx="6217920" cy="1371925"/>
                    </a:xfrm>
                    <a:prstGeom prst="rect"/>
                  </pic:spPr>
                </pic:pic>
              </a:graphicData>
            </a:graphic>
          </wp:inline>
        </w:drawing>
      </w:r>
    </w:p>
    <w:p>
      <w:pPr>
        <w:jc w:val="center"/>
      </w:pPr>
      <w:r>
        <w:rPr>
          <w:i/>
          <w:color w:val="4B5563"/>
          <w:sz w:val="16"/>
        </w:rPr>
        <w:t>Figure 14. Campaign/activation lifecycle is stateful; onboarding has equivalent explicit states.</w:t>
      </w:r>
    </w:p>
    <w:p>
      <w:pPr>
        <w:pStyle w:val="Heading2"/>
      </w:pPr>
      <w:r>
        <w:t>35.1 Signup screen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160"/>
            <w:vAlign w:val="center"/>
            <w:shd w:fill="1B4363"/>
          </w:tcPr>
          <w:p>
            <w:r/>
            <w:r>
              <w:rPr>
                <w:rFonts w:ascii="Arial" w:hAnsi="Arial"/>
                <w:b/>
                <w:color w:val="FFFFFF"/>
                <w:sz w:val="16"/>
              </w:rPr>
              <w:t>Field</w:t>
            </w:r>
          </w:p>
        </w:tc>
        <w:tc>
          <w:tcPr>
            <w:tcW w:type="dxa" w:w="1440"/>
            <w:vAlign w:val="center"/>
            <w:shd w:fill="1B4363"/>
          </w:tcPr>
          <w:p>
            <w:r/>
            <w:r>
              <w:rPr>
                <w:rFonts w:ascii="Arial" w:hAnsi="Arial"/>
                <w:b/>
                <w:color w:val="FFFFFF"/>
                <w:sz w:val="16"/>
              </w:rPr>
              <w:t>Type</w:t>
            </w:r>
          </w:p>
        </w:tc>
        <w:tc>
          <w:tcPr>
            <w:tcW w:type="dxa" w:w="1152"/>
            <w:vAlign w:val="center"/>
            <w:shd w:fill="1B4363"/>
          </w:tcPr>
          <w:p>
            <w:r/>
            <w:r>
              <w:rPr>
                <w:rFonts w:ascii="Arial" w:hAnsi="Arial"/>
                <w:b/>
                <w:color w:val="FFFFFF"/>
                <w:sz w:val="16"/>
              </w:rPr>
              <w:t>Required</w:t>
            </w:r>
          </w:p>
        </w:tc>
        <w:tc>
          <w:tcPr>
            <w:tcW w:type="dxa" w:w="5040"/>
            <w:vAlign w:val="center"/>
            <w:shd w:fill="1B4363"/>
          </w:tcPr>
          <w:p>
            <w:r/>
            <w:r>
              <w:rPr>
                <w:rFonts w:ascii="Arial" w:hAnsi="Arial"/>
                <w:b/>
                <w:color w:val="FFFFFF"/>
                <w:sz w:val="16"/>
              </w:rPr>
              <w:t>Validation / Behavior</w:t>
            </w:r>
          </w:p>
        </w:tc>
      </w:tr>
      <w:tr>
        <w:tc>
          <w:tcPr>
            <w:tcW w:type="dxa" w:w="2160"/>
            <w:vAlign w:val="center"/>
          </w:tcPr>
          <w:p>
            <w:r/>
            <w:r>
              <w:rPr>
                <w:rFonts w:ascii="Arial" w:hAnsi="Arial"/>
                <w:b w:val="0"/>
                <w:sz w:val="15"/>
              </w:rPr>
              <w:t>Work email</w:t>
            </w:r>
          </w:p>
        </w:tc>
        <w:tc>
          <w:tcPr>
            <w:tcW w:type="dxa" w:w="1440"/>
            <w:vAlign w:val="center"/>
          </w:tcPr>
          <w:p>
            <w:r/>
            <w:r>
              <w:rPr>
                <w:rFonts w:ascii="Arial" w:hAnsi="Arial"/>
                <w:b w:val="0"/>
                <w:sz w:val="15"/>
              </w:rPr>
              <w:t>email</w:t>
            </w:r>
          </w:p>
        </w:tc>
        <w:tc>
          <w:tcPr>
            <w:tcW w:type="dxa" w:w="1152"/>
            <w:vAlign w:val="center"/>
          </w:tcPr>
          <w:p>
            <w:r/>
            <w:r>
              <w:rPr>
                <w:rFonts w:ascii="Arial" w:hAnsi="Arial"/>
                <w:b w:val="0"/>
                <w:sz w:val="15"/>
              </w:rPr>
              <w:t>Yes</w:t>
            </w:r>
          </w:p>
        </w:tc>
        <w:tc>
          <w:tcPr>
            <w:tcW w:type="dxa" w:w="5040"/>
            <w:vAlign w:val="center"/>
          </w:tcPr>
          <w:p>
            <w:r/>
            <w:r>
              <w:rPr>
                <w:rFonts w:ascii="Arial" w:hAnsi="Arial"/>
                <w:b w:val="0"/>
                <w:sz w:val="15"/>
              </w:rPr>
              <w:t>Valid email; block disposable domains if desired; send verification link/OTP.</w:t>
            </w:r>
          </w:p>
        </w:tc>
      </w:tr>
      <w:tr>
        <w:tc>
          <w:tcPr>
            <w:tcW w:type="dxa" w:w="2160"/>
            <w:vAlign w:val="center"/>
          </w:tcPr>
          <w:p>
            <w:r/>
            <w:r>
              <w:rPr>
                <w:rFonts w:ascii="Arial" w:hAnsi="Arial"/>
                <w:b w:val="0"/>
                <w:sz w:val="15"/>
              </w:rPr>
              <w:t>Full name</w:t>
            </w:r>
          </w:p>
        </w:tc>
        <w:tc>
          <w:tcPr>
            <w:tcW w:type="dxa" w:w="1440"/>
            <w:vAlign w:val="center"/>
          </w:tcPr>
          <w:p>
            <w:r/>
            <w:r>
              <w:rPr>
                <w:rFonts w:ascii="Arial" w:hAnsi="Arial"/>
                <w:b w:val="0"/>
                <w:sz w:val="15"/>
              </w:rPr>
              <w:t>text</w:t>
            </w:r>
          </w:p>
        </w:tc>
        <w:tc>
          <w:tcPr>
            <w:tcW w:type="dxa" w:w="1152"/>
            <w:vAlign w:val="center"/>
          </w:tcPr>
          <w:p>
            <w:r/>
            <w:r>
              <w:rPr>
                <w:rFonts w:ascii="Arial" w:hAnsi="Arial"/>
                <w:b w:val="0"/>
                <w:sz w:val="15"/>
              </w:rPr>
              <w:t>Yes</w:t>
            </w:r>
          </w:p>
        </w:tc>
        <w:tc>
          <w:tcPr>
            <w:tcW w:type="dxa" w:w="5040"/>
            <w:vAlign w:val="center"/>
          </w:tcPr>
          <w:p>
            <w:r/>
            <w:r>
              <w:rPr>
                <w:rFonts w:ascii="Arial" w:hAnsi="Arial"/>
                <w:b w:val="0"/>
                <w:sz w:val="15"/>
              </w:rPr>
              <w:t>2-100 characters.</w:t>
            </w:r>
          </w:p>
        </w:tc>
      </w:tr>
      <w:tr>
        <w:tc>
          <w:tcPr>
            <w:tcW w:type="dxa" w:w="2160"/>
            <w:vAlign w:val="center"/>
          </w:tcPr>
          <w:p>
            <w:r/>
            <w:r>
              <w:rPr>
                <w:rFonts w:ascii="Arial" w:hAnsi="Arial"/>
                <w:b w:val="0"/>
                <w:sz w:val="15"/>
              </w:rPr>
              <w:t>Password / SSO</w:t>
            </w:r>
          </w:p>
        </w:tc>
        <w:tc>
          <w:tcPr>
            <w:tcW w:type="dxa" w:w="1440"/>
            <w:vAlign w:val="center"/>
          </w:tcPr>
          <w:p>
            <w:r/>
            <w:r>
              <w:rPr>
                <w:rFonts w:ascii="Arial" w:hAnsi="Arial"/>
                <w:b w:val="0"/>
                <w:sz w:val="15"/>
              </w:rPr>
              <w:t>auth</w:t>
            </w:r>
          </w:p>
        </w:tc>
        <w:tc>
          <w:tcPr>
            <w:tcW w:type="dxa" w:w="1152"/>
            <w:vAlign w:val="center"/>
          </w:tcPr>
          <w:p>
            <w:r/>
            <w:r>
              <w:rPr>
                <w:rFonts w:ascii="Arial" w:hAnsi="Arial"/>
                <w:b w:val="0"/>
                <w:sz w:val="15"/>
              </w:rPr>
              <w:t>Yes</w:t>
            </w:r>
          </w:p>
        </w:tc>
        <w:tc>
          <w:tcPr>
            <w:tcW w:type="dxa" w:w="5040"/>
            <w:vAlign w:val="center"/>
          </w:tcPr>
          <w:p>
            <w:r/>
            <w:r>
              <w:rPr>
                <w:rFonts w:ascii="Arial" w:hAnsi="Arial"/>
                <w:b w:val="0"/>
                <w:sz w:val="15"/>
              </w:rPr>
              <w:t>Prefer managed OIDC; MFA enrollment later for privileged roles.</w:t>
            </w:r>
          </w:p>
        </w:tc>
      </w:tr>
      <w:tr>
        <w:tc>
          <w:tcPr>
            <w:tcW w:type="dxa" w:w="2160"/>
            <w:vAlign w:val="center"/>
          </w:tcPr>
          <w:p>
            <w:r/>
            <w:r>
              <w:rPr>
                <w:rFonts w:ascii="Arial" w:hAnsi="Arial"/>
                <w:b w:val="0"/>
                <w:sz w:val="15"/>
              </w:rPr>
              <w:t>Country</w:t>
            </w:r>
          </w:p>
        </w:tc>
        <w:tc>
          <w:tcPr>
            <w:tcW w:type="dxa" w:w="1440"/>
            <w:vAlign w:val="center"/>
          </w:tcPr>
          <w:p>
            <w:r/>
            <w:r>
              <w:rPr>
                <w:rFonts w:ascii="Arial" w:hAnsi="Arial"/>
                <w:b w:val="0"/>
                <w:sz w:val="15"/>
              </w:rPr>
              <w:t>select</w:t>
            </w:r>
          </w:p>
        </w:tc>
        <w:tc>
          <w:tcPr>
            <w:tcW w:type="dxa" w:w="1152"/>
            <w:vAlign w:val="center"/>
          </w:tcPr>
          <w:p>
            <w:r/>
            <w:r>
              <w:rPr>
                <w:rFonts w:ascii="Arial" w:hAnsi="Arial"/>
                <w:b w:val="0"/>
                <w:sz w:val="15"/>
              </w:rPr>
              <w:t>Yes</w:t>
            </w:r>
          </w:p>
        </w:tc>
        <w:tc>
          <w:tcPr>
            <w:tcW w:type="dxa" w:w="5040"/>
            <w:vAlign w:val="center"/>
          </w:tcPr>
          <w:p>
            <w:r/>
            <w:r>
              <w:rPr>
                <w:rFonts w:ascii="Arial" w:hAnsi="Arial"/>
                <w:b w:val="0"/>
                <w:sz w:val="15"/>
              </w:rPr>
              <w:t>Controls legal notice defaults and currency options.</w:t>
            </w:r>
          </w:p>
        </w:tc>
      </w:tr>
      <w:tr>
        <w:tc>
          <w:tcPr>
            <w:tcW w:type="dxa" w:w="2160"/>
            <w:vAlign w:val="center"/>
          </w:tcPr>
          <w:p>
            <w:r/>
            <w:r>
              <w:rPr>
                <w:rFonts w:ascii="Arial" w:hAnsi="Arial"/>
                <w:b w:val="0"/>
                <w:sz w:val="15"/>
              </w:rPr>
              <w:t>Accept Terms / Privacy</w:t>
            </w:r>
          </w:p>
        </w:tc>
        <w:tc>
          <w:tcPr>
            <w:tcW w:type="dxa" w:w="1440"/>
            <w:vAlign w:val="center"/>
          </w:tcPr>
          <w:p>
            <w:r/>
            <w:r>
              <w:rPr>
                <w:rFonts w:ascii="Arial" w:hAnsi="Arial"/>
                <w:b w:val="0"/>
                <w:sz w:val="15"/>
              </w:rPr>
              <w:t>checkbox</w:t>
            </w:r>
          </w:p>
        </w:tc>
        <w:tc>
          <w:tcPr>
            <w:tcW w:type="dxa" w:w="1152"/>
            <w:vAlign w:val="center"/>
          </w:tcPr>
          <w:p>
            <w:r/>
            <w:r>
              <w:rPr>
                <w:rFonts w:ascii="Arial" w:hAnsi="Arial"/>
                <w:b w:val="0"/>
                <w:sz w:val="15"/>
              </w:rPr>
              <w:t>Yes</w:t>
            </w:r>
          </w:p>
        </w:tc>
        <w:tc>
          <w:tcPr>
            <w:tcW w:type="dxa" w:w="5040"/>
            <w:vAlign w:val="center"/>
          </w:tcPr>
          <w:p>
            <w:r/>
            <w:r>
              <w:rPr>
                <w:rFonts w:ascii="Arial" w:hAnsi="Arial"/>
                <w:b w:val="0"/>
                <w:sz w:val="15"/>
              </w:rPr>
              <w:t>Store terms_version and accepted_at.</w:t>
            </w:r>
          </w:p>
        </w:tc>
      </w:tr>
    </w:tbl>
    <w:p/>
    <w:p>
      <w:pPr>
        <w:spacing w:after="30"/>
        <w:ind w:left="259" w:hanging="259"/>
      </w:pPr>
      <w:r>
        <w:t>1.  User submits signup.</w:t>
      </w:r>
    </w:p>
    <w:p>
      <w:pPr>
        <w:spacing w:after="30"/>
        <w:ind w:left="259" w:hanging="259"/>
      </w:pPr>
      <w:r>
        <w:t>2.  Auth provider creates identity.</w:t>
      </w:r>
    </w:p>
    <w:p>
      <w:pPr>
        <w:spacing w:after="30"/>
        <w:ind w:left="259" w:hanging="259"/>
      </w:pPr>
      <w:r>
        <w:t>3.  Oolix creates user record in PENDING_EMAIL_VERIFICATION.</w:t>
      </w:r>
    </w:p>
    <w:p>
      <w:pPr>
        <w:spacing w:after="30"/>
        <w:ind w:left="259" w:hanging="259"/>
      </w:pPr>
      <w:r>
        <w:t>4.  Email verification succeeds.</w:t>
      </w:r>
    </w:p>
    <w:p>
      <w:pPr>
        <w:spacing w:after="30"/>
        <w:ind w:left="259" w:hanging="259"/>
      </w:pPr>
      <w:r>
        <w:t>5.  User enters organization setup.</w:t>
      </w:r>
    </w:p>
    <w:p>
      <w:pPr>
        <w:pStyle w:val="Heading2"/>
      </w:pPr>
      <w:r>
        <w:t>35.2 Create or join organization</w:t>
      </w:r>
    </w:p>
    <w:tbl>
      <w:tblPr>
        <w:tblStyle w:val="TableGrid"/>
        <w:tblW w:type="auto" w:w="0"/>
        <w:jc w:val="center"/>
        <w:tblLook w:firstColumn="1" w:firstRow="1" w:lastColumn="0" w:lastRow="0" w:noHBand="0" w:noVBand="1" w:val="04A0"/>
      </w:tblPr>
      <w:tblGrid>
        <w:gridCol w:w="3485"/>
        <w:gridCol w:w="3485"/>
        <w:gridCol w:w="3485"/>
      </w:tblGrid>
      <w:tr>
        <w:tc>
          <w:tcPr>
            <w:tcW w:type="dxa" w:w="2880"/>
            <w:vAlign w:val="center"/>
            <w:shd w:fill="1B4363"/>
          </w:tcPr>
          <w:p>
            <w:r/>
            <w:r>
              <w:rPr>
                <w:rFonts w:ascii="Arial" w:hAnsi="Arial"/>
                <w:b/>
                <w:color w:val="FFFFFF"/>
                <w:sz w:val="16"/>
              </w:rPr>
              <w:t>Field</w:t>
            </w:r>
          </w:p>
        </w:tc>
        <w:tc>
          <w:tcPr>
            <w:tcW w:type="dxa" w:w="1152"/>
            <w:vAlign w:val="center"/>
            <w:shd w:fill="1B4363"/>
          </w:tcPr>
          <w:p>
            <w:r/>
            <w:r>
              <w:rPr>
                <w:rFonts w:ascii="Arial" w:hAnsi="Arial"/>
                <w:b/>
                <w:color w:val="FFFFFF"/>
                <w:sz w:val="16"/>
              </w:rPr>
              <w:t>Required</w:t>
            </w:r>
          </w:p>
        </w:tc>
        <w:tc>
          <w:tcPr>
            <w:tcW w:type="dxa" w:w="5760"/>
            <w:vAlign w:val="center"/>
            <w:shd w:fill="1B4363"/>
          </w:tcPr>
          <w:p>
            <w:r/>
            <w:r>
              <w:rPr>
                <w:rFonts w:ascii="Arial" w:hAnsi="Arial"/>
                <w:b/>
                <w:color w:val="FFFFFF"/>
                <w:sz w:val="16"/>
              </w:rPr>
              <w:t>Notes</w:t>
            </w:r>
          </w:p>
        </w:tc>
      </w:tr>
      <w:tr>
        <w:tc>
          <w:tcPr>
            <w:tcW w:type="dxa" w:w="2880"/>
            <w:vAlign w:val="center"/>
          </w:tcPr>
          <w:p>
            <w:r/>
            <w:r>
              <w:rPr>
                <w:rFonts w:ascii="Arial" w:hAnsi="Arial"/>
                <w:b w:val="0"/>
                <w:sz w:val="15"/>
              </w:rPr>
              <w:t>Company legal/display name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Used in campaign approval and invoices.</w:t>
            </w:r>
          </w:p>
        </w:tc>
      </w:tr>
      <w:tr>
        <w:tc>
          <w:tcPr>
            <w:tcW w:type="dxa" w:w="2880"/>
            <w:vAlign w:val="center"/>
          </w:tcPr>
          <w:p>
            <w:r/>
            <w:r>
              <w:rPr>
                <w:rFonts w:ascii="Arial" w:hAnsi="Arial"/>
                <w:b w:val="0"/>
                <w:sz w:val="15"/>
              </w:rPr>
              <w:t>Company website/domain</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Used for verification and network trust.</w:t>
            </w:r>
          </w:p>
        </w:tc>
      </w:tr>
      <w:tr>
        <w:tc>
          <w:tcPr>
            <w:tcW w:type="dxa" w:w="2880"/>
            <w:vAlign w:val="center"/>
          </w:tcPr>
          <w:p>
            <w:r/>
            <w:r>
              <w:rPr>
                <w:rFonts w:ascii="Arial" w:hAnsi="Arial"/>
                <w:b w:val="0"/>
                <w:sz w:val="15"/>
              </w:rPr>
              <w:t>Organization type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Buyer, Data Partner, both, VC/network sponsor, agency.</w:t>
            </w:r>
          </w:p>
        </w:tc>
      </w:tr>
      <w:tr>
        <w:tc>
          <w:tcPr>
            <w:tcW w:type="dxa" w:w="2880"/>
            <w:vAlign w:val="center"/>
          </w:tcPr>
          <w:p>
            <w:r/>
            <w:r>
              <w:rPr>
                <w:rFonts w:ascii="Arial" w:hAnsi="Arial"/>
                <w:b w:val="0"/>
                <w:sz w:val="15"/>
              </w:rPr>
              <w:t>Industry</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Taxonomy used for campaign policy and audience discovery.</w:t>
            </w:r>
          </w:p>
        </w:tc>
      </w:tr>
      <w:tr>
        <w:tc>
          <w:tcPr>
            <w:tcW w:type="dxa" w:w="2880"/>
            <w:vAlign w:val="center"/>
          </w:tcPr>
          <w:p>
            <w:r/>
            <w:r>
              <w:rPr>
                <w:rFonts w:ascii="Arial" w:hAnsi="Arial"/>
                <w:b w:val="0"/>
                <w:sz w:val="15"/>
              </w:rPr>
              <w:t>Country / billing country</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Controls currency/tax/profile.</w:t>
            </w:r>
          </w:p>
        </w:tc>
      </w:tr>
      <w:tr>
        <w:tc>
          <w:tcPr>
            <w:tcW w:type="dxa" w:w="2880"/>
            <w:vAlign w:val="center"/>
          </w:tcPr>
          <w:p>
            <w:r/>
            <w:r>
              <w:rPr>
                <w:rFonts w:ascii="Arial" w:hAnsi="Arial"/>
                <w:b w:val="0"/>
                <w:sz w:val="15"/>
              </w:rPr>
              <w:t>Tax/GST/VAT ID</w:t>
            </w:r>
          </w:p>
        </w:tc>
        <w:tc>
          <w:tcPr>
            <w:tcW w:type="dxa" w:w="1152"/>
            <w:vAlign w:val="center"/>
          </w:tcPr>
          <w:p>
            <w:r/>
            <w:r>
              <w:rPr>
                <w:rFonts w:ascii="Arial" w:hAnsi="Arial"/>
                <w:b w:val="0"/>
                <w:sz w:val="15"/>
              </w:rPr>
              <w:t>Conditional</w:t>
            </w:r>
          </w:p>
        </w:tc>
        <w:tc>
          <w:tcPr>
            <w:tcW w:type="dxa" w:w="5760"/>
            <w:vAlign w:val="center"/>
          </w:tcPr>
          <w:p>
            <w:r/>
            <w:r>
              <w:rPr>
                <w:rFonts w:ascii="Arial" w:hAnsi="Arial"/>
                <w:b w:val="0"/>
                <w:sz w:val="15"/>
              </w:rPr>
              <w:t>Required before invoicing where applicable.</w:t>
            </w:r>
          </w:p>
        </w:tc>
      </w:tr>
      <w:tr>
        <w:tc>
          <w:tcPr>
            <w:tcW w:type="dxa" w:w="2880"/>
            <w:vAlign w:val="center"/>
          </w:tcPr>
          <w:p>
            <w:r/>
            <w:r>
              <w:rPr>
                <w:rFonts w:ascii="Arial" w:hAnsi="Arial"/>
                <w:b w:val="0"/>
                <w:sz w:val="15"/>
              </w:rPr>
              <w:t>Invite code / network invitation</w:t>
            </w:r>
          </w:p>
        </w:tc>
        <w:tc>
          <w:tcPr>
            <w:tcW w:type="dxa" w:w="1152"/>
            <w:vAlign w:val="center"/>
          </w:tcPr>
          <w:p>
            <w:r/>
            <w:r>
              <w:rPr>
                <w:rFonts w:ascii="Arial" w:hAnsi="Arial"/>
                <w:b w:val="0"/>
                <w:sz w:val="15"/>
              </w:rPr>
              <w:t>Optional</w:t>
            </w:r>
          </w:p>
        </w:tc>
        <w:tc>
          <w:tcPr>
            <w:tcW w:type="dxa" w:w="5760"/>
            <w:vAlign w:val="center"/>
          </w:tcPr>
          <w:p>
            <w:r/>
            <w:r>
              <w:rPr>
                <w:rFonts w:ascii="Arial" w:hAnsi="Arial"/>
                <w:b w:val="0"/>
                <w:sz w:val="15"/>
              </w:rPr>
              <w:t>Joins a VC/private network after acceptance.</w:t>
            </w:r>
          </w:p>
        </w:tc>
      </w:tr>
    </w:tbl>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Verification state model</w:t>
            </w:r>
          </w:p>
          <w:p>
            <w:r>
              <w:rPr>
                <w:rFonts w:ascii="Arial" w:hAnsi="Arial"/>
                <w:sz w:val="18"/>
              </w:rPr>
              <w:t>SIGNUP_STARTED -&gt; EMAIL_VERIFIED -&gt; ORGANIZATION_CREATED -&gt; BUSINESS_VERIFICATION_PENDING -&gt; BUSINESS_VERIFIED -&gt; ROLE_ONBOARDING -&gt; ACTIVE. A user may log in while pending, but campaign submission and Partner publication remain disabled until required verification completes.</w:t>
            </w:r>
          </w:p>
        </w:tc>
      </w:tr>
    </w:tbl>
    <w:p/>
    <w:p>
      <w:pPr>
        <w:pStyle w:val="Heading2"/>
      </w:pPr>
      <w:r>
        <w:t>35.3 RBAC and team invitation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r/>
            <w:r>
              <w:rPr>
                <w:rFonts w:ascii="Arial" w:hAnsi="Arial"/>
                <w:b/>
                <w:color w:val="FFFFFF"/>
                <w:sz w:val="16"/>
              </w:rPr>
              <w:t>Role</w:t>
            </w:r>
          </w:p>
        </w:tc>
        <w:tc>
          <w:tcPr>
            <w:tcW w:type="dxa" w:w="6912"/>
            <w:vAlign w:val="center"/>
            <w:shd w:fill="1B4363"/>
          </w:tcPr>
          <w:p>
            <w:r/>
            <w:r>
              <w:rPr>
                <w:rFonts w:ascii="Arial" w:hAnsi="Arial"/>
                <w:b/>
                <w:color w:val="FFFFFF"/>
                <w:sz w:val="16"/>
              </w:rPr>
              <w:t>Critical Permissions</w:t>
            </w:r>
          </w:p>
        </w:tc>
      </w:tr>
      <w:tr>
        <w:tc>
          <w:tcPr>
            <w:tcW w:type="dxa" w:w="2880"/>
            <w:vAlign w:val="center"/>
          </w:tcPr>
          <w:p>
            <w:r>
              <w:t>BUYER_ADMIN</w:t>
            </w:r>
          </w:p>
        </w:tc>
        <w:tc>
          <w:tcPr>
            <w:tcW w:type="dxa" w:w="6912"/>
            <w:vAlign w:val="center"/>
          </w:tcPr>
          <w:p>
            <w:r/>
            <w:r>
              <w:rPr>
                <w:rFonts w:ascii="Arial" w:hAnsi="Arial"/>
                <w:b w:val="0"/>
                <w:sz w:val="15"/>
              </w:rPr>
              <w:t>Create/submit campaign; manage billing; connect CRM/channel assets.</w:t>
            </w:r>
          </w:p>
        </w:tc>
      </w:tr>
      <w:tr>
        <w:tc>
          <w:tcPr>
            <w:tcW w:type="dxa" w:w="2880"/>
            <w:vAlign w:val="center"/>
          </w:tcPr>
          <w:p>
            <w:r/>
            <w:r>
              <w:rPr>
                <w:rFonts w:ascii="Arial" w:hAnsi="Arial"/>
                <w:b w:val="0"/>
                <w:sz w:val="15"/>
              </w:rPr>
              <w:t>Buyer Operator</w:t>
            </w:r>
          </w:p>
        </w:tc>
        <w:tc>
          <w:tcPr>
            <w:tcW w:type="dxa" w:w="6912"/>
            <w:vAlign w:val="center"/>
          </w:tcPr>
          <w:p>
            <w:r/>
            <w:r>
              <w:rPr>
                <w:rFonts w:ascii="Arial" w:hAnsi="Arial"/>
                <w:b w:val="0"/>
                <w:sz w:val="15"/>
              </w:rPr>
              <w:t>Draft/edit campaign; cannot change billing owner.</w:t>
            </w:r>
          </w:p>
        </w:tc>
      </w:tr>
      <w:tr>
        <w:tc>
          <w:tcPr>
            <w:tcW w:type="dxa" w:w="2880"/>
            <w:vAlign w:val="center"/>
          </w:tcPr>
          <w:p>
            <w:r/>
            <w:r>
              <w:rPr>
                <w:rFonts w:ascii="Arial" w:hAnsi="Arial"/>
                <w:b w:val="0"/>
                <w:sz w:val="15"/>
              </w:rPr>
              <w:t>Partner Admin</w:t>
            </w:r>
          </w:p>
        </w:tc>
        <w:tc>
          <w:tcPr>
            <w:tcW w:type="dxa" w:w="6912"/>
            <w:vAlign w:val="center"/>
          </w:tcPr>
          <w:p>
            <w:r/>
            <w:r>
              <w:rPr>
                <w:rFonts w:ascii="Arial" w:hAnsi="Arial"/>
                <w:b w:val="0"/>
                <w:sz w:val="15"/>
              </w:rPr>
              <w:t>Publish segments/placements; approve campaign; manage payout.</w:t>
            </w:r>
          </w:p>
        </w:tc>
      </w:tr>
      <w:tr>
        <w:tc>
          <w:tcPr>
            <w:tcW w:type="dxa" w:w="2880"/>
            <w:vAlign w:val="center"/>
          </w:tcPr>
          <w:p>
            <w:r>
              <w:t>PARTNER_SECURITY_ADMIN</w:t>
            </w:r>
          </w:p>
        </w:tc>
        <w:tc>
          <w:tcPr>
            <w:tcW w:type="dxa" w:w="6912"/>
            <w:vAlign w:val="center"/>
          </w:tcPr>
          <w:p>
            <w:r/>
            <w:r>
              <w:rPr>
                <w:rFonts w:ascii="Arial" w:hAnsi="Arial"/>
                <w:b w:val="0"/>
                <w:sz w:val="15"/>
              </w:rPr>
              <w:t>Register Agent, data source and external channel connection.</w:t>
            </w:r>
          </w:p>
        </w:tc>
      </w:tr>
      <w:tr>
        <w:tc>
          <w:tcPr>
            <w:tcW w:type="dxa" w:w="2880"/>
            <w:vAlign w:val="center"/>
          </w:tcPr>
          <w:p>
            <w:r/>
            <w:r>
              <w:rPr>
                <w:rFonts w:ascii="Arial" w:hAnsi="Arial"/>
                <w:b w:val="0"/>
                <w:sz w:val="15"/>
              </w:rPr>
              <w:t>Partner Campaign Approver</w:t>
            </w:r>
          </w:p>
        </w:tc>
        <w:tc>
          <w:tcPr>
            <w:tcW w:type="dxa" w:w="6912"/>
            <w:vAlign w:val="center"/>
          </w:tcPr>
          <w:p>
            <w:r/>
            <w:r>
              <w:rPr>
                <w:rFonts w:ascii="Arial" w:hAnsi="Arial"/>
                <w:b w:val="0"/>
                <w:sz w:val="15"/>
              </w:rPr>
              <w:t>Approve/change/reject campaign only.</w:t>
            </w:r>
          </w:p>
        </w:tc>
      </w:tr>
      <w:tr>
        <w:tc>
          <w:tcPr>
            <w:tcW w:type="dxa" w:w="2880"/>
            <w:vAlign w:val="center"/>
          </w:tcPr>
          <w:p>
            <w:r/>
            <w:r>
              <w:rPr>
                <w:rFonts w:ascii="Arial" w:hAnsi="Arial"/>
                <w:b w:val="0"/>
                <w:sz w:val="15"/>
              </w:rPr>
              <w:t>Finance</w:t>
            </w:r>
          </w:p>
        </w:tc>
        <w:tc>
          <w:tcPr>
            <w:tcW w:type="dxa" w:w="6912"/>
            <w:vAlign w:val="center"/>
          </w:tcPr>
          <w:p>
            <w:r/>
            <w:r>
              <w:rPr>
                <w:rFonts w:ascii="Arial" w:hAnsi="Arial"/>
                <w:b w:val="0"/>
                <w:sz w:val="15"/>
              </w:rPr>
              <w:t>Invoices, payout and settlement.</w:t>
            </w:r>
          </w:p>
        </w:tc>
      </w:tr>
      <w:tr>
        <w:tc>
          <w:tcPr>
            <w:tcW w:type="dxa" w:w="2880"/>
            <w:vAlign w:val="center"/>
          </w:tcPr>
          <w:p>
            <w:r>
              <w:t>NETWORK_ADMIN</w:t>
            </w:r>
          </w:p>
        </w:tc>
        <w:tc>
          <w:tcPr>
            <w:tcW w:type="dxa" w:w="6912"/>
            <w:vAlign w:val="center"/>
          </w:tcPr>
          <w:p>
            <w:r/>
            <w:r>
              <w:rPr>
                <w:rFonts w:ascii="Arial" w:hAnsi="Arial"/>
                <w:b w:val="0"/>
                <w:sz w:val="15"/>
              </w:rPr>
              <w:t>Invite organizations and set network admission rules.</w:t>
            </w:r>
          </w:p>
        </w:tc>
      </w:tr>
      <w:tr>
        <w:tc>
          <w:tcPr>
            <w:tcW w:type="dxa" w:w="2880"/>
            <w:vAlign w:val="center"/>
          </w:tcPr>
          <w:p>
            <w:r/>
            <w:r>
              <w:rPr>
                <w:rFonts w:ascii="Arial" w:hAnsi="Arial"/>
                <w:b w:val="0"/>
                <w:sz w:val="15"/>
              </w:rPr>
              <w:t>Viewer</w:t>
            </w:r>
          </w:p>
        </w:tc>
        <w:tc>
          <w:tcPr>
            <w:tcW w:type="dxa" w:w="6912"/>
            <w:vAlign w:val="center"/>
          </w:tcPr>
          <w:p>
            <w:r/>
            <w:r>
              <w:rPr>
                <w:rFonts w:ascii="Arial" w:hAnsi="Arial"/>
                <w:b w:val="0"/>
                <w:sz w:val="15"/>
              </w:rPr>
              <w:t>Read-only reports.</w:t>
            </w:r>
          </w:p>
        </w:tc>
      </w:tr>
    </w:tbl>
    <w:p/>
    <w:p>
      <w:pPr>
        <w:pStyle w:val="Heading1"/>
      </w:pPr>
      <w:r>
        <w:t>36. Buyer Onboarding - Detailed Flow</w:t>
      </w:r>
    </w:p>
    <w:p>
      <w:pPr>
        <w:spacing w:after="30"/>
        <w:ind w:left="259" w:hanging="259"/>
      </w:pPr>
      <w:r>
        <w:t>1.  Complete organization verification.</w:t>
      </w:r>
    </w:p>
    <w:p>
      <w:pPr>
        <w:spacing w:after="30"/>
        <w:ind w:left="259" w:hanging="259"/>
      </w:pPr>
      <w:r>
        <w:t>2.  Select whether Buyer will operate in a private network, curated marketplace, or both.</w:t>
      </w:r>
    </w:p>
    <w:p>
      <w:pPr>
        <w:spacing w:after="30"/>
        <w:ind w:left="259" w:hanging="259"/>
      </w:pPr>
      <w:r>
        <w:t>3.  Configure default billing currency and billing profile.</w:t>
      </w:r>
    </w:p>
    <w:p>
      <w:pPr>
        <w:spacing w:after="30"/>
        <w:ind w:left="259" w:hanging="259"/>
      </w:pPr>
      <w:r>
        <w:t>4.  Create first brand profile: brand name, logo, category, website, default landing domain.</w:t>
      </w:r>
    </w:p>
    <w:p>
      <w:pPr>
        <w:spacing w:after="30"/>
        <w:ind w:left="259" w:hanging="259"/>
      </w:pPr>
      <w:r>
        <w:t>5.  Optionally connect CRM/webhook for lead-quality feedback.</w:t>
      </w:r>
    </w:p>
    <w:p>
      <w:pPr>
        <w:spacing w:after="30"/>
        <w:ind w:left="259" w:hanging="259"/>
      </w:pPr>
      <w:r>
        <w:t>6.  Optionally connect Buyer-owned Meta/Google brand assets if a future external workflow requires advertiser identity or conversion access.</w:t>
      </w:r>
    </w:p>
    <w:p>
      <w:pPr>
        <w:spacing w:after="30"/>
        <w:ind w:left="259" w:hanging="259"/>
      </w:pPr>
      <w:r>
        <w:t>7.  Create team roles.</w:t>
      </w:r>
    </w:p>
    <w:p>
      <w:pPr>
        <w:spacing w:after="30"/>
        <w:ind w:left="259" w:hanging="259"/>
      </w:pPr>
      <w:r>
        <w:t>8.  Enter Buyer dashboard in READY_TO_CREATE_CAMPAIGN state.</w:t>
      </w:r>
    </w:p>
    <w:tbl>
      <w:tblPr>
        <w:tblStyle w:val="TableGrid"/>
        <w:tblW w:type="auto" w:w="0"/>
        <w:jc w:val="center"/>
        <w:tblLook w:firstColumn="1" w:firstRow="1" w:lastColumn="0" w:lastRow="0" w:noHBand="0" w:noVBand="1" w:val="04A0"/>
      </w:tblPr>
      <w:tblGrid>
        <w:gridCol w:w="3485"/>
        <w:gridCol w:w="3485"/>
        <w:gridCol w:w="3485"/>
      </w:tblGrid>
      <w:tr>
        <w:tc>
          <w:tcPr>
            <w:tcW w:type="dxa" w:w="2304"/>
            <w:vAlign w:val="center"/>
            <w:shd w:fill="1B4363"/>
          </w:tcPr>
          <w:p>
            <w:r/>
            <w:r>
              <w:rPr>
                <w:rFonts w:ascii="Arial" w:hAnsi="Arial"/>
                <w:b/>
                <w:color w:val="FFFFFF"/>
                <w:sz w:val="16"/>
              </w:rPr>
              <w:t>Buyer onboarding status</w:t>
            </w:r>
          </w:p>
        </w:tc>
        <w:tc>
          <w:tcPr>
            <w:tcW w:type="dxa" w:w="4320"/>
            <w:vAlign w:val="center"/>
            <w:shd w:fill="1B4363"/>
          </w:tcPr>
          <w:p>
            <w:r/>
            <w:r>
              <w:rPr>
                <w:rFonts w:ascii="Arial" w:hAnsi="Arial"/>
                <w:b/>
                <w:color w:val="FFFFFF"/>
                <w:sz w:val="16"/>
              </w:rPr>
              <w:t>Meaning</w:t>
            </w:r>
          </w:p>
        </w:tc>
        <w:tc>
          <w:tcPr>
            <w:tcW w:type="dxa" w:w="3168"/>
            <w:vAlign w:val="center"/>
            <w:shd w:fill="1B4363"/>
          </w:tcPr>
          <w:p>
            <w:r/>
            <w:r>
              <w:rPr>
                <w:rFonts w:ascii="Arial" w:hAnsi="Arial"/>
                <w:b/>
                <w:color w:val="FFFFFF"/>
                <w:sz w:val="16"/>
              </w:rPr>
              <w:t>Allowed actions</w:t>
            </w:r>
          </w:p>
        </w:tc>
      </w:tr>
      <w:tr>
        <w:tc>
          <w:tcPr>
            <w:tcW w:type="dxa" w:w="2304"/>
            <w:vAlign w:val="center"/>
          </w:tcPr>
          <w:p>
            <w:r/>
            <w:r>
              <w:rPr>
                <w:rFonts w:ascii="Arial" w:hAnsi="Arial"/>
                <w:b w:val="0"/>
                <w:sz w:val="15"/>
              </w:rPr>
              <w:t>PROFILE_INCOMPLETE</w:t>
            </w:r>
          </w:p>
        </w:tc>
        <w:tc>
          <w:tcPr>
            <w:tcW w:type="dxa" w:w="4320"/>
            <w:vAlign w:val="center"/>
          </w:tcPr>
          <w:p>
            <w:r/>
            <w:r>
              <w:rPr>
                <w:rFonts w:ascii="Arial" w:hAnsi="Arial"/>
                <w:b w:val="0"/>
                <w:sz w:val="15"/>
              </w:rPr>
              <w:t>Required business information missing</w:t>
            </w:r>
          </w:p>
        </w:tc>
        <w:tc>
          <w:tcPr>
            <w:tcW w:type="dxa" w:w="3168"/>
            <w:vAlign w:val="center"/>
          </w:tcPr>
          <w:p>
            <w:r/>
            <w:r>
              <w:rPr>
                <w:rFonts w:ascii="Arial" w:hAnsi="Arial"/>
                <w:b w:val="0"/>
                <w:sz w:val="15"/>
              </w:rPr>
              <w:t>Draft only</w:t>
            </w:r>
          </w:p>
        </w:tc>
      </w:tr>
      <w:tr>
        <w:tc>
          <w:tcPr>
            <w:tcW w:type="dxa" w:w="2304"/>
            <w:vAlign w:val="center"/>
          </w:tcPr>
          <w:p>
            <w:r/>
            <w:r>
              <w:rPr>
                <w:rFonts w:ascii="Arial" w:hAnsi="Arial"/>
                <w:b w:val="0"/>
                <w:sz w:val="15"/>
              </w:rPr>
              <w:t>VERIFICATION_PENDING</w:t>
            </w:r>
          </w:p>
        </w:tc>
        <w:tc>
          <w:tcPr>
            <w:tcW w:type="dxa" w:w="4320"/>
            <w:vAlign w:val="center"/>
          </w:tcPr>
          <w:p>
            <w:r/>
            <w:r>
              <w:rPr>
                <w:rFonts w:ascii="Arial" w:hAnsi="Arial"/>
                <w:b w:val="0"/>
                <w:sz w:val="15"/>
              </w:rPr>
              <w:t>Business review pending</w:t>
            </w:r>
          </w:p>
        </w:tc>
        <w:tc>
          <w:tcPr>
            <w:tcW w:type="dxa" w:w="3168"/>
            <w:vAlign w:val="center"/>
          </w:tcPr>
          <w:p>
            <w:r/>
            <w:r>
              <w:rPr>
                <w:rFonts w:ascii="Arial" w:hAnsi="Arial"/>
                <w:b w:val="0"/>
                <w:sz w:val="15"/>
              </w:rPr>
              <w:t>Browse catalogue; no submit</w:t>
            </w:r>
          </w:p>
        </w:tc>
      </w:tr>
      <w:tr>
        <w:tc>
          <w:tcPr>
            <w:tcW w:type="dxa" w:w="2304"/>
            <w:vAlign w:val="center"/>
          </w:tcPr>
          <w:p>
            <w:r/>
            <w:r>
              <w:rPr>
                <w:rFonts w:ascii="Arial" w:hAnsi="Arial"/>
                <w:b w:val="0"/>
                <w:sz w:val="15"/>
              </w:rPr>
              <w:t>BILLING_REQUIRED</w:t>
            </w:r>
          </w:p>
        </w:tc>
        <w:tc>
          <w:tcPr>
            <w:tcW w:type="dxa" w:w="4320"/>
            <w:vAlign w:val="center"/>
          </w:tcPr>
          <w:p>
            <w:r/>
            <w:r>
              <w:rPr>
                <w:rFonts w:ascii="Arial" w:hAnsi="Arial"/>
                <w:b w:val="0"/>
                <w:sz w:val="15"/>
              </w:rPr>
              <w:t>Campaign requires funded/approved billing</w:t>
            </w:r>
          </w:p>
        </w:tc>
        <w:tc>
          <w:tcPr>
            <w:tcW w:type="dxa" w:w="3168"/>
            <w:vAlign w:val="center"/>
          </w:tcPr>
          <w:p>
            <w:r/>
            <w:r>
              <w:rPr>
                <w:rFonts w:ascii="Arial" w:hAnsi="Arial"/>
                <w:b w:val="0"/>
                <w:sz w:val="15"/>
              </w:rPr>
              <w:t>Draft; cannot launch</w:t>
            </w:r>
          </w:p>
        </w:tc>
      </w:tr>
      <w:tr>
        <w:tc>
          <w:tcPr>
            <w:tcW w:type="dxa" w:w="2304"/>
            <w:vAlign w:val="center"/>
          </w:tcPr>
          <w:p>
            <w:r/>
            <w:r>
              <w:rPr>
                <w:rFonts w:ascii="Arial" w:hAnsi="Arial"/>
                <w:b w:val="0"/>
                <w:sz w:val="15"/>
              </w:rPr>
              <w:t>READY</w:t>
            </w:r>
          </w:p>
        </w:tc>
        <w:tc>
          <w:tcPr>
            <w:tcW w:type="dxa" w:w="4320"/>
            <w:vAlign w:val="center"/>
          </w:tcPr>
          <w:p>
            <w:r/>
            <w:r>
              <w:rPr>
                <w:rFonts w:ascii="Arial" w:hAnsi="Arial"/>
                <w:b w:val="0"/>
                <w:sz w:val="15"/>
              </w:rPr>
              <w:t>All minimum prerequisites satisfied</w:t>
            </w:r>
          </w:p>
        </w:tc>
        <w:tc>
          <w:tcPr>
            <w:tcW w:type="dxa" w:w="3168"/>
            <w:vAlign w:val="center"/>
          </w:tcPr>
          <w:p>
            <w:r/>
            <w:r>
              <w:rPr>
                <w:rFonts w:ascii="Arial" w:hAnsi="Arial"/>
                <w:b w:val="0"/>
                <w:sz w:val="15"/>
              </w:rPr>
              <w:t>Submit Partner campaign requests</w:t>
            </w:r>
          </w:p>
        </w:tc>
      </w:tr>
    </w:tbl>
    <w:p/>
    <w:p>
      <w:pPr>
        <w:pStyle w:val="Heading1"/>
      </w:pPr>
      <w:r>
        <w:t>37. Data Partner Onboarding - Detailed Functional Flow</w:t>
      </w:r>
    </w:p>
    <w:p>
      <w:pPr>
        <w:jc w:val="center"/>
      </w:pPr>
      <w:r>
        <w:drawing>
          <wp:inline xmlns:a="http://schemas.openxmlformats.org/drawingml/2006/main" xmlns:pic="http://schemas.openxmlformats.org/drawingml/2006/picture">
            <wp:extent cx="6217920" cy="283987"/>
            <wp:docPr id="15" name="Picture 15"/>
            <wp:cNvGraphicFramePr>
              <a:graphicFrameLocks noChangeAspect="1"/>
            </wp:cNvGraphicFramePr>
            <a:graphic>
              <a:graphicData uri="http://schemas.openxmlformats.org/drawingml/2006/picture">
                <pic:pic>
                  <pic:nvPicPr>
                    <pic:cNvPr id="0" name="17_partner_publish_flow.png"/>
                    <pic:cNvPicPr/>
                  </pic:nvPicPr>
                  <pic:blipFill>
                    <a:blip r:embed="rId23"/>
                    <a:stretch>
                      <a:fillRect/>
                    </a:stretch>
                  </pic:blipFill>
                  <pic:spPr>
                    <a:xfrm>
                      <a:off x="0" y="0"/>
                      <a:ext cx="6217920" cy="283987"/>
                    </a:xfrm>
                    <a:prstGeom prst="rect"/>
                  </pic:spPr>
                </pic:pic>
              </a:graphicData>
            </a:graphic>
          </wp:inline>
        </w:drawing>
      </w:r>
    </w:p>
    <w:p>
      <w:pPr>
        <w:jc w:val="center"/>
      </w:pPr>
      <w:r>
        <w:rPr>
          <w:i/>
          <w:color w:val="4B5563"/>
          <w:sz w:val="16"/>
        </w:rPr>
        <w:t>Figure 15. Data Partner supply publication flow.</w:t>
      </w:r>
    </w:p>
    <w:tbl>
      <w:tblPr>
        <w:tblStyle w:val="TableGrid"/>
        <w:tblW w:type="auto" w:w="0"/>
        <w:jc w:val="center"/>
        <w:tblLook w:firstColumn="1" w:firstRow="1" w:lastColumn="0" w:lastRow="0" w:noHBand="0" w:noVBand="1" w:val="04A0"/>
      </w:tblPr>
      <w:tblGrid>
        <w:gridCol w:w="3485"/>
        <w:gridCol w:w="3485"/>
        <w:gridCol w:w="3485"/>
      </w:tblGrid>
      <w:tr>
        <w:tc>
          <w:tcPr>
            <w:tcW w:type="dxa" w:w="720"/>
            <w:vAlign w:val="center"/>
            <w:shd w:fill="1B4363"/>
          </w:tcPr>
          <w:p>
            <w:r/>
            <w:r>
              <w:rPr>
                <w:rFonts w:ascii="Arial" w:hAnsi="Arial"/>
                <w:b/>
                <w:color w:val="FFFFFF"/>
                <w:sz w:val="16"/>
              </w:rPr>
              <w:t>Step</w:t>
            </w:r>
          </w:p>
        </w:tc>
        <w:tc>
          <w:tcPr>
            <w:tcW w:type="dxa" w:w="4896"/>
            <w:vAlign w:val="center"/>
            <w:shd w:fill="1B4363"/>
          </w:tcPr>
          <w:p>
            <w:r/>
            <w:r>
              <w:rPr>
                <w:rFonts w:ascii="Arial" w:hAnsi="Arial"/>
                <w:b/>
                <w:color w:val="FFFFFF"/>
                <w:sz w:val="16"/>
              </w:rPr>
              <w:t>Partner UI / Action</w:t>
            </w:r>
          </w:p>
        </w:tc>
        <w:tc>
          <w:tcPr>
            <w:tcW w:type="dxa" w:w="4320"/>
            <w:vAlign w:val="center"/>
            <w:shd w:fill="1B4363"/>
          </w:tcPr>
          <w:p>
            <w:r/>
            <w:r>
              <w:rPr>
                <w:rFonts w:ascii="Arial" w:hAnsi="Arial"/>
                <w:b/>
                <w:color w:val="FFFFFF"/>
                <w:sz w:val="16"/>
              </w:rPr>
              <w:t>Backend Result</w:t>
            </w:r>
          </w:p>
        </w:tc>
      </w:tr>
      <w:tr>
        <w:tc>
          <w:tcPr>
            <w:tcW w:type="dxa" w:w="720"/>
            <w:vAlign w:val="center"/>
          </w:tcPr>
          <w:p>
            <w:r/>
            <w:r>
              <w:rPr>
                <w:rFonts w:ascii="Arial" w:hAnsi="Arial"/>
                <w:b w:val="0"/>
                <w:sz w:val="15"/>
              </w:rPr>
              <w:t>1</w:t>
            </w:r>
          </w:p>
        </w:tc>
        <w:tc>
          <w:tcPr>
            <w:tcW w:type="dxa" w:w="4896"/>
            <w:vAlign w:val="center"/>
          </w:tcPr>
          <w:p>
            <w:r/>
            <w:r>
              <w:rPr>
                <w:rFonts w:ascii="Arial" w:hAnsi="Arial"/>
                <w:b w:val="0"/>
                <w:sz w:val="15"/>
              </w:rPr>
              <w:t>Complete Partner business/security profile</w:t>
            </w:r>
          </w:p>
        </w:tc>
        <w:tc>
          <w:tcPr>
            <w:tcW w:type="dxa" w:w="4320"/>
            <w:vAlign w:val="center"/>
          </w:tcPr>
          <w:p>
            <w:r/>
            <w:r>
              <w:rPr>
                <w:rFonts w:ascii="Arial" w:hAnsi="Arial"/>
                <w:b w:val="0"/>
                <w:sz w:val="15"/>
              </w:rPr>
              <w:t>partner_profile created</w:t>
            </w:r>
          </w:p>
        </w:tc>
      </w:tr>
      <w:tr>
        <w:tc>
          <w:tcPr>
            <w:tcW w:type="dxa" w:w="720"/>
            <w:vAlign w:val="center"/>
          </w:tcPr>
          <w:p>
            <w:r/>
            <w:r>
              <w:rPr>
                <w:rFonts w:ascii="Arial" w:hAnsi="Arial"/>
                <w:b w:val="0"/>
                <w:sz w:val="15"/>
              </w:rPr>
              <w:t>2</w:t>
            </w:r>
          </w:p>
        </w:tc>
        <w:tc>
          <w:tcPr>
            <w:tcW w:type="dxa" w:w="4896"/>
            <w:vAlign w:val="center"/>
          </w:tcPr>
          <w:p>
            <w:r/>
            <w:r>
              <w:rPr>
                <w:rFonts w:ascii="Arial" w:hAnsi="Arial"/>
                <w:b w:val="0"/>
                <w:sz w:val="15"/>
              </w:rPr>
              <w:t>Define allowed advertiser categories / blocked competitors</w:t>
            </w:r>
          </w:p>
        </w:tc>
        <w:tc>
          <w:tcPr>
            <w:tcW w:type="dxa" w:w="4320"/>
            <w:vAlign w:val="center"/>
          </w:tcPr>
          <w:p>
            <w:r/>
            <w:r>
              <w:rPr>
                <w:rFonts w:ascii="Arial" w:hAnsi="Arial"/>
                <w:b w:val="0"/>
                <w:sz w:val="15"/>
              </w:rPr>
              <w:t>partner_policy version created</w:t>
            </w:r>
          </w:p>
        </w:tc>
      </w:tr>
      <w:tr>
        <w:tc>
          <w:tcPr>
            <w:tcW w:type="dxa" w:w="720"/>
            <w:vAlign w:val="center"/>
          </w:tcPr>
          <w:p>
            <w:r/>
            <w:r>
              <w:rPr>
                <w:rFonts w:ascii="Arial" w:hAnsi="Arial"/>
                <w:b w:val="0"/>
                <w:sz w:val="15"/>
              </w:rPr>
              <w:t>3</w:t>
            </w:r>
          </w:p>
        </w:tc>
        <w:tc>
          <w:tcPr>
            <w:tcW w:type="dxa" w:w="4896"/>
            <w:vAlign w:val="center"/>
          </w:tcPr>
          <w:p>
            <w:r/>
            <w:r>
              <w:rPr>
                <w:rFonts w:ascii="Arial" w:hAnsi="Arial"/>
                <w:b w:val="0"/>
                <w:sz w:val="15"/>
              </w:rPr>
              <w:t>Download/deploy Partner Agent</w:t>
            </w:r>
          </w:p>
        </w:tc>
        <w:tc>
          <w:tcPr>
            <w:tcW w:type="dxa" w:w="4320"/>
            <w:vAlign w:val="center"/>
          </w:tcPr>
          <w:p>
            <w:r/>
            <w:r>
              <w:rPr>
                <w:rFonts w:ascii="Arial" w:hAnsi="Arial"/>
                <w:b w:val="0"/>
                <w:sz w:val="15"/>
              </w:rPr>
              <w:t>agent_registration issued</w:t>
            </w:r>
          </w:p>
        </w:tc>
      </w:tr>
      <w:tr>
        <w:tc>
          <w:tcPr>
            <w:tcW w:type="dxa" w:w="720"/>
            <w:vAlign w:val="center"/>
          </w:tcPr>
          <w:p>
            <w:r/>
            <w:r>
              <w:rPr>
                <w:rFonts w:ascii="Arial" w:hAnsi="Arial"/>
                <w:b w:val="0"/>
                <w:sz w:val="15"/>
              </w:rPr>
              <w:t>4</w:t>
            </w:r>
          </w:p>
        </w:tc>
        <w:tc>
          <w:tcPr>
            <w:tcW w:type="dxa" w:w="4896"/>
            <w:vAlign w:val="center"/>
          </w:tcPr>
          <w:p>
            <w:r/>
            <w:r>
              <w:rPr>
                <w:rFonts w:ascii="Arial" w:hAnsi="Arial"/>
                <w:b w:val="0"/>
                <w:sz w:val="15"/>
              </w:rPr>
              <w:t>Register Agent using one-time bootstrap token</w:t>
            </w:r>
          </w:p>
        </w:tc>
        <w:tc>
          <w:tcPr>
            <w:tcW w:type="dxa" w:w="4320"/>
            <w:vAlign w:val="center"/>
          </w:tcPr>
          <w:p>
            <w:r/>
            <w:r>
              <w:rPr>
                <w:rFonts w:ascii="Arial" w:hAnsi="Arial"/>
                <w:b w:val="0"/>
                <w:sz w:val="15"/>
              </w:rPr>
              <w:t>workload identity created; bootstrap token revoked</w:t>
            </w:r>
          </w:p>
        </w:tc>
      </w:tr>
      <w:tr>
        <w:tc>
          <w:tcPr>
            <w:tcW w:type="dxa" w:w="720"/>
            <w:vAlign w:val="center"/>
          </w:tcPr>
          <w:p>
            <w:r/>
            <w:r>
              <w:rPr>
                <w:rFonts w:ascii="Arial" w:hAnsi="Arial"/>
                <w:b w:val="0"/>
                <w:sz w:val="15"/>
              </w:rPr>
              <w:t>5</w:t>
            </w:r>
          </w:p>
        </w:tc>
        <w:tc>
          <w:tcPr>
            <w:tcW w:type="dxa" w:w="4896"/>
            <w:vAlign w:val="center"/>
          </w:tcPr>
          <w:p>
            <w:r/>
            <w:r>
              <w:rPr>
                <w:rFonts w:ascii="Arial" w:hAnsi="Arial"/>
                <w:b w:val="0"/>
                <w:sz w:val="15"/>
              </w:rPr>
              <w:t>Connect local data source</w:t>
            </w:r>
          </w:p>
        </w:tc>
        <w:tc>
          <w:tcPr>
            <w:tcW w:type="dxa" w:w="4320"/>
            <w:vAlign w:val="center"/>
          </w:tcPr>
          <w:p>
            <w:r/>
            <w:r>
              <w:rPr>
                <w:rFonts w:ascii="Arial" w:hAnsi="Arial"/>
                <w:b w:val="0"/>
                <w:sz w:val="15"/>
              </w:rPr>
              <w:t>connector status HEALTHY/ERROR</w:t>
            </w:r>
          </w:p>
        </w:tc>
      </w:tr>
      <w:tr>
        <w:tc>
          <w:tcPr>
            <w:tcW w:type="dxa" w:w="720"/>
            <w:vAlign w:val="center"/>
          </w:tcPr>
          <w:p>
            <w:r/>
            <w:r>
              <w:rPr>
                <w:rFonts w:ascii="Arial" w:hAnsi="Arial"/>
                <w:b w:val="0"/>
                <w:sz w:val="15"/>
              </w:rPr>
              <w:t>6</w:t>
            </w:r>
          </w:p>
        </w:tc>
        <w:tc>
          <w:tcPr>
            <w:tcW w:type="dxa" w:w="4896"/>
            <w:vAlign w:val="center"/>
          </w:tcPr>
          <w:p>
            <w:r/>
            <w:r>
              <w:rPr>
                <w:rFonts w:ascii="Arial" w:hAnsi="Arial"/>
                <w:b w:val="0"/>
                <w:sz w:val="15"/>
              </w:rPr>
              <w:t>Create/map audience segments</w:t>
            </w:r>
          </w:p>
        </w:tc>
        <w:tc>
          <w:tcPr>
            <w:tcW w:type="dxa" w:w="4320"/>
            <w:vAlign w:val="center"/>
          </w:tcPr>
          <w:p>
            <w:r/>
            <w:r>
              <w:rPr>
                <w:rFonts w:ascii="Arial" w:hAnsi="Arial"/>
                <w:b w:val="0"/>
                <w:sz w:val="15"/>
              </w:rPr>
              <w:t>local segment mapping stored in Agent; metadata draft in Oolix</w:t>
            </w:r>
          </w:p>
        </w:tc>
      </w:tr>
      <w:tr>
        <w:tc>
          <w:tcPr>
            <w:tcW w:type="dxa" w:w="720"/>
            <w:vAlign w:val="center"/>
          </w:tcPr>
          <w:p>
            <w:r/>
            <w:r>
              <w:rPr>
                <w:rFonts w:ascii="Arial" w:hAnsi="Arial"/>
                <w:b w:val="0"/>
                <w:sz w:val="15"/>
              </w:rPr>
              <w:t>7</w:t>
            </w:r>
          </w:p>
        </w:tc>
        <w:tc>
          <w:tcPr>
            <w:tcW w:type="dxa" w:w="4896"/>
            <w:vAlign w:val="center"/>
          </w:tcPr>
          <w:p>
            <w:r/>
            <w:r>
              <w:rPr>
                <w:rFonts w:ascii="Arial" w:hAnsi="Arial"/>
                <w:b w:val="0"/>
                <w:sz w:val="15"/>
              </w:rPr>
              <w:t>Create web/app placements</w:t>
            </w:r>
          </w:p>
        </w:tc>
        <w:tc>
          <w:tcPr>
            <w:tcW w:type="dxa" w:w="4320"/>
            <w:vAlign w:val="center"/>
          </w:tcPr>
          <w:p>
            <w:r/>
            <w:r>
              <w:rPr>
                <w:rFonts w:ascii="Arial" w:hAnsi="Arial"/>
                <w:b w:val="0"/>
                <w:sz w:val="15"/>
              </w:rPr>
              <w:t>placement records created</w:t>
            </w:r>
          </w:p>
        </w:tc>
      </w:tr>
      <w:tr>
        <w:tc>
          <w:tcPr>
            <w:tcW w:type="dxa" w:w="720"/>
            <w:vAlign w:val="center"/>
          </w:tcPr>
          <w:p>
            <w:r/>
            <w:r>
              <w:rPr>
                <w:rFonts w:ascii="Arial" w:hAnsi="Arial"/>
                <w:b w:val="0"/>
                <w:sz w:val="15"/>
              </w:rPr>
              <w:t>8</w:t>
            </w:r>
          </w:p>
        </w:tc>
        <w:tc>
          <w:tcPr>
            <w:tcW w:type="dxa" w:w="4896"/>
            <w:vAlign w:val="center"/>
          </w:tcPr>
          <w:p>
            <w:r/>
            <w:r>
              <w:rPr>
                <w:rFonts w:ascii="Arial" w:hAnsi="Arial"/>
                <w:b w:val="0"/>
                <w:sz w:val="15"/>
              </w:rPr>
              <w:t>Optionally connect Meta/Google activation account</w:t>
            </w:r>
          </w:p>
        </w:tc>
        <w:tc>
          <w:tcPr>
            <w:tcW w:type="dxa" w:w="4320"/>
            <w:vAlign w:val="center"/>
          </w:tcPr>
          <w:p>
            <w:r/>
            <w:r>
              <w:rPr>
                <w:rFonts w:ascii="Arial" w:hAnsi="Arial"/>
                <w:b w:val="0"/>
                <w:sz w:val="15"/>
              </w:rPr>
              <w:t>channel_connection record created</w:t>
            </w:r>
          </w:p>
        </w:tc>
      </w:tr>
      <w:tr>
        <w:tc>
          <w:tcPr>
            <w:tcW w:type="dxa" w:w="720"/>
            <w:vAlign w:val="center"/>
          </w:tcPr>
          <w:p>
            <w:r/>
            <w:r>
              <w:rPr>
                <w:rFonts w:ascii="Arial" w:hAnsi="Arial"/>
                <w:b w:val="0"/>
                <w:sz w:val="15"/>
              </w:rPr>
              <w:t>9</w:t>
            </w:r>
          </w:p>
        </w:tc>
        <w:tc>
          <w:tcPr>
            <w:tcW w:type="dxa" w:w="4896"/>
            <w:vAlign w:val="center"/>
          </w:tcPr>
          <w:p>
            <w:r/>
            <w:r>
              <w:rPr>
                <w:rFonts w:ascii="Arial" w:hAnsi="Arial"/>
                <w:b w:val="0"/>
                <w:sz w:val="15"/>
              </w:rPr>
              <w:t>Run synthetic test campaign</w:t>
            </w:r>
          </w:p>
        </w:tc>
        <w:tc>
          <w:tcPr>
            <w:tcW w:type="dxa" w:w="4320"/>
            <w:vAlign w:val="center"/>
          </w:tcPr>
          <w:p>
            <w:r/>
            <w:r>
              <w:rPr>
                <w:rFonts w:ascii="Arial" w:hAnsi="Arial"/>
                <w:b w:val="0"/>
                <w:sz w:val="15"/>
              </w:rPr>
              <w:t>test activation verifies end-to-end</w:t>
            </w:r>
          </w:p>
        </w:tc>
      </w:tr>
      <w:tr>
        <w:tc>
          <w:tcPr>
            <w:tcW w:type="dxa" w:w="720"/>
            <w:vAlign w:val="center"/>
          </w:tcPr>
          <w:p>
            <w:r/>
            <w:r>
              <w:rPr>
                <w:rFonts w:ascii="Arial" w:hAnsi="Arial"/>
                <w:b w:val="0"/>
                <w:sz w:val="15"/>
              </w:rPr>
              <w:t>10</w:t>
            </w:r>
          </w:p>
        </w:tc>
        <w:tc>
          <w:tcPr>
            <w:tcW w:type="dxa" w:w="4896"/>
            <w:vAlign w:val="center"/>
          </w:tcPr>
          <w:p>
            <w:r/>
            <w:r>
              <w:rPr>
                <w:rFonts w:ascii="Arial" w:hAnsi="Arial"/>
                <w:b w:val="0"/>
                <w:sz w:val="15"/>
              </w:rPr>
              <w:t>Publish Partner profile</w:t>
            </w:r>
          </w:p>
        </w:tc>
        <w:tc>
          <w:tcPr>
            <w:tcW w:type="dxa" w:w="4320"/>
            <w:vAlign w:val="center"/>
          </w:tcPr>
          <w:p>
            <w:r/>
            <w:r>
              <w:rPr>
                <w:rFonts w:ascii="Arial" w:hAnsi="Arial"/>
                <w:b w:val="0"/>
                <w:sz w:val="15"/>
              </w:rPr>
              <w:t>READY_FOR_CAMPAIGNS</w:t>
            </w:r>
          </w:p>
        </w:tc>
      </w:tr>
    </w:tbl>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Partner workload target</w:t>
            </w:r>
          </w:p>
          <w:p>
            <w:r>
              <w:rPr>
                <w:rFonts w:ascii="Arial" w:hAnsi="Arial"/>
                <w:sz w:val="18"/>
              </w:rPr>
              <w:t>For MVP, the Partner should need one Agent deployment, one approved data source, one web/app placement integration and a small number of pre-computed segments. The Partner should not build an advertiser portal, campaign engine, billing system or custom ad server.</w:t>
            </w:r>
          </w:p>
        </w:tc>
      </w:tr>
    </w:tbl>
    <w:p/>
    <w:p>
      <w:pPr>
        <w:pStyle w:val="Heading1"/>
      </w:pPr>
      <w:r>
        <w:t>38. Audience Segment Creation and Publication</w:t>
      </w:r>
    </w:p>
    <w:p>
      <w:pPr>
        <w:pStyle w:val="Heading2"/>
      </w:pPr>
      <w:r>
        <w:t>38.1 What an audience segment means</w:t>
      </w:r>
    </w:p>
    <w:p>
      <w:r>
        <w:t>A segment is a Partner-defined, locally evaluated group. Oolix receives only metadata. The exact member list remains local.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160"/>
            <w:vAlign w:val="center"/>
            <w:shd w:fill="1B4363"/>
          </w:tcPr>
          <w:p>
            <w:r/>
            <w:r>
              <w:rPr>
                <w:rFonts w:ascii="Arial" w:hAnsi="Arial"/>
                <w:b/>
                <w:color w:val="FFFFFF"/>
                <w:sz w:val="16"/>
              </w:rPr>
              <w:t>Field</w:t>
            </w:r>
          </w:p>
        </w:tc>
        <w:tc>
          <w:tcPr>
            <w:tcW w:type="dxa" w:w="1584"/>
            <w:vAlign w:val="center"/>
            <w:shd w:fill="1B4363"/>
          </w:tcPr>
          <w:p>
            <w:r/>
            <w:r>
              <w:rPr>
                <w:rFonts w:ascii="Arial" w:hAnsi="Arial"/>
                <w:b/>
                <w:color w:val="FFFFFF"/>
                <w:sz w:val="16"/>
              </w:rPr>
              <w:t>Type</w:t>
            </w:r>
          </w:p>
        </w:tc>
        <w:tc>
          <w:tcPr>
            <w:tcW w:type="dxa" w:w="1152"/>
            <w:vAlign w:val="center"/>
            <w:shd w:fill="1B4363"/>
          </w:tcPr>
          <w:p>
            <w:r/>
            <w:r>
              <w:rPr>
                <w:rFonts w:ascii="Arial" w:hAnsi="Arial"/>
                <w:b/>
                <w:color w:val="FFFFFF"/>
                <w:sz w:val="16"/>
              </w:rPr>
              <w:t>Required</w:t>
            </w:r>
          </w:p>
        </w:tc>
        <w:tc>
          <w:tcPr>
            <w:tcW w:type="dxa" w:w="4464"/>
            <w:vAlign w:val="center"/>
            <w:shd w:fill="1B4363"/>
          </w:tcPr>
          <w:p>
            <w:r/>
            <w:r>
              <w:rPr>
                <w:rFonts w:ascii="Arial" w:hAnsi="Arial"/>
                <w:b/>
                <w:color w:val="FFFFFF"/>
                <w:sz w:val="16"/>
              </w:rPr>
              <w:t>Example / Rule</w:t>
            </w:r>
          </w:p>
        </w:tc>
      </w:tr>
      <w:tr>
        <w:tc>
          <w:tcPr>
            <w:tcW w:type="dxa" w:w="2160"/>
            <w:vAlign w:val="center"/>
          </w:tcPr>
          <w:p>
            <w:r/>
            <w:r>
              <w:rPr>
                <w:rFonts w:ascii="Arial" w:hAnsi="Arial"/>
                <w:b w:val="0"/>
                <w:sz w:val="15"/>
              </w:rPr>
              <w:t>display_name</w:t>
            </w:r>
          </w:p>
        </w:tc>
        <w:tc>
          <w:tcPr>
            <w:tcW w:type="dxa" w:w="1584"/>
            <w:vAlign w:val="center"/>
          </w:tcPr>
          <w:p>
            <w:r/>
            <w:r>
              <w:rPr>
                <w:rFonts w:ascii="Arial" w:hAnsi="Arial"/>
                <w:b w:val="0"/>
                <w:sz w:val="15"/>
              </w:rPr>
              <w:t>text</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Recent Travellers</w:t>
            </w:r>
          </w:p>
        </w:tc>
      </w:tr>
      <w:tr>
        <w:tc>
          <w:tcPr>
            <w:tcW w:type="dxa" w:w="2160"/>
            <w:vAlign w:val="center"/>
          </w:tcPr>
          <w:p>
            <w:r/>
            <w:r>
              <w:rPr>
                <w:rFonts w:ascii="Arial" w:hAnsi="Arial"/>
                <w:b w:val="0"/>
                <w:sz w:val="15"/>
              </w:rPr>
              <w:t>internal_segment_id</w:t>
            </w:r>
          </w:p>
        </w:tc>
        <w:tc>
          <w:tcPr>
            <w:tcW w:type="dxa" w:w="1584"/>
            <w:vAlign w:val="center"/>
          </w:tcPr>
          <w:p>
            <w:r/>
            <w:r>
              <w:rPr>
                <w:rFonts w:ascii="Arial" w:hAnsi="Arial"/>
                <w:b w:val="0"/>
                <w:sz w:val="15"/>
              </w:rPr>
              <w:t>text</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TRAVEL_60D; never exposed to Buyer if Partner prefers aliasing</w:t>
            </w:r>
          </w:p>
        </w:tc>
      </w:tr>
      <w:tr>
        <w:tc>
          <w:tcPr>
            <w:tcW w:type="dxa" w:w="2160"/>
            <w:vAlign w:val="center"/>
          </w:tcPr>
          <w:p>
            <w:r/>
            <w:r>
              <w:rPr>
                <w:rFonts w:ascii="Arial" w:hAnsi="Arial"/>
                <w:b w:val="0"/>
                <w:sz w:val="15"/>
              </w:rPr>
              <w:t>description</w:t>
            </w:r>
          </w:p>
        </w:tc>
        <w:tc>
          <w:tcPr>
            <w:tcW w:type="dxa" w:w="1584"/>
            <w:vAlign w:val="center"/>
          </w:tcPr>
          <w:p>
            <w:r/>
            <w:r>
              <w:rPr>
                <w:rFonts w:ascii="Arial" w:hAnsi="Arial"/>
                <w:b w:val="0"/>
                <w:sz w:val="15"/>
              </w:rPr>
              <w:t>text</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Completed a booking in previous 60 days</w:t>
            </w:r>
          </w:p>
        </w:tc>
      </w:tr>
      <w:tr>
        <w:tc>
          <w:tcPr>
            <w:tcW w:type="dxa" w:w="2160"/>
            <w:vAlign w:val="center"/>
          </w:tcPr>
          <w:p>
            <w:r/>
            <w:r>
              <w:rPr>
                <w:rFonts w:ascii="Arial" w:hAnsi="Arial"/>
                <w:b w:val="0"/>
                <w:sz w:val="15"/>
              </w:rPr>
              <w:t>industry/category</w:t>
            </w:r>
          </w:p>
        </w:tc>
        <w:tc>
          <w:tcPr>
            <w:tcW w:type="dxa" w:w="1584"/>
            <w:vAlign w:val="center"/>
          </w:tcPr>
          <w:p>
            <w:r/>
            <w:r>
              <w:rPr>
                <w:rFonts w:ascii="Arial" w:hAnsi="Arial"/>
                <w:b w:val="0"/>
                <w:sz w:val="15"/>
              </w:rPr>
              <w:t>taxonomy</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Travel intent</w:t>
            </w:r>
          </w:p>
        </w:tc>
      </w:tr>
      <w:tr>
        <w:tc>
          <w:tcPr>
            <w:tcW w:type="dxa" w:w="2160"/>
            <w:vAlign w:val="center"/>
          </w:tcPr>
          <w:p>
            <w:r/>
            <w:r>
              <w:rPr>
                <w:rFonts w:ascii="Arial" w:hAnsi="Arial"/>
                <w:b w:val="0"/>
                <w:sz w:val="15"/>
              </w:rPr>
              <w:t>geographies</w:t>
            </w:r>
          </w:p>
        </w:tc>
        <w:tc>
          <w:tcPr>
            <w:tcW w:type="dxa" w:w="1584"/>
            <w:vAlign w:val="center"/>
          </w:tcPr>
          <w:p>
            <w:r/>
            <w:r>
              <w:rPr>
                <w:rFonts w:ascii="Arial" w:hAnsi="Arial"/>
                <w:b w:val="0"/>
                <w:sz w:val="15"/>
              </w:rPr>
              <w:t>array</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India; Delhi NCR</w:t>
            </w:r>
          </w:p>
        </w:tc>
      </w:tr>
      <w:tr>
        <w:tc>
          <w:tcPr>
            <w:tcW w:type="dxa" w:w="2160"/>
            <w:vAlign w:val="center"/>
          </w:tcPr>
          <w:p>
            <w:r/>
            <w:r>
              <w:rPr>
                <w:rFonts w:ascii="Arial" w:hAnsi="Arial"/>
                <w:b w:val="0"/>
                <w:sz w:val="15"/>
              </w:rPr>
              <w:t>source_event</w:t>
            </w:r>
          </w:p>
        </w:tc>
        <w:tc>
          <w:tcPr>
            <w:tcW w:type="dxa" w:w="1584"/>
            <w:vAlign w:val="center"/>
          </w:tcPr>
          <w:p>
            <w:r/>
            <w:r>
              <w:rPr>
                <w:rFonts w:ascii="Arial" w:hAnsi="Arial"/>
                <w:b w:val="0"/>
                <w:sz w:val="15"/>
              </w:rPr>
              <w:t>text</w:t>
            </w:r>
          </w:p>
        </w:tc>
        <w:tc>
          <w:tcPr>
            <w:tcW w:type="dxa" w:w="1152"/>
            <w:vAlign w:val="center"/>
          </w:tcPr>
          <w:p>
            <w:r/>
            <w:r>
              <w:rPr>
                <w:rFonts w:ascii="Arial" w:hAnsi="Arial"/>
                <w:b w:val="0"/>
                <w:sz w:val="15"/>
              </w:rPr>
              <w:t>Recommended</w:t>
            </w:r>
          </w:p>
        </w:tc>
        <w:tc>
          <w:tcPr>
            <w:tcW w:type="dxa" w:w="4464"/>
            <w:vAlign w:val="center"/>
          </w:tcPr>
          <w:p>
            <w:r/>
            <w:r>
              <w:rPr>
                <w:rFonts w:ascii="Arial" w:hAnsi="Arial"/>
                <w:b w:val="0"/>
                <w:sz w:val="15"/>
              </w:rPr>
              <w:t>Confirmed booking transaction</w:t>
            </w:r>
          </w:p>
        </w:tc>
      </w:tr>
      <w:tr>
        <w:tc>
          <w:tcPr>
            <w:tcW w:type="dxa" w:w="2160"/>
            <w:vAlign w:val="center"/>
          </w:tcPr>
          <w:p>
            <w:r/>
            <w:r>
              <w:rPr>
                <w:rFonts w:ascii="Arial" w:hAnsi="Arial"/>
                <w:b w:val="0"/>
                <w:sz w:val="15"/>
              </w:rPr>
              <w:t>freshness_at</w:t>
            </w:r>
          </w:p>
        </w:tc>
        <w:tc>
          <w:tcPr>
            <w:tcW w:type="dxa" w:w="1584"/>
            <w:vAlign w:val="center"/>
          </w:tcPr>
          <w:p>
            <w:r/>
            <w:r>
              <w:rPr>
                <w:rFonts w:ascii="Arial" w:hAnsi="Arial"/>
                <w:b w:val="0"/>
                <w:sz w:val="15"/>
              </w:rPr>
              <w:t>datetime</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Last successful segment refresh</w:t>
            </w:r>
          </w:p>
        </w:tc>
      </w:tr>
      <w:tr>
        <w:tc>
          <w:tcPr>
            <w:tcW w:type="dxa" w:w="2160"/>
            <w:vAlign w:val="center"/>
          </w:tcPr>
          <w:p>
            <w:r/>
            <w:r>
              <w:rPr>
                <w:rFonts w:ascii="Arial" w:hAnsi="Arial"/>
                <w:b w:val="0"/>
                <w:sz w:val="15"/>
              </w:rPr>
              <w:t>refresh_frequency</w:t>
            </w:r>
          </w:p>
        </w:tc>
        <w:tc>
          <w:tcPr>
            <w:tcW w:type="dxa" w:w="1584"/>
            <w:vAlign w:val="center"/>
          </w:tcPr>
          <w:p>
            <w:r/>
            <w:r>
              <w:rPr>
                <w:rFonts w:ascii="Arial" w:hAnsi="Arial"/>
                <w:b w:val="0"/>
                <w:sz w:val="15"/>
              </w:rPr>
              <w:t>enum</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15m / hourly / 6h / daily / weekly</w:t>
            </w:r>
          </w:p>
        </w:tc>
      </w:tr>
      <w:tr>
        <w:tc>
          <w:tcPr>
            <w:tcW w:type="dxa" w:w="2160"/>
            <w:vAlign w:val="center"/>
          </w:tcPr>
          <w:p>
            <w:r/>
            <w:r>
              <w:rPr>
                <w:rFonts w:ascii="Arial" w:hAnsi="Arial"/>
                <w:b w:val="0"/>
                <w:sz w:val="15"/>
              </w:rPr>
              <w:t>reach_exact_local</w:t>
            </w:r>
          </w:p>
        </w:tc>
        <w:tc>
          <w:tcPr>
            <w:tcW w:type="dxa" w:w="1584"/>
            <w:vAlign w:val="center"/>
          </w:tcPr>
          <w:p>
            <w:r/>
            <w:r>
              <w:rPr>
                <w:rFonts w:ascii="Arial" w:hAnsi="Arial"/>
                <w:b w:val="0"/>
                <w:sz w:val="15"/>
              </w:rPr>
              <w:t>integer</w:t>
            </w:r>
          </w:p>
        </w:tc>
        <w:tc>
          <w:tcPr>
            <w:tcW w:type="dxa" w:w="1152"/>
            <w:vAlign w:val="center"/>
          </w:tcPr>
          <w:p>
            <w:r/>
            <w:r>
              <w:rPr>
                <w:rFonts w:ascii="Arial" w:hAnsi="Arial"/>
                <w:b w:val="0"/>
                <w:sz w:val="15"/>
              </w:rPr>
              <w:t>Local only</w:t>
            </w:r>
          </w:p>
        </w:tc>
        <w:tc>
          <w:tcPr>
            <w:tcW w:type="dxa" w:w="4464"/>
            <w:vAlign w:val="center"/>
          </w:tcPr>
          <w:p>
            <w:r/>
            <w:r>
              <w:rPr>
                <w:rFonts w:ascii="Arial" w:hAnsi="Arial"/>
                <w:b w:val="0"/>
                <w:sz w:val="15"/>
              </w:rPr>
              <w:t>213,418; not published to Buyer by default</w:t>
            </w:r>
          </w:p>
        </w:tc>
      </w:tr>
      <w:tr>
        <w:tc>
          <w:tcPr>
            <w:tcW w:type="dxa" w:w="2160"/>
            <w:vAlign w:val="center"/>
          </w:tcPr>
          <w:p>
            <w:r/>
            <w:r>
              <w:rPr>
                <w:rFonts w:ascii="Arial" w:hAnsi="Arial"/>
                <w:b w:val="0"/>
                <w:sz w:val="15"/>
              </w:rPr>
              <w:t>reach_bucket</w:t>
            </w:r>
          </w:p>
        </w:tc>
        <w:tc>
          <w:tcPr>
            <w:tcW w:type="dxa" w:w="1584"/>
            <w:vAlign w:val="center"/>
          </w:tcPr>
          <w:p>
            <w:r/>
            <w:r>
              <w:rPr>
                <w:rFonts w:ascii="Arial" w:hAnsi="Arial"/>
                <w:b w:val="0"/>
                <w:sz w:val="15"/>
              </w:rPr>
              <w:t>enum/range</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200k-250k</w:t>
            </w:r>
          </w:p>
        </w:tc>
      </w:tr>
      <w:tr>
        <w:tc>
          <w:tcPr>
            <w:tcW w:type="dxa" w:w="2160"/>
            <w:vAlign w:val="center"/>
          </w:tcPr>
          <w:p>
            <w:r/>
            <w:r>
              <w:rPr>
                <w:rFonts w:ascii="Arial" w:hAnsi="Arial"/>
                <w:b w:val="0"/>
                <w:sz w:val="15"/>
              </w:rPr>
              <w:t>active_user_window</w:t>
            </w:r>
          </w:p>
        </w:tc>
        <w:tc>
          <w:tcPr>
            <w:tcW w:type="dxa" w:w="1584"/>
            <w:vAlign w:val="center"/>
          </w:tcPr>
          <w:p>
            <w:r/>
            <w:r>
              <w:rPr>
                <w:rFonts w:ascii="Arial" w:hAnsi="Arial"/>
                <w:b w:val="0"/>
                <w:sz w:val="15"/>
              </w:rPr>
              <w:t>duration</w:t>
            </w:r>
          </w:p>
        </w:tc>
        <w:tc>
          <w:tcPr>
            <w:tcW w:type="dxa" w:w="1152"/>
            <w:vAlign w:val="center"/>
          </w:tcPr>
          <w:p>
            <w:r/>
            <w:r>
              <w:rPr>
                <w:rFonts w:ascii="Arial" w:hAnsi="Arial"/>
                <w:b w:val="0"/>
                <w:sz w:val="15"/>
              </w:rPr>
              <w:t>Recommended</w:t>
            </w:r>
          </w:p>
        </w:tc>
        <w:tc>
          <w:tcPr>
            <w:tcW w:type="dxa" w:w="4464"/>
            <w:vAlign w:val="center"/>
          </w:tcPr>
          <w:p>
            <w:r/>
            <w:r>
              <w:rPr>
                <w:rFonts w:ascii="Arial" w:hAnsi="Arial"/>
                <w:b w:val="0"/>
                <w:sz w:val="15"/>
              </w:rPr>
              <w:t>Active in prior 30 days</w:t>
            </w:r>
          </w:p>
        </w:tc>
      </w:tr>
      <w:tr>
        <w:tc>
          <w:tcPr>
            <w:tcW w:type="dxa" w:w="2160"/>
            <w:vAlign w:val="center"/>
          </w:tcPr>
          <w:p>
            <w:r/>
            <w:r>
              <w:rPr>
                <w:rFonts w:ascii="Arial" w:hAnsi="Arial"/>
                <w:b w:val="0"/>
                <w:sz w:val="15"/>
              </w:rPr>
              <w:t>consent_eligibility</w:t>
            </w:r>
          </w:p>
        </w:tc>
        <w:tc>
          <w:tcPr>
            <w:tcW w:type="dxa" w:w="1584"/>
            <w:vAlign w:val="center"/>
          </w:tcPr>
          <w:p>
            <w:r/>
            <w:r>
              <w:rPr>
                <w:rFonts w:ascii="Arial" w:hAnsi="Arial"/>
                <w:b w:val="0"/>
                <w:sz w:val="15"/>
              </w:rPr>
              <w:t>status</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Eligible / mixed / unavailable</w:t>
            </w:r>
          </w:p>
        </w:tc>
      </w:tr>
      <w:tr>
        <w:tc>
          <w:tcPr>
            <w:tcW w:type="dxa" w:w="2160"/>
            <w:vAlign w:val="center"/>
          </w:tcPr>
          <w:p>
            <w:r/>
            <w:r>
              <w:rPr>
                <w:rFonts w:ascii="Arial" w:hAnsi="Arial"/>
                <w:b w:val="0"/>
                <w:sz w:val="15"/>
              </w:rPr>
              <w:t>allowed_channels</w:t>
            </w:r>
          </w:p>
        </w:tc>
        <w:tc>
          <w:tcPr>
            <w:tcW w:type="dxa" w:w="1584"/>
            <w:vAlign w:val="center"/>
          </w:tcPr>
          <w:p>
            <w:r/>
            <w:r>
              <w:rPr>
                <w:rFonts w:ascii="Arial" w:hAnsi="Arial"/>
                <w:b w:val="0"/>
                <w:sz w:val="15"/>
              </w:rPr>
              <w:t>array</w:t>
            </w:r>
          </w:p>
        </w:tc>
        <w:tc>
          <w:tcPr>
            <w:tcW w:type="dxa" w:w="1152"/>
            <w:vAlign w:val="center"/>
          </w:tcPr>
          <w:p>
            <w:r/>
            <w:r>
              <w:rPr>
                <w:rFonts w:ascii="Arial" w:hAnsi="Arial"/>
                <w:b w:val="0"/>
                <w:sz w:val="15"/>
              </w:rPr>
              <w:t>Yes</w:t>
            </w:r>
          </w:p>
        </w:tc>
        <w:tc>
          <w:tcPr>
            <w:tcW w:type="dxa" w:w="4464"/>
            <w:vAlign w:val="center"/>
          </w:tcPr>
          <w:p>
            <w:r>
              <w:t>PARTNER_WEB, PARTNER_APP, META</w:t>
            </w:r>
          </w:p>
        </w:tc>
      </w:tr>
      <w:tr>
        <w:tc>
          <w:tcPr>
            <w:tcW w:type="dxa" w:w="2160"/>
            <w:vAlign w:val="center"/>
          </w:tcPr>
          <w:p>
            <w:r/>
            <w:r>
              <w:rPr>
                <w:rFonts w:ascii="Arial" w:hAnsi="Arial"/>
                <w:b w:val="0"/>
                <w:sz w:val="15"/>
              </w:rPr>
              <w:t>allowed_categories</w:t>
            </w:r>
          </w:p>
        </w:tc>
        <w:tc>
          <w:tcPr>
            <w:tcW w:type="dxa" w:w="1584"/>
            <w:vAlign w:val="center"/>
          </w:tcPr>
          <w:p>
            <w:r/>
            <w:r>
              <w:rPr>
                <w:rFonts w:ascii="Arial" w:hAnsi="Arial"/>
                <w:b w:val="0"/>
                <w:sz w:val="15"/>
              </w:rPr>
              <w:t>array</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Insurance, hotel, forex</w:t>
            </w:r>
          </w:p>
        </w:tc>
      </w:tr>
      <w:tr>
        <w:tc>
          <w:tcPr>
            <w:tcW w:type="dxa" w:w="2160"/>
            <w:vAlign w:val="center"/>
          </w:tcPr>
          <w:p>
            <w:r/>
            <w:r>
              <w:rPr>
                <w:rFonts w:ascii="Arial" w:hAnsi="Arial"/>
                <w:b w:val="0"/>
                <w:sz w:val="15"/>
              </w:rPr>
              <w:t>blocked_categories</w:t>
            </w:r>
          </w:p>
        </w:tc>
        <w:tc>
          <w:tcPr>
            <w:tcW w:type="dxa" w:w="1584"/>
            <w:vAlign w:val="center"/>
          </w:tcPr>
          <w:p>
            <w:r/>
            <w:r>
              <w:rPr>
                <w:rFonts w:ascii="Arial" w:hAnsi="Arial"/>
                <w:b w:val="0"/>
                <w:sz w:val="15"/>
              </w:rPr>
              <w:t>array</w:t>
            </w:r>
          </w:p>
        </w:tc>
        <w:tc>
          <w:tcPr>
            <w:tcW w:type="dxa" w:w="1152"/>
            <w:vAlign w:val="center"/>
          </w:tcPr>
          <w:p>
            <w:r/>
            <w:r>
              <w:rPr>
                <w:rFonts w:ascii="Arial" w:hAnsi="Arial"/>
                <w:b w:val="0"/>
                <w:sz w:val="15"/>
              </w:rPr>
              <w:t>Optional</w:t>
            </w:r>
          </w:p>
        </w:tc>
        <w:tc>
          <w:tcPr>
            <w:tcW w:type="dxa" w:w="4464"/>
            <w:vAlign w:val="center"/>
          </w:tcPr>
          <w:p>
            <w:r/>
            <w:r>
              <w:rPr>
                <w:rFonts w:ascii="Arial" w:hAnsi="Arial"/>
                <w:b w:val="0"/>
                <w:sz w:val="15"/>
              </w:rPr>
              <w:t>Direct travel competitor</w:t>
            </w:r>
          </w:p>
        </w:tc>
      </w:tr>
      <w:tr>
        <w:tc>
          <w:tcPr>
            <w:tcW w:type="dxa" w:w="2160"/>
            <w:vAlign w:val="center"/>
          </w:tcPr>
          <w:p>
            <w:r/>
            <w:r>
              <w:rPr>
                <w:rFonts w:ascii="Arial" w:hAnsi="Arial"/>
                <w:b w:val="0"/>
                <w:sz w:val="15"/>
              </w:rPr>
              <w:t>pricing_model</w:t>
            </w:r>
          </w:p>
        </w:tc>
        <w:tc>
          <w:tcPr>
            <w:tcW w:type="dxa" w:w="1584"/>
            <w:vAlign w:val="center"/>
          </w:tcPr>
          <w:p>
            <w:r/>
            <w:r>
              <w:rPr>
                <w:rFonts w:ascii="Arial" w:hAnsi="Arial"/>
                <w:b w:val="0"/>
                <w:sz w:val="15"/>
              </w:rPr>
              <w:t>enum</w:t>
            </w:r>
          </w:p>
        </w:tc>
        <w:tc>
          <w:tcPr>
            <w:tcW w:type="dxa" w:w="1152"/>
            <w:vAlign w:val="center"/>
          </w:tcPr>
          <w:p>
            <w:r/>
            <w:r>
              <w:rPr>
                <w:rFonts w:ascii="Arial" w:hAnsi="Arial"/>
                <w:b w:val="0"/>
                <w:sz w:val="15"/>
              </w:rPr>
              <w:t>Yes</w:t>
            </w:r>
          </w:p>
        </w:tc>
        <w:tc>
          <w:tcPr>
            <w:tcW w:type="dxa" w:w="4464"/>
            <w:vAlign w:val="center"/>
          </w:tcPr>
          <w:p>
            <w:r/>
            <w:r>
              <w:rPr>
                <w:rFonts w:ascii="Arial" w:hAnsi="Arial"/>
                <w:b w:val="0"/>
                <w:sz w:val="15"/>
              </w:rPr>
              <w:t>CPM / CPC / CPL / CPQL / fixed / hybrid</w:t>
            </w:r>
          </w:p>
        </w:tc>
      </w:tr>
      <w:tr>
        <w:tc>
          <w:tcPr>
            <w:tcW w:type="dxa" w:w="2160"/>
            <w:vAlign w:val="center"/>
          </w:tcPr>
          <w:p>
            <w:r/>
            <w:r>
              <w:rPr>
                <w:rFonts w:ascii="Arial" w:hAnsi="Arial"/>
                <w:b w:val="0"/>
                <w:sz w:val="15"/>
              </w:rPr>
              <w:t>price/floor</w:t>
            </w:r>
          </w:p>
        </w:tc>
        <w:tc>
          <w:tcPr>
            <w:tcW w:type="dxa" w:w="1584"/>
            <w:vAlign w:val="center"/>
          </w:tcPr>
          <w:p>
            <w:r/>
            <w:r>
              <w:rPr>
                <w:rFonts w:ascii="Arial" w:hAnsi="Arial"/>
                <w:b w:val="0"/>
                <w:sz w:val="15"/>
              </w:rPr>
              <w:t>money</w:t>
            </w:r>
          </w:p>
        </w:tc>
        <w:tc>
          <w:tcPr>
            <w:tcW w:type="dxa" w:w="1152"/>
            <w:vAlign w:val="center"/>
          </w:tcPr>
          <w:p>
            <w:r/>
            <w:r>
              <w:rPr>
                <w:rFonts w:ascii="Arial" w:hAnsi="Arial"/>
                <w:b w:val="0"/>
                <w:sz w:val="15"/>
              </w:rPr>
              <w:t>Yes for paid listing</w:t>
            </w:r>
          </w:p>
        </w:tc>
        <w:tc>
          <w:tcPr>
            <w:tcW w:type="dxa" w:w="4464"/>
            <w:vAlign w:val="center"/>
          </w:tcPr>
          <w:p>
            <w:r/>
            <w:r>
              <w:rPr>
                <w:rFonts w:ascii="Arial" w:hAnsi="Arial"/>
                <w:b w:val="0"/>
                <w:sz w:val="15"/>
              </w:rPr>
              <w:t>Partner commercial rule</w:t>
            </w:r>
          </w:p>
        </w:tc>
      </w:tr>
      <w:tr>
        <w:tc>
          <w:tcPr>
            <w:tcW w:type="dxa" w:w="2160"/>
            <w:vAlign w:val="center"/>
          </w:tcPr>
          <w:p>
            <w:r/>
            <w:r>
              <w:rPr>
                <w:rFonts w:ascii="Arial" w:hAnsi="Arial"/>
                <w:b w:val="0"/>
                <w:sz w:val="15"/>
              </w:rPr>
              <w:t>quality_score</w:t>
            </w:r>
          </w:p>
        </w:tc>
        <w:tc>
          <w:tcPr>
            <w:tcW w:type="dxa" w:w="1584"/>
            <w:vAlign w:val="center"/>
          </w:tcPr>
          <w:p>
            <w:r/>
            <w:r>
              <w:rPr>
                <w:rFonts w:ascii="Arial" w:hAnsi="Arial"/>
                <w:b w:val="0"/>
                <w:sz w:val="15"/>
              </w:rPr>
              <w:t>derived</w:t>
            </w:r>
          </w:p>
        </w:tc>
        <w:tc>
          <w:tcPr>
            <w:tcW w:type="dxa" w:w="1152"/>
            <w:vAlign w:val="center"/>
          </w:tcPr>
          <w:p>
            <w:r/>
            <w:r>
              <w:rPr>
                <w:rFonts w:ascii="Arial" w:hAnsi="Arial"/>
                <w:b w:val="0"/>
                <w:sz w:val="15"/>
              </w:rPr>
              <w:t>Later</w:t>
            </w:r>
          </w:p>
        </w:tc>
        <w:tc>
          <w:tcPr>
            <w:tcW w:type="dxa" w:w="4464"/>
            <w:vAlign w:val="center"/>
          </w:tcPr>
          <w:p>
            <w:r/>
            <w:r>
              <w:rPr>
                <w:rFonts w:ascii="Arial" w:hAnsi="Arial"/>
                <w:b w:val="0"/>
                <w:sz w:val="15"/>
              </w:rPr>
              <w:t>Derived from freshness + outcomes; never self-claimed only</w:t>
            </w:r>
          </w:p>
        </w:tc>
      </w:tr>
    </w:tbl>
    <w:p/>
    <w:p>
      <w:pPr>
        <w:pStyle w:val="Heading2"/>
      </w:pPr>
      <w:r>
        <w:t>38.2 Segment materialization</w:t>
      </w:r>
    </w:p>
    <w:p>
      <w:pPr>
        <w:spacing w:before="40" w:after="60"/>
      </w:pPr>
      <w:r>
        <w:rPr>
          <w:rFonts w:ascii="Courier New" w:hAnsi="Courier New"/>
          <w:sz w:val="15"/>
        </w:rPr>
        <w:t>Partner source -&gt; scheduled/event segmentation -&gt; local membership</w:t>
        <w:br/>
        <w:br/>
        <w:t>partner_user_id | segment_id | effective_at | expires_at</w:t>
        <w:br/>
        <w:t>U123            | TRAVEL_60D | ...          | ...</w:t>
        <w:br/>
        <w:t>U982            | TRAVEL_60D | ...          | ...</w:t>
      </w:r>
    </w:p>
    <w:p>
      <w:pPr>
        <w:pStyle w:val="ListBullet"/>
        <w:spacing w:after="30"/>
      </w:pPr>
      <w:r>
        <w:t>Never execute expensive order/booking joins for every ad request.</w:t>
      </w:r>
    </w:p>
    <w:p>
      <w:pPr>
        <w:pStyle w:val="ListBullet"/>
        <w:spacing w:after="30"/>
      </w:pPr>
      <w:r>
        <w:t>Membership refresh may be batch or event-driven.</w:t>
      </w:r>
    </w:p>
    <w:p>
      <w:pPr>
        <w:pStyle w:val="ListBullet"/>
        <w:spacing w:after="30"/>
      </w:pPr>
      <w:r>
        <w:t>Partner Agent only needs membership lookup or a yes/no API during ad decision.</w:t>
      </w:r>
    </w:p>
    <w:p>
      <w:pPr>
        <w:pStyle w:val="ListBullet"/>
        <w:spacing w:after="30"/>
      </w:pPr>
      <w:r>
        <w:t>Counts/reach are calculated locally, then bucketed before publication if Partner policy requires.</w:t>
      </w:r>
    </w:p>
    <w:p>
      <w:pPr>
        <w:pStyle w:val="Heading1"/>
      </w:pPr>
      <w:r>
        <w:t>39. Audience Discovery and Filtering</w:t>
      </w:r>
    </w:p>
    <w:p>
      <w:pPr>
        <w:jc w:val="center"/>
      </w:pPr>
      <w:r>
        <w:drawing>
          <wp:inline xmlns:a="http://schemas.openxmlformats.org/drawingml/2006/main" xmlns:pic="http://schemas.openxmlformats.org/drawingml/2006/picture">
            <wp:extent cx="6217920" cy="5033822"/>
            <wp:docPr id="16" name="Picture 16"/>
            <wp:cNvGraphicFramePr>
              <a:graphicFrameLocks noChangeAspect="1"/>
            </wp:cNvGraphicFramePr>
            <a:graphic>
              <a:graphicData uri="http://schemas.openxmlformats.org/drawingml/2006/picture">
                <pic:pic>
                  <pic:nvPicPr>
                    <pic:cNvPr id="0" name="14_audience_filter_architecture.png"/>
                    <pic:cNvPicPr/>
                  </pic:nvPicPr>
                  <pic:blipFill>
                    <a:blip r:embed="rId24"/>
                    <a:stretch>
                      <a:fillRect/>
                    </a:stretch>
                  </pic:blipFill>
                  <pic:spPr>
                    <a:xfrm>
                      <a:off x="0" y="0"/>
                      <a:ext cx="6217920" cy="5033822"/>
                    </a:xfrm>
                    <a:prstGeom prst="rect"/>
                  </pic:spPr>
                </pic:pic>
              </a:graphicData>
            </a:graphic>
          </wp:inline>
        </w:drawing>
      </w:r>
    </w:p>
    <w:p>
      <w:pPr>
        <w:jc w:val="center"/>
      </w:pPr>
      <w:r>
        <w:rPr>
          <w:i/>
          <w:color w:val="4B5563"/>
          <w:sz w:val="16"/>
        </w:rPr>
        <w:t>Figure 16. Buyer filters metadata, never customer membership.</w:t>
      </w:r>
    </w:p>
    <w:p>
      <w:pPr>
        <w:pStyle w:val="Heading2"/>
      </w:pPr>
      <w:r>
        <w:t>39.1 Search/filter controls</w:t>
      </w:r>
    </w:p>
    <w:tbl>
      <w:tblPr>
        <w:tblStyle w:val="TableGrid"/>
        <w:tblW w:type="auto" w:w="0"/>
        <w:jc w:val="center"/>
        <w:tblLook w:firstColumn="1" w:firstRow="1" w:lastColumn="0" w:lastRow="0" w:noHBand="0" w:noVBand="1" w:val="04A0"/>
      </w:tblPr>
      <w:tblGrid>
        <w:gridCol w:w="3485"/>
        <w:gridCol w:w="3485"/>
        <w:gridCol w:w="3485"/>
      </w:tblGrid>
      <w:tr>
        <w:tc>
          <w:tcPr>
            <w:tcW w:type="dxa" w:w="2016"/>
            <w:vAlign w:val="center"/>
            <w:shd w:fill="1B4363"/>
          </w:tcPr>
          <w:p>
            <w:r/>
            <w:r>
              <w:rPr>
                <w:rFonts w:ascii="Arial" w:hAnsi="Arial"/>
                <w:b/>
                <w:color w:val="FFFFFF"/>
                <w:sz w:val="16"/>
              </w:rPr>
              <w:t>Filter</w:t>
            </w:r>
          </w:p>
        </w:tc>
        <w:tc>
          <w:tcPr>
            <w:tcW w:type="dxa" w:w="2880"/>
            <w:vAlign w:val="center"/>
            <w:shd w:fill="1B4363"/>
          </w:tcPr>
          <w:p>
            <w:r/>
            <w:r>
              <w:rPr>
                <w:rFonts w:ascii="Arial" w:hAnsi="Arial"/>
                <w:b/>
                <w:color w:val="FFFFFF"/>
                <w:sz w:val="16"/>
              </w:rPr>
              <w:t>Source Field</w:t>
            </w:r>
          </w:p>
        </w:tc>
        <w:tc>
          <w:tcPr>
            <w:tcW w:type="dxa" w:w="4608"/>
            <w:vAlign w:val="center"/>
            <w:shd w:fill="1B4363"/>
          </w:tcPr>
          <w:p>
            <w:r/>
            <w:r>
              <w:rPr>
                <w:rFonts w:ascii="Arial" w:hAnsi="Arial"/>
                <w:b/>
                <w:color w:val="FFFFFF"/>
                <w:sz w:val="16"/>
              </w:rPr>
              <w:t>Behavior</w:t>
            </w:r>
          </w:p>
        </w:tc>
      </w:tr>
      <w:tr>
        <w:tc>
          <w:tcPr>
            <w:tcW w:type="dxa" w:w="2016"/>
            <w:vAlign w:val="center"/>
          </w:tcPr>
          <w:p>
            <w:r/>
            <w:r>
              <w:rPr>
                <w:rFonts w:ascii="Arial" w:hAnsi="Arial"/>
                <w:b w:val="0"/>
                <w:sz w:val="15"/>
              </w:rPr>
              <w:t>Keyword / intent search</w:t>
            </w:r>
          </w:p>
        </w:tc>
        <w:tc>
          <w:tcPr>
            <w:tcW w:type="dxa" w:w="2880"/>
            <w:vAlign w:val="center"/>
          </w:tcPr>
          <w:p>
            <w:r/>
            <w:r>
              <w:rPr>
                <w:rFonts w:ascii="Arial" w:hAnsi="Arial"/>
                <w:b w:val="0"/>
                <w:sz w:val="15"/>
              </w:rPr>
              <w:t>display_name, description, taxonomy</w:t>
            </w:r>
          </w:p>
        </w:tc>
        <w:tc>
          <w:tcPr>
            <w:tcW w:type="dxa" w:w="4608"/>
            <w:vAlign w:val="center"/>
          </w:tcPr>
          <w:p>
            <w:r/>
            <w:r>
              <w:rPr>
                <w:rFonts w:ascii="Arial" w:hAnsi="Arial"/>
                <w:b w:val="0"/>
                <w:sz w:val="15"/>
              </w:rPr>
              <w:t>Semantic + lexical search across safe metadata.</w:t>
            </w:r>
          </w:p>
        </w:tc>
      </w:tr>
      <w:tr>
        <w:tc>
          <w:tcPr>
            <w:tcW w:type="dxa" w:w="2016"/>
            <w:vAlign w:val="center"/>
          </w:tcPr>
          <w:p>
            <w:r/>
            <w:r>
              <w:rPr>
                <w:rFonts w:ascii="Arial" w:hAnsi="Arial"/>
                <w:b w:val="0"/>
                <w:sz w:val="15"/>
              </w:rPr>
              <w:t>Partner industry</w:t>
            </w:r>
          </w:p>
        </w:tc>
        <w:tc>
          <w:tcPr>
            <w:tcW w:type="dxa" w:w="2880"/>
            <w:vAlign w:val="center"/>
          </w:tcPr>
          <w:p>
            <w:r/>
            <w:r>
              <w:rPr>
                <w:rFonts w:ascii="Arial" w:hAnsi="Arial"/>
                <w:b w:val="0"/>
                <w:sz w:val="15"/>
              </w:rPr>
              <w:t>partner.industry</w:t>
            </w:r>
          </w:p>
        </w:tc>
        <w:tc>
          <w:tcPr>
            <w:tcW w:type="dxa" w:w="4608"/>
            <w:vAlign w:val="center"/>
          </w:tcPr>
          <w:p>
            <w:r/>
            <w:r>
              <w:rPr>
                <w:rFonts w:ascii="Arial" w:hAnsi="Arial"/>
                <w:b w:val="0"/>
                <w:sz w:val="15"/>
              </w:rPr>
              <w:t>Multi-select.</w:t>
            </w:r>
          </w:p>
        </w:tc>
      </w:tr>
      <w:tr>
        <w:tc>
          <w:tcPr>
            <w:tcW w:type="dxa" w:w="2016"/>
            <w:vAlign w:val="center"/>
          </w:tcPr>
          <w:p>
            <w:r/>
            <w:r>
              <w:rPr>
                <w:rFonts w:ascii="Arial" w:hAnsi="Arial"/>
                <w:b w:val="0"/>
                <w:sz w:val="15"/>
              </w:rPr>
              <w:t>Audience category</w:t>
            </w:r>
          </w:p>
        </w:tc>
        <w:tc>
          <w:tcPr>
            <w:tcW w:type="dxa" w:w="2880"/>
            <w:vAlign w:val="center"/>
          </w:tcPr>
          <w:p>
            <w:r/>
            <w:r>
              <w:rPr>
                <w:rFonts w:ascii="Arial" w:hAnsi="Arial"/>
                <w:b w:val="0"/>
                <w:sz w:val="15"/>
              </w:rPr>
              <w:t>segment.taxonomy</w:t>
            </w:r>
          </w:p>
        </w:tc>
        <w:tc>
          <w:tcPr>
            <w:tcW w:type="dxa" w:w="4608"/>
            <w:vAlign w:val="center"/>
          </w:tcPr>
          <w:p>
            <w:r/>
            <w:r>
              <w:rPr>
                <w:rFonts w:ascii="Arial" w:hAnsi="Arial"/>
                <w:b w:val="0"/>
                <w:sz w:val="15"/>
              </w:rPr>
              <w:t>Travel, finance, shopping, education, etc.</w:t>
            </w:r>
          </w:p>
        </w:tc>
      </w:tr>
      <w:tr>
        <w:tc>
          <w:tcPr>
            <w:tcW w:type="dxa" w:w="2016"/>
            <w:vAlign w:val="center"/>
          </w:tcPr>
          <w:p>
            <w:r/>
            <w:r>
              <w:rPr>
                <w:rFonts w:ascii="Arial" w:hAnsi="Arial"/>
                <w:b w:val="0"/>
                <w:sz w:val="15"/>
              </w:rPr>
              <w:t>Geography</w:t>
            </w:r>
          </w:p>
        </w:tc>
        <w:tc>
          <w:tcPr>
            <w:tcW w:type="dxa" w:w="2880"/>
            <w:vAlign w:val="center"/>
          </w:tcPr>
          <w:p>
            <w:r/>
            <w:r>
              <w:rPr>
                <w:rFonts w:ascii="Arial" w:hAnsi="Arial"/>
                <w:b w:val="0"/>
                <w:sz w:val="15"/>
              </w:rPr>
              <w:t>segment.geographies</w:t>
            </w:r>
          </w:p>
        </w:tc>
        <w:tc>
          <w:tcPr>
            <w:tcW w:type="dxa" w:w="4608"/>
            <w:vAlign w:val="center"/>
          </w:tcPr>
          <w:p>
            <w:r/>
            <w:r>
              <w:rPr>
                <w:rFonts w:ascii="Arial" w:hAnsi="Arial"/>
                <w:b w:val="0"/>
                <w:sz w:val="15"/>
              </w:rPr>
              <w:t>Country/state/city/region where published.</w:t>
            </w:r>
          </w:p>
        </w:tc>
      </w:tr>
      <w:tr>
        <w:tc>
          <w:tcPr>
            <w:tcW w:type="dxa" w:w="2016"/>
            <w:vAlign w:val="center"/>
          </w:tcPr>
          <w:p>
            <w:r/>
            <w:r>
              <w:rPr>
                <w:rFonts w:ascii="Arial" w:hAnsi="Arial"/>
                <w:b w:val="0"/>
                <w:sz w:val="15"/>
              </w:rPr>
              <w:t>Freshness</w:t>
            </w:r>
          </w:p>
        </w:tc>
        <w:tc>
          <w:tcPr>
            <w:tcW w:type="dxa" w:w="2880"/>
            <w:vAlign w:val="center"/>
          </w:tcPr>
          <w:p>
            <w:r/>
            <w:r>
              <w:rPr>
                <w:rFonts w:ascii="Arial" w:hAnsi="Arial"/>
                <w:b w:val="0"/>
                <w:sz w:val="15"/>
              </w:rPr>
              <w:t>freshness_at / refresh_frequency</w:t>
            </w:r>
          </w:p>
        </w:tc>
        <w:tc>
          <w:tcPr>
            <w:tcW w:type="dxa" w:w="4608"/>
            <w:vAlign w:val="center"/>
          </w:tcPr>
          <w:p>
            <w:r/>
            <w:r>
              <w:rPr>
                <w:rFonts w:ascii="Arial" w:hAnsi="Arial"/>
                <w:b w:val="0"/>
                <w:sz w:val="15"/>
              </w:rPr>
              <w:t>e.g. refreshed within 24h; daily-or-better.</w:t>
            </w:r>
          </w:p>
        </w:tc>
      </w:tr>
      <w:tr>
        <w:tc>
          <w:tcPr>
            <w:tcW w:type="dxa" w:w="2016"/>
            <w:vAlign w:val="center"/>
          </w:tcPr>
          <w:p>
            <w:r/>
            <w:r>
              <w:rPr>
                <w:rFonts w:ascii="Arial" w:hAnsi="Arial"/>
                <w:b w:val="0"/>
                <w:sz w:val="15"/>
              </w:rPr>
              <w:t>Estimated reach</w:t>
            </w:r>
          </w:p>
        </w:tc>
        <w:tc>
          <w:tcPr>
            <w:tcW w:type="dxa" w:w="2880"/>
            <w:vAlign w:val="center"/>
          </w:tcPr>
          <w:p>
            <w:r/>
            <w:r>
              <w:rPr>
                <w:rFonts w:ascii="Arial" w:hAnsi="Arial"/>
                <w:b w:val="0"/>
                <w:sz w:val="15"/>
              </w:rPr>
              <w:t>reach_bucket</w:t>
            </w:r>
          </w:p>
        </w:tc>
        <w:tc>
          <w:tcPr>
            <w:tcW w:type="dxa" w:w="4608"/>
            <w:vAlign w:val="center"/>
          </w:tcPr>
          <w:p>
            <w:r/>
            <w:r>
              <w:rPr>
                <w:rFonts w:ascii="Arial" w:hAnsi="Arial"/>
                <w:b w:val="0"/>
                <w:sz w:val="15"/>
              </w:rPr>
              <w:t>Range filter; no exact member export.</w:t>
            </w:r>
          </w:p>
        </w:tc>
      </w:tr>
      <w:tr>
        <w:tc>
          <w:tcPr>
            <w:tcW w:type="dxa" w:w="2016"/>
            <w:vAlign w:val="center"/>
          </w:tcPr>
          <w:p>
            <w:r/>
            <w:r>
              <w:rPr>
                <w:rFonts w:ascii="Arial" w:hAnsi="Arial"/>
                <w:b w:val="0"/>
                <w:sz w:val="15"/>
              </w:rPr>
              <w:t>Channel</w:t>
            </w:r>
          </w:p>
        </w:tc>
        <w:tc>
          <w:tcPr>
            <w:tcW w:type="dxa" w:w="2880"/>
            <w:vAlign w:val="center"/>
          </w:tcPr>
          <w:p>
            <w:r/>
            <w:r>
              <w:rPr>
                <w:rFonts w:ascii="Arial" w:hAnsi="Arial"/>
                <w:b w:val="0"/>
                <w:sz w:val="15"/>
              </w:rPr>
              <w:t>allowed_channels</w:t>
            </w:r>
          </w:p>
        </w:tc>
        <w:tc>
          <w:tcPr>
            <w:tcW w:type="dxa" w:w="4608"/>
            <w:vAlign w:val="center"/>
          </w:tcPr>
          <w:p>
            <w:r/>
            <w:r>
              <w:rPr>
                <w:rFonts w:ascii="Arial" w:hAnsi="Arial"/>
                <w:b w:val="0"/>
                <w:sz w:val="15"/>
              </w:rPr>
              <w:t>App, Website, Meta conditional, Google conditional.</w:t>
            </w:r>
          </w:p>
        </w:tc>
      </w:tr>
      <w:tr>
        <w:tc>
          <w:tcPr>
            <w:tcW w:type="dxa" w:w="2016"/>
            <w:vAlign w:val="center"/>
          </w:tcPr>
          <w:p>
            <w:r/>
            <w:r>
              <w:rPr>
                <w:rFonts w:ascii="Arial" w:hAnsi="Arial"/>
                <w:b w:val="0"/>
                <w:sz w:val="15"/>
              </w:rPr>
              <w:t>Placement type</w:t>
            </w:r>
          </w:p>
        </w:tc>
        <w:tc>
          <w:tcPr>
            <w:tcW w:type="dxa" w:w="2880"/>
            <w:vAlign w:val="center"/>
          </w:tcPr>
          <w:p>
            <w:r/>
            <w:r>
              <w:rPr>
                <w:rFonts w:ascii="Arial" w:hAnsi="Arial"/>
                <w:b w:val="0"/>
                <w:sz w:val="15"/>
              </w:rPr>
              <w:t>placement.type</w:t>
            </w:r>
          </w:p>
        </w:tc>
        <w:tc>
          <w:tcPr>
            <w:tcW w:type="dxa" w:w="4608"/>
            <w:vAlign w:val="center"/>
          </w:tcPr>
          <w:p>
            <w:r/>
            <w:r>
              <w:rPr>
                <w:rFonts w:ascii="Arial" w:hAnsi="Arial"/>
                <w:b w:val="0"/>
                <w:sz w:val="15"/>
              </w:rPr>
              <w:t>Native card, banner, booking-success, offer page, etc.</w:t>
            </w:r>
          </w:p>
        </w:tc>
      </w:tr>
      <w:tr>
        <w:tc>
          <w:tcPr>
            <w:tcW w:type="dxa" w:w="2016"/>
            <w:vAlign w:val="center"/>
          </w:tcPr>
          <w:p>
            <w:r/>
            <w:r>
              <w:rPr>
                <w:rFonts w:ascii="Arial" w:hAnsi="Arial"/>
                <w:b w:val="0"/>
                <w:sz w:val="15"/>
              </w:rPr>
              <w:t>Pricing model</w:t>
            </w:r>
          </w:p>
        </w:tc>
        <w:tc>
          <w:tcPr>
            <w:tcW w:type="dxa" w:w="2880"/>
            <w:vAlign w:val="center"/>
          </w:tcPr>
          <w:p>
            <w:r/>
            <w:r>
              <w:rPr>
                <w:rFonts w:ascii="Arial" w:hAnsi="Arial"/>
                <w:b w:val="0"/>
                <w:sz w:val="15"/>
              </w:rPr>
              <w:t>pricing_model</w:t>
            </w:r>
          </w:p>
        </w:tc>
        <w:tc>
          <w:tcPr>
            <w:tcW w:type="dxa" w:w="4608"/>
            <w:vAlign w:val="center"/>
          </w:tcPr>
          <w:p>
            <w:r/>
            <w:r>
              <w:rPr>
                <w:rFonts w:ascii="Arial" w:hAnsi="Arial"/>
                <w:b w:val="0"/>
                <w:sz w:val="15"/>
              </w:rPr>
              <w:t>CPM/CPL/CPQL/etc.</w:t>
            </w:r>
          </w:p>
        </w:tc>
      </w:tr>
      <w:tr>
        <w:tc>
          <w:tcPr>
            <w:tcW w:type="dxa" w:w="2016"/>
            <w:vAlign w:val="center"/>
          </w:tcPr>
          <w:p>
            <w:r/>
            <w:r>
              <w:rPr>
                <w:rFonts w:ascii="Arial" w:hAnsi="Arial"/>
                <w:b w:val="0"/>
                <w:sz w:val="15"/>
              </w:rPr>
              <w:t>Price range</w:t>
            </w:r>
          </w:p>
        </w:tc>
        <w:tc>
          <w:tcPr>
            <w:tcW w:type="dxa" w:w="2880"/>
            <w:vAlign w:val="center"/>
          </w:tcPr>
          <w:p>
            <w:r/>
            <w:r>
              <w:rPr>
                <w:rFonts w:ascii="Arial" w:hAnsi="Arial"/>
                <w:b w:val="0"/>
                <w:sz w:val="15"/>
              </w:rPr>
              <w:t>price/floor</w:t>
            </w:r>
          </w:p>
        </w:tc>
        <w:tc>
          <w:tcPr>
            <w:tcW w:type="dxa" w:w="4608"/>
            <w:vAlign w:val="center"/>
          </w:tcPr>
          <w:p>
            <w:r/>
            <w:r>
              <w:rPr>
                <w:rFonts w:ascii="Arial" w:hAnsi="Arial"/>
                <w:b w:val="0"/>
                <w:sz w:val="15"/>
              </w:rPr>
              <w:t>Currency-aware.</w:t>
            </w:r>
          </w:p>
        </w:tc>
      </w:tr>
      <w:tr>
        <w:tc>
          <w:tcPr>
            <w:tcW w:type="dxa" w:w="2016"/>
            <w:vAlign w:val="center"/>
          </w:tcPr>
          <w:p>
            <w:r/>
            <w:r>
              <w:rPr>
                <w:rFonts w:ascii="Arial" w:hAnsi="Arial"/>
                <w:b w:val="0"/>
                <w:sz w:val="15"/>
              </w:rPr>
              <w:t>Quality</w:t>
            </w:r>
          </w:p>
        </w:tc>
        <w:tc>
          <w:tcPr>
            <w:tcW w:type="dxa" w:w="2880"/>
            <w:vAlign w:val="center"/>
          </w:tcPr>
          <w:p>
            <w:r/>
            <w:r>
              <w:rPr>
                <w:rFonts w:ascii="Arial" w:hAnsi="Arial"/>
                <w:b w:val="0"/>
                <w:sz w:val="15"/>
              </w:rPr>
              <w:t>derived metrics</w:t>
            </w:r>
          </w:p>
        </w:tc>
        <w:tc>
          <w:tcPr>
            <w:tcW w:type="dxa" w:w="4608"/>
            <w:vAlign w:val="center"/>
          </w:tcPr>
          <w:p>
            <w:r/>
            <w:r>
              <w:rPr>
                <w:rFonts w:ascii="Arial" w:hAnsi="Arial"/>
                <w:b w:val="0"/>
                <w:sz w:val="15"/>
              </w:rPr>
              <w:t>Historical qualified-lead/conversion quality when enough data exists.</w:t>
            </w:r>
          </w:p>
        </w:tc>
      </w:tr>
      <w:tr>
        <w:tc>
          <w:tcPr>
            <w:tcW w:type="dxa" w:w="2016"/>
            <w:vAlign w:val="center"/>
          </w:tcPr>
          <w:p>
            <w:r/>
            <w:r>
              <w:rPr>
                <w:rFonts w:ascii="Arial" w:hAnsi="Arial"/>
                <w:b w:val="0"/>
                <w:sz w:val="15"/>
              </w:rPr>
              <w:t>Network</w:t>
            </w:r>
          </w:p>
        </w:tc>
        <w:tc>
          <w:tcPr>
            <w:tcW w:type="dxa" w:w="2880"/>
            <w:vAlign w:val="center"/>
          </w:tcPr>
          <w:p>
            <w:r/>
            <w:r>
              <w:rPr>
                <w:rFonts w:ascii="Arial" w:hAnsi="Arial"/>
                <w:b w:val="0"/>
                <w:sz w:val="15"/>
              </w:rPr>
              <w:t>network membership</w:t>
            </w:r>
          </w:p>
        </w:tc>
        <w:tc>
          <w:tcPr>
            <w:tcW w:type="dxa" w:w="4608"/>
            <w:vAlign w:val="center"/>
          </w:tcPr>
          <w:p>
            <w:r/>
            <w:r>
              <w:rPr>
                <w:rFonts w:ascii="Arial" w:hAnsi="Arial"/>
                <w:b w:val="0"/>
                <w:sz w:val="15"/>
              </w:rPr>
              <w:t>Private VC network or marketplace.</w:t>
            </w:r>
          </w:p>
        </w:tc>
      </w:tr>
    </w:tbl>
    <w:p/>
    <w:p>
      <w:pPr>
        <w:pStyle w:val="Heading2"/>
      </w:pPr>
      <w:r>
        <w:t>39.2 Search result card</w:t>
      </w:r>
    </w:p>
    <w:tbl>
      <w:tblPr>
        <w:tblStyle w:val="TableGrid"/>
        <w:tblW w:type="auto" w:w="0"/>
        <w:jc w:val="center"/>
        <w:tblLook w:firstColumn="1" w:firstRow="1" w:lastColumn="0" w:lastRow="0" w:noHBand="0" w:noVBand="1" w:val="04A0"/>
      </w:tblPr>
      <w:tblGrid>
        <w:gridCol w:w="5227"/>
        <w:gridCol w:w="5227"/>
      </w:tblGrid>
      <w:tr>
        <w:tc>
          <w:tcPr>
            <w:tcW w:type="dxa" w:w="2304"/>
            <w:vAlign w:val="center"/>
            <w:shd w:fill="1B4363"/>
          </w:tcPr>
          <w:p>
            <w:r/>
            <w:r>
              <w:rPr>
                <w:rFonts w:ascii="Arial" w:hAnsi="Arial"/>
                <w:b/>
                <w:color w:val="FFFFFF"/>
                <w:sz w:val="16"/>
              </w:rPr>
              <w:t>Element</w:t>
            </w:r>
          </w:p>
        </w:tc>
        <w:tc>
          <w:tcPr>
            <w:tcW w:type="dxa" w:w="7200"/>
            <w:vAlign w:val="center"/>
            <w:shd w:fill="1B4363"/>
          </w:tcPr>
          <w:p>
            <w:r/>
            <w:r>
              <w:rPr>
                <w:rFonts w:ascii="Arial" w:hAnsi="Arial"/>
                <w:b/>
                <w:color w:val="FFFFFF"/>
                <w:sz w:val="16"/>
              </w:rPr>
              <w:t>Displayed to Buyer</w:t>
            </w:r>
          </w:p>
        </w:tc>
      </w:tr>
      <w:tr>
        <w:tc>
          <w:tcPr>
            <w:tcW w:type="dxa" w:w="2304"/>
            <w:vAlign w:val="center"/>
          </w:tcPr>
          <w:p>
            <w:r/>
            <w:r>
              <w:rPr>
                <w:rFonts w:ascii="Arial" w:hAnsi="Arial"/>
                <w:b w:val="0"/>
                <w:sz w:val="15"/>
              </w:rPr>
              <w:t>Partner</w:t>
            </w:r>
          </w:p>
        </w:tc>
        <w:tc>
          <w:tcPr>
            <w:tcW w:type="dxa" w:w="7200"/>
            <w:vAlign w:val="center"/>
          </w:tcPr>
          <w:p>
            <w:r/>
            <w:r>
              <w:rPr>
                <w:rFonts w:ascii="Arial" w:hAnsi="Arial"/>
                <w:b w:val="0"/>
                <w:sz w:val="15"/>
              </w:rPr>
              <w:t>Public/approved Partner name and trust status</w:t>
            </w:r>
          </w:p>
        </w:tc>
      </w:tr>
      <w:tr>
        <w:tc>
          <w:tcPr>
            <w:tcW w:type="dxa" w:w="2304"/>
            <w:vAlign w:val="center"/>
          </w:tcPr>
          <w:p>
            <w:r/>
            <w:r>
              <w:rPr>
                <w:rFonts w:ascii="Arial" w:hAnsi="Arial"/>
                <w:b w:val="0"/>
                <w:sz w:val="15"/>
              </w:rPr>
              <w:t>Segment</w:t>
            </w:r>
          </w:p>
        </w:tc>
        <w:tc>
          <w:tcPr>
            <w:tcW w:type="dxa" w:w="7200"/>
            <w:vAlign w:val="center"/>
          </w:tcPr>
          <w:p>
            <w:r/>
            <w:r>
              <w:rPr>
                <w:rFonts w:ascii="Arial" w:hAnsi="Arial"/>
                <w:b w:val="0"/>
                <w:sz w:val="15"/>
              </w:rPr>
              <w:t>Safe name + definition</w:t>
            </w:r>
          </w:p>
        </w:tc>
      </w:tr>
      <w:tr>
        <w:tc>
          <w:tcPr>
            <w:tcW w:type="dxa" w:w="2304"/>
            <w:vAlign w:val="center"/>
          </w:tcPr>
          <w:p>
            <w:r/>
            <w:r>
              <w:rPr>
                <w:rFonts w:ascii="Arial" w:hAnsi="Arial"/>
                <w:b w:val="0"/>
                <w:sz w:val="15"/>
              </w:rPr>
              <w:t>Reach</w:t>
            </w:r>
          </w:p>
        </w:tc>
        <w:tc>
          <w:tcPr>
            <w:tcW w:type="dxa" w:w="7200"/>
            <w:vAlign w:val="center"/>
          </w:tcPr>
          <w:p>
            <w:r/>
            <w:r>
              <w:rPr>
                <w:rFonts w:ascii="Arial" w:hAnsi="Arial"/>
                <w:b w:val="0"/>
                <w:sz w:val="15"/>
              </w:rPr>
              <w:t>Bucket/range only unless Partner explicitly allows exact count</w:t>
            </w:r>
          </w:p>
        </w:tc>
      </w:tr>
      <w:tr>
        <w:tc>
          <w:tcPr>
            <w:tcW w:type="dxa" w:w="2304"/>
            <w:vAlign w:val="center"/>
          </w:tcPr>
          <w:p>
            <w:r/>
            <w:r>
              <w:rPr>
                <w:rFonts w:ascii="Arial" w:hAnsi="Arial"/>
                <w:b w:val="0"/>
                <w:sz w:val="15"/>
              </w:rPr>
              <w:t>Freshness</w:t>
            </w:r>
          </w:p>
        </w:tc>
        <w:tc>
          <w:tcPr>
            <w:tcW w:type="dxa" w:w="7200"/>
            <w:vAlign w:val="center"/>
          </w:tcPr>
          <w:p>
            <w:r/>
            <w:r>
              <w:rPr>
                <w:rFonts w:ascii="Arial" w:hAnsi="Arial"/>
                <w:b w:val="0"/>
                <w:sz w:val="15"/>
              </w:rPr>
              <w:t>Last refresh + cadence</w:t>
            </w:r>
          </w:p>
        </w:tc>
      </w:tr>
      <w:tr>
        <w:tc>
          <w:tcPr>
            <w:tcW w:type="dxa" w:w="2304"/>
            <w:vAlign w:val="center"/>
          </w:tcPr>
          <w:p>
            <w:r/>
            <w:r>
              <w:rPr>
                <w:rFonts w:ascii="Arial" w:hAnsi="Arial"/>
                <w:b w:val="0"/>
                <w:sz w:val="15"/>
              </w:rPr>
              <w:t>Channels</w:t>
            </w:r>
          </w:p>
        </w:tc>
        <w:tc>
          <w:tcPr>
            <w:tcW w:type="dxa" w:w="7200"/>
            <w:vAlign w:val="center"/>
          </w:tcPr>
          <w:p>
            <w:r/>
            <w:r>
              <w:rPr>
                <w:rFonts w:ascii="Arial" w:hAnsi="Arial"/>
                <w:b w:val="0"/>
                <w:sz w:val="15"/>
              </w:rPr>
              <w:t>App/Web/Meta conditional/Google conditional</w:t>
            </w:r>
          </w:p>
        </w:tc>
      </w:tr>
      <w:tr>
        <w:tc>
          <w:tcPr>
            <w:tcW w:type="dxa" w:w="2304"/>
            <w:vAlign w:val="center"/>
          </w:tcPr>
          <w:p>
            <w:r/>
            <w:r>
              <w:rPr>
                <w:rFonts w:ascii="Arial" w:hAnsi="Arial"/>
                <w:b w:val="0"/>
                <w:sz w:val="15"/>
              </w:rPr>
              <w:t>Placements</w:t>
            </w:r>
          </w:p>
        </w:tc>
        <w:tc>
          <w:tcPr>
            <w:tcW w:type="dxa" w:w="7200"/>
            <w:vAlign w:val="center"/>
          </w:tcPr>
          <w:p>
            <w:r/>
            <w:r>
              <w:rPr>
                <w:rFonts w:ascii="Arial" w:hAnsi="Arial"/>
                <w:b w:val="0"/>
                <w:sz w:val="15"/>
              </w:rPr>
              <w:t>Only public/approved placement categories</w:t>
            </w:r>
          </w:p>
        </w:tc>
      </w:tr>
      <w:tr>
        <w:tc>
          <w:tcPr>
            <w:tcW w:type="dxa" w:w="2304"/>
            <w:vAlign w:val="center"/>
          </w:tcPr>
          <w:p>
            <w:r/>
            <w:r>
              <w:rPr>
                <w:rFonts w:ascii="Arial" w:hAnsi="Arial"/>
                <w:b w:val="0"/>
                <w:sz w:val="15"/>
              </w:rPr>
              <w:t>Price</w:t>
            </w:r>
          </w:p>
        </w:tc>
        <w:tc>
          <w:tcPr>
            <w:tcW w:type="dxa" w:w="7200"/>
            <w:vAlign w:val="center"/>
          </w:tcPr>
          <w:p>
            <w:r/>
            <w:r>
              <w:rPr>
                <w:rFonts w:ascii="Arial" w:hAnsi="Arial"/>
                <w:b w:val="0"/>
                <w:sz w:val="15"/>
              </w:rPr>
              <w:t>Commercial model and indicative rate</w:t>
            </w:r>
          </w:p>
        </w:tc>
      </w:tr>
      <w:tr>
        <w:tc>
          <w:tcPr>
            <w:tcW w:type="dxa" w:w="2304"/>
            <w:vAlign w:val="center"/>
          </w:tcPr>
          <w:p>
            <w:r/>
            <w:r>
              <w:rPr>
                <w:rFonts w:ascii="Arial" w:hAnsi="Arial"/>
                <w:b w:val="0"/>
                <w:sz w:val="15"/>
              </w:rPr>
              <w:t>Quality</w:t>
            </w:r>
          </w:p>
        </w:tc>
        <w:tc>
          <w:tcPr>
            <w:tcW w:type="dxa" w:w="7200"/>
            <w:vAlign w:val="center"/>
          </w:tcPr>
          <w:p>
            <w:r/>
            <w:r>
              <w:rPr>
                <w:rFonts w:ascii="Arial" w:hAnsi="Arial"/>
                <w:b w:val="0"/>
                <w:sz w:val="15"/>
              </w:rPr>
              <w:t>Enough-sample historical aggregate metrics only</w:t>
            </w:r>
          </w:p>
        </w:tc>
      </w:tr>
      <w:tr>
        <w:tc>
          <w:tcPr>
            <w:tcW w:type="dxa" w:w="2304"/>
            <w:vAlign w:val="center"/>
          </w:tcPr>
          <w:p>
            <w:r/>
            <w:r>
              <w:rPr>
                <w:rFonts w:ascii="Arial" w:hAnsi="Arial"/>
                <w:b w:val="0"/>
                <w:sz w:val="15"/>
              </w:rPr>
              <w:t>CTA</w:t>
            </w:r>
          </w:p>
        </w:tc>
        <w:tc>
          <w:tcPr>
            <w:tcW w:type="dxa" w:w="7200"/>
            <w:vAlign w:val="center"/>
          </w:tcPr>
          <w:p>
            <w:r/>
            <w:r>
              <w:rPr>
                <w:rFonts w:ascii="Arial" w:hAnsi="Arial"/>
                <w:b w:val="0"/>
                <w:sz w:val="15"/>
              </w:rPr>
              <w:t>Add to campaign / Request access</w:t>
            </w:r>
          </w:p>
        </w:tc>
      </w:tr>
    </w:tbl>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No free-form raw filters against Partner DB</w:t>
            </w:r>
          </w:p>
          <w:p>
            <w:r>
              <w:rPr>
                <w:rFonts w:ascii="Arial" w:hAnsi="Arial"/>
                <w:sz w:val="18"/>
              </w:rPr>
              <w:t>For MVP, Buyers choose from Partner-published segments. Do not allow a Buyer to send arbitrary SQL-like rules such as age + card type + spend + destination directly against a Partner database. Later, support structured audience requests that the Partner maps to an approved local segment.</w:t>
            </w:r>
          </w:p>
        </w:tc>
      </w:tr>
    </w:tbl>
    <w:p/>
    <w:p>
      <w:pPr>
        <w:pStyle w:val="Heading1"/>
      </w:pPr>
      <w:r>
        <w:t>40. Campaign Builder - Screen-by-Screen Specification</w:t>
      </w:r>
    </w:p>
    <w:p>
      <w:pPr>
        <w:jc w:val="center"/>
      </w:pPr>
      <w:r>
        <w:drawing>
          <wp:inline xmlns:a="http://schemas.openxmlformats.org/drawingml/2006/main" xmlns:pic="http://schemas.openxmlformats.org/drawingml/2006/picture">
            <wp:extent cx="6217920" cy="268114"/>
            <wp:docPr id="17" name="Picture 17"/>
            <wp:cNvGraphicFramePr>
              <a:graphicFrameLocks noChangeAspect="1"/>
            </wp:cNvGraphicFramePr>
            <a:graphic>
              <a:graphicData uri="http://schemas.openxmlformats.org/drawingml/2006/picture">
                <pic:pic>
                  <pic:nvPicPr>
                    <pic:cNvPr id="0" name="15_campaign_builder_flow.png"/>
                    <pic:cNvPicPr/>
                  </pic:nvPicPr>
                  <pic:blipFill>
                    <a:blip r:embed="rId25"/>
                    <a:stretch>
                      <a:fillRect/>
                    </a:stretch>
                  </pic:blipFill>
                  <pic:spPr>
                    <a:xfrm>
                      <a:off x="0" y="0"/>
                      <a:ext cx="6217920" cy="268114"/>
                    </a:xfrm>
                    <a:prstGeom prst="rect"/>
                  </pic:spPr>
                </pic:pic>
              </a:graphicData>
            </a:graphic>
          </wp:inline>
        </w:drawing>
      </w:r>
    </w:p>
    <w:p>
      <w:pPr>
        <w:jc w:val="center"/>
      </w:pPr>
      <w:r>
        <w:rPr>
          <w:i/>
          <w:color w:val="4B5563"/>
          <w:sz w:val="16"/>
        </w:rPr>
        <w:t>Figure 17. Buyer campaign builder steps.</w:t>
      </w:r>
    </w:p>
    <w:p>
      <w:pPr>
        <w:pStyle w:val="Heading2"/>
      </w:pPr>
      <w:r>
        <w:t>40.1 Step 1 - Objective</w:t>
      </w:r>
    </w:p>
    <w:tbl>
      <w:tblPr>
        <w:tblStyle w:val="TableGrid"/>
        <w:tblW w:type="auto" w:w="0"/>
        <w:jc w:val="center"/>
        <w:tblLook w:firstColumn="1" w:firstRow="1" w:lastColumn="0" w:lastRow="0" w:noHBand="0" w:noVBand="1" w:val="04A0"/>
      </w:tblPr>
      <w:tblGrid>
        <w:gridCol w:w="5227"/>
        <w:gridCol w:w="5227"/>
      </w:tblGrid>
      <w:tr>
        <w:tc>
          <w:tcPr>
            <w:tcW w:type="dxa" w:w="2304"/>
            <w:vAlign w:val="center"/>
            <w:shd w:fill="1B4363"/>
          </w:tcPr>
          <w:p>
            <w:r/>
            <w:r>
              <w:rPr>
                <w:rFonts w:ascii="Arial" w:hAnsi="Arial"/>
                <w:b/>
                <w:color w:val="FFFFFF"/>
                <w:sz w:val="16"/>
              </w:rPr>
              <w:t>Objective</w:t>
            </w:r>
          </w:p>
        </w:tc>
        <w:tc>
          <w:tcPr>
            <w:tcW w:type="dxa" w:w="7200"/>
            <w:vAlign w:val="center"/>
            <w:shd w:fill="1B4363"/>
          </w:tcPr>
          <w:p>
            <w:r/>
            <w:r>
              <w:rPr>
                <w:rFonts w:ascii="Arial" w:hAnsi="Arial"/>
                <w:b/>
                <w:color w:val="FFFFFF"/>
                <w:sz w:val="16"/>
              </w:rPr>
              <w:t>Required outcome configuration</w:t>
            </w:r>
          </w:p>
        </w:tc>
      </w:tr>
      <w:tr>
        <w:tc>
          <w:tcPr>
            <w:tcW w:type="dxa" w:w="2304"/>
            <w:vAlign w:val="center"/>
          </w:tcPr>
          <w:p>
            <w:r/>
            <w:r>
              <w:rPr>
                <w:rFonts w:ascii="Arial" w:hAnsi="Arial"/>
                <w:b w:val="0"/>
                <w:sz w:val="15"/>
              </w:rPr>
              <w:t>Qualified Leads</w:t>
            </w:r>
          </w:p>
        </w:tc>
        <w:tc>
          <w:tcPr>
            <w:tcW w:type="dxa" w:w="7200"/>
            <w:vAlign w:val="center"/>
          </w:tcPr>
          <w:p>
            <w:r/>
            <w:r>
              <w:rPr>
                <w:rFonts w:ascii="Arial" w:hAnsi="Arial"/>
                <w:b w:val="0"/>
                <w:sz w:val="15"/>
              </w:rPr>
              <w:t>Define valid lead and qualified lead statuses; CRM feedback strongly recommended.</w:t>
            </w:r>
          </w:p>
        </w:tc>
      </w:tr>
      <w:tr>
        <w:tc>
          <w:tcPr>
            <w:tcW w:type="dxa" w:w="2304"/>
            <w:vAlign w:val="center"/>
          </w:tcPr>
          <w:p>
            <w:r/>
            <w:r>
              <w:rPr>
                <w:rFonts w:ascii="Arial" w:hAnsi="Arial"/>
                <w:b w:val="0"/>
                <w:sz w:val="15"/>
              </w:rPr>
              <w:t>Conversions</w:t>
            </w:r>
          </w:p>
        </w:tc>
        <w:tc>
          <w:tcPr>
            <w:tcW w:type="dxa" w:w="7200"/>
            <w:vAlign w:val="center"/>
          </w:tcPr>
          <w:p>
            <w:r/>
            <w:r>
              <w:rPr>
                <w:rFonts w:ascii="Arial" w:hAnsi="Arial"/>
                <w:b w:val="0"/>
                <w:sz w:val="15"/>
              </w:rPr>
              <w:t>Define conversion event and attribution window.</w:t>
            </w:r>
          </w:p>
        </w:tc>
      </w:tr>
      <w:tr>
        <w:tc>
          <w:tcPr>
            <w:tcW w:type="dxa" w:w="2304"/>
            <w:vAlign w:val="center"/>
          </w:tcPr>
          <w:p>
            <w:r/>
            <w:r>
              <w:rPr>
                <w:rFonts w:ascii="Arial" w:hAnsi="Arial"/>
                <w:b w:val="0"/>
                <w:sz w:val="15"/>
              </w:rPr>
              <w:t>Clicks / Traffic</w:t>
            </w:r>
          </w:p>
        </w:tc>
        <w:tc>
          <w:tcPr>
            <w:tcW w:type="dxa" w:w="7200"/>
            <w:vAlign w:val="center"/>
          </w:tcPr>
          <w:p>
            <w:r/>
            <w:r>
              <w:rPr>
                <w:rFonts w:ascii="Arial" w:hAnsi="Arial"/>
                <w:b w:val="0"/>
                <w:sz w:val="15"/>
              </w:rPr>
              <w:t>Landing URL + click KPI.</w:t>
            </w:r>
          </w:p>
        </w:tc>
      </w:tr>
      <w:tr>
        <w:tc>
          <w:tcPr>
            <w:tcW w:type="dxa" w:w="2304"/>
            <w:vAlign w:val="center"/>
          </w:tcPr>
          <w:p>
            <w:r/>
            <w:r>
              <w:rPr>
                <w:rFonts w:ascii="Arial" w:hAnsi="Arial"/>
                <w:b w:val="0"/>
                <w:sz w:val="15"/>
              </w:rPr>
              <w:t>Awareness</w:t>
            </w:r>
          </w:p>
        </w:tc>
        <w:tc>
          <w:tcPr>
            <w:tcW w:type="dxa" w:w="7200"/>
            <w:vAlign w:val="center"/>
          </w:tcPr>
          <w:p>
            <w:r/>
            <w:r>
              <w:rPr>
                <w:rFonts w:ascii="Arial" w:hAnsi="Arial"/>
                <w:b w:val="0"/>
                <w:sz w:val="15"/>
              </w:rPr>
              <w:t>Impression / reach KPI; still requires Partner approval and frequency cap.</w:t>
            </w:r>
          </w:p>
        </w:tc>
      </w:tr>
    </w:tbl>
    <w:p/>
    <w:p>
      <w:pPr>
        <w:pStyle w:val="Heading2"/>
      </w:pPr>
      <w:r>
        <w:t>40.2 Step 2 - Campaign basics</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center"/>
            <w:shd w:fill="1B4363"/>
          </w:tcPr>
          <w:p>
            <w:r/>
            <w:r>
              <w:rPr>
                <w:rFonts w:ascii="Arial" w:hAnsi="Arial"/>
                <w:b/>
                <w:color w:val="FFFFFF"/>
                <w:sz w:val="16"/>
              </w:rPr>
              <w:t>Field</w:t>
            </w:r>
          </w:p>
        </w:tc>
        <w:tc>
          <w:tcPr>
            <w:tcW w:type="dxa" w:w="1152"/>
            <w:vAlign w:val="center"/>
            <w:shd w:fill="1B4363"/>
          </w:tcPr>
          <w:p>
            <w:r/>
            <w:r>
              <w:rPr>
                <w:rFonts w:ascii="Arial" w:hAnsi="Arial"/>
                <w:b/>
                <w:color w:val="FFFFFF"/>
                <w:sz w:val="16"/>
              </w:rPr>
              <w:t>Required</w:t>
            </w:r>
          </w:p>
        </w:tc>
        <w:tc>
          <w:tcPr>
            <w:tcW w:type="dxa" w:w="5760"/>
            <w:vAlign w:val="center"/>
            <w:shd w:fill="1B4363"/>
          </w:tcPr>
          <w:p>
            <w:r/>
            <w:r>
              <w:rPr>
                <w:rFonts w:ascii="Arial" w:hAnsi="Arial"/>
                <w:b/>
                <w:color w:val="FFFFFF"/>
                <w:sz w:val="16"/>
              </w:rPr>
              <w:t>Validation</w:t>
            </w:r>
          </w:p>
        </w:tc>
      </w:tr>
      <w:tr>
        <w:tc>
          <w:tcPr>
            <w:tcW w:type="dxa" w:w="2592"/>
            <w:vAlign w:val="center"/>
          </w:tcPr>
          <w:p>
            <w:r/>
            <w:r>
              <w:rPr>
                <w:rFonts w:ascii="Arial" w:hAnsi="Arial"/>
                <w:b w:val="0"/>
                <w:sz w:val="15"/>
              </w:rPr>
              <w:t>Campaign name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3-120 chars; unique per Buyer recommended.</w:t>
            </w:r>
          </w:p>
        </w:tc>
      </w:tr>
      <w:tr>
        <w:tc>
          <w:tcPr>
            <w:tcW w:type="dxa" w:w="2592"/>
            <w:vAlign w:val="center"/>
          </w:tcPr>
          <w:p>
            <w:r/>
            <w:r>
              <w:rPr>
                <w:rFonts w:ascii="Arial" w:hAnsi="Arial"/>
                <w:b w:val="0"/>
                <w:sz w:val="15"/>
              </w:rPr>
              <w:t>Brand / advertiser identity</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Must belong to verified Buyer organization/brand profile.</w:t>
            </w:r>
          </w:p>
        </w:tc>
      </w:tr>
      <w:tr>
        <w:tc>
          <w:tcPr>
            <w:tcW w:type="dxa" w:w="2592"/>
            <w:vAlign w:val="center"/>
          </w:tcPr>
          <w:p>
            <w:r/>
            <w:r>
              <w:rPr>
                <w:rFonts w:ascii="Arial" w:hAnsi="Arial"/>
                <w:b w:val="0"/>
                <w:sz w:val="15"/>
              </w:rPr>
              <w:t>Product/service category</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Used for Partner category policy.</w:t>
            </w:r>
          </w:p>
        </w:tc>
      </w:tr>
      <w:tr>
        <w:tc>
          <w:tcPr>
            <w:tcW w:type="dxa" w:w="2592"/>
            <w:vAlign w:val="center"/>
          </w:tcPr>
          <w:p>
            <w:r/>
            <w:r>
              <w:rPr>
                <w:rFonts w:ascii="Arial" w:hAnsi="Arial"/>
                <w:b w:val="0"/>
                <w:sz w:val="15"/>
              </w:rPr>
              <w:t>Campaign purpose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Human-readable purpose plus purpose_id.</w:t>
            </w:r>
          </w:p>
        </w:tc>
      </w:tr>
      <w:tr>
        <w:tc>
          <w:tcPr>
            <w:tcW w:type="dxa" w:w="2592"/>
            <w:vAlign w:val="center"/>
          </w:tcPr>
          <w:p>
            <w:r/>
            <w:r>
              <w:rPr>
                <w:rFonts w:ascii="Arial" w:hAnsi="Arial"/>
                <w:b w:val="0"/>
                <w:sz w:val="15"/>
              </w:rPr>
              <w:t>Start date/time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Future or immediate if approval allows.</w:t>
            </w:r>
          </w:p>
        </w:tc>
      </w:tr>
      <w:tr>
        <w:tc>
          <w:tcPr>
            <w:tcW w:type="dxa" w:w="2592"/>
            <w:vAlign w:val="center"/>
          </w:tcPr>
          <w:p>
            <w:r/>
            <w:r>
              <w:rPr>
                <w:rFonts w:ascii="Arial" w:hAnsi="Arial"/>
                <w:b w:val="0"/>
                <w:sz w:val="15"/>
              </w:rPr>
              <w:t>End date/time</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After start; max duration policy configurable.</w:t>
            </w:r>
          </w:p>
        </w:tc>
      </w:tr>
      <w:tr>
        <w:tc>
          <w:tcPr>
            <w:tcW w:type="dxa" w:w="2592"/>
            <w:vAlign w:val="center"/>
          </w:tcPr>
          <w:p>
            <w:r/>
            <w:r>
              <w:rPr>
                <w:rFonts w:ascii="Arial" w:hAnsi="Arial"/>
                <w:b w:val="0"/>
                <w:sz w:val="15"/>
              </w:rPr>
              <w:t>Geography</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Must intersect selected segment/placement availability.</w:t>
            </w:r>
          </w:p>
        </w:tc>
      </w:tr>
      <w:tr>
        <w:tc>
          <w:tcPr>
            <w:tcW w:type="dxa" w:w="2592"/>
            <w:vAlign w:val="center"/>
          </w:tcPr>
          <w:p>
            <w:r/>
            <w:r>
              <w:rPr>
                <w:rFonts w:ascii="Arial" w:hAnsi="Arial"/>
                <w:b w:val="0"/>
                <w:sz w:val="15"/>
              </w:rPr>
              <w:t>Total budget</w:t>
            </w:r>
          </w:p>
        </w:tc>
        <w:tc>
          <w:tcPr>
            <w:tcW w:type="dxa" w:w="1152"/>
            <w:vAlign w:val="center"/>
          </w:tcPr>
          <w:p>
            <w:r/>
            <w:r>
              <w:rPr>
                <w:rFonts w:ascii="Arial" w:hAnsi="Arial"/>
                <w:b w:val="0"/>
                <w:sz w:val="15"/>
              </w:rPr>
              <w:t>Yes</w:t>
            </w:r>
          </w:p>
        </w:tc>
        <w:tc>
          <w:tcPr>
            <w:tcW w:type="dxa" w:w="5760"/>
            <w:vAlign w:val="center"/>
          </w:tcPr>
          <w:p>
            <w:r/>
            <w:r>
              <w:rPr>
                <w:rFonts w:ascii="Arial" w:hAnsi="Arial"/>
                <w:b w:val="0"/>
                <w:sz w:val="15"/>
              </w:rPr>
              <w:t>Positive money amount; currency fixed per campaign.</w:t>
            </w:r>
          </w:p>
        </w:tc>
      </w:tr>
      <w:tr>
        <w:tc>
          <w:tcPr>
            <w:tcW w:type="dxa" w:w="2592"/>
            <w:vAlign w:val="center"/>
          </w:tcPr>
          <w:p>
            <w:r/>
            <w:r>
              <w:rPr>
                <w:rFonts w:ascii="Arial" w:hAnsi="Arial"/>
                <w:b w:val="0"/>
                <w:sz w:val="15"/>
              </w:rPr>
              <w:t>Landing domain</w:t>
            </w:r>
          </w:p>
        </w:tc>
        <w:tc>
          <w:tcPr>
            <w:tcW w:type="dxa" w:w="1152"/>
            <w:vAlign w:val="center"/>
          </w:tcPr>
          <w:p>
            <w:r/>
            <w:r>
              <w:rPr>
                <w:rFonts w:ascii="Arial" w:hAnsi="Arial"/>
                <w:b w:val="0"/>
                <w:sz w:val="15"/>
              </w:rPr>
              <w:t>Conditional</w:t>
            </w:r>
          </w:p>
        </w:tc>
        <w:tc>
          <w:tcPr>
            <w:tcW w:type="dxa" w:w="5760"/>
            <w:vAlign w:val="center"/>
          </w:tcPr>
          <w:p>
            <w:r/>
            <w:r>
              <w:rPr>
                <w:rFonts w:ascii="Arial" w:hAnsi="Arial"/>
                <w:b w:val="0"/>
                <w:sz w:val="15"/>
              </w:rPr>
              <w:t>Required for click/lead campaigns; must be allow-listed/verified.</w:t>
            </w:r>
          </w:p>
        </w:tc>
      </w:tr>
    </w:tbl>
    <w:p/>
    <w:p>
      <w:pPr>
        <w:pStyle w:val="Heading2"/>
      </w:pPr>
      <w:r>
        <w:t>40.3 Step 3 - Audience discovery</w:t>
      </w:r>
    </w:p>
    <w:p>
      <w:pPr>
        <w:pStyle w:val="ListBullet"/>
        <w:spacing w:after="30"/>
      </w:pPr>
      <w:r>
        <w:t>Launch catalogue search from campaign context.</w:t>
      </w:r>
    </w:p>
    <w:p>
      <w:pPr>
        <w:pStyle w:val="ListBullet"/>
        <w:spacing w:after="30"/>
      </w:pPr>
      <w:r>
        <w:t>Preserve campaign geography, objective and category as pre-filters.</w:t>
      </w:r>
    </w:p>
    <w:p>
      <w:pPr>
        <w:pStyle w:val="ListBullet"/>
        <w:spacing w:after="30"/>
      </w:pPr>
      <w:r>
        <w:t>Buyer can add multiple Partner segments.</w:t>
      </w:r>
    </w:p>
    <w:p>
      <w:pPr>
        <w:pStyle w:val="ListBullet"/>
        <w:spacing w:after="30"/>
      </w:pPr>
      <w:r>
        <w:t>Display compatibility badges: Partner-owned channel available; external channel connected; external channel eligibility still checked later.</w:t>
      </w:r>
    </w:p>
    <w:p>
      <w:pPr>
        <w:pStyle w:val="ListBullet"/>
        <w:spacing w:after="30"/>
      </w:pPr>
      <w:r>
        <w:t>Do not claim a reach total by simply summing Partners because users can overlap.</w:t>
      </w:r>
    </w:p>
    <w:p>
      <w:pPr>
        <w:pStyle w:val="Heading2"/>
      </w:pPr>
      <w:r>
        <w:t>40.4 Step 4 - Partner selection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r/>
            <w:r>
              <w:rPr>
                <w:rFonts w:ascii="Arial" w:hAnsi="Arial"/>
                <w:b/>
                <w:color w:val="FFFFFF"/>
                <w:sz w:val="16"/>
              </w:rPr>
              <w:t>Rule</w:t>
            </w:r>
          </w:p>
        </w:tc>
        <w:tc>
          <w:tcPr>
            <w:tcW w:type="dxa" w:w="6768"/>
            <w:vAlign w:val="center"/>
            <w:shd w:fill="1B4363"/>
          </w:tcPr>
          <w:p>
            <w:r/>
            <w:r>
              <w:rPr>
                <w:rFonts w:ascii="Arial" w:hAnsi="Arial"/>
                <w:b/>
                <w:color w:val="FFFFFF"/>
                <w:sz w:val="16"/>
              </w:rPr>
              <w:t>Behavior</w:t>
            </w:r>
          </w:p>
        </w:tc>
      </w:tr>
      <w:tr>
        <w:tc>
          <w:tcPr>
            <w:tcW w:type="dxa" w:w="2880"/>
            <w:vAlign w:val="center"/>
          </w:tcPr>
          <w:p>
            <w:r/>
            <w:r>
              <w:rPr>
                <w:rFonts w:ascii="Arial" w:hAnsi="Arial"/>
                <w:b w:val="0"/>
                <w:sz w:val="15"/>
              </w:rPr>
              <w:t>Multi-partner</w:t>
            </w:r>
          </w:p>
        </w:tc>
        <w:tc>
          <w:tcPr>
            <w:tcW w:type="dxa" w:w="6768"/>
            <w:vAlign w:val="center"/>
          </w:tcPr>
          <w:p>
            <w:r/>
            <w:r>
              <w:rPr>
                <w:rFonts w:ascii="Arial" w:hAnsi="Arial"/>
                <w:b w:val="0"/>
                <w:sz w:val="15"/>
              </w:rPr>
              <w:t>One parent campaign may contain 1-N Partner requests.</w:t>
            </w:r>
          </w:p>
        </w:tc>
      </w:tr>
      <w:tr>
        <w:tc>
          <w:tcPr>
            <w:tcW w:type="dxa" w:w="2880"/>
            <w:vAlign w:val="center"/>
          </w:tcPr>
          <w:p>
            <w:r/>
            <w:r>
              <w:rPr>
                <w:rFonts w:ascii="Arial" w:hAnsi="Arial"/>
                <w:b w:val="0"/>
                <w:sz w:val="15"/>
              </w:rPr>
              <w:t>Isolation</w:t>
            </w:r>
          </w:p>
        </w:tc>
        <w:tc>
          <w:tcPr>
            <w:tcW w:type="dxa" w:w="6768"/>
            <w:vAlign w:val="center"/>
          </w:tcPr>
          <w:p>
            <w:r/>
            <w:r>
              <w:rPr>
                <w:rFonts w:ascii="Arial" w:hAnsi="Arial"/>
                <w:b w:val="0"/>
                <w:sz w:val="15"/>
              </w:rPr>
              <w:t>Every Partner receives only its own request.</w:t>
            </w:r>
          </w:p>
        </w:tc>
      </w:tr>
      <w:tr>
        <w:tc>
          <w:tcPr>
            <w:tcW w:type="dxa" w:w="2880"/>
            <w:vAlign w:val="center"/>
          </w:tcPr>
          <w:p>
            <w:r/>
            <w:r>
              <w:rPr>
                <w:rFonts w:ascii="Arial" w:hAnsi="Arial"/>
                <w:b w:val="0"/>
                <w:sz w:val="15"/>
              </w:rPr>
              <w:t>Partner removal before submit</w:t>
            </w:r>
          </w:p>
        </w:tc>
        <w:tc>
          <w:tcPr>
            <w:tcW w:type="dxa" w:w="6768"/>
            <w:vAlign w:val="center"/>
          </w:tcPr>
          <w:p>
            <w:r/>
            <w:r>
              <w:rPr>
                <w:rFonts w:ascii="Arial" w:hAnsi="Arial"/>
                <w:b w:val="0"/>
                <w:sz w:val="15"/>
              </w:rPr>
              <w:t>Allowed.</w:t>
            </w:r>
          </w:p>
        </w:tc>
      </w:tr>
      <w:tr>
        <w:tc>
          <w:tcPr>
            <w:tcW w:type="dxa" w:w="2880"/>
            <w:vAlign w:val="center"/>
          </w:tcPr>
          <w:p>
            <w:r/>
            <w:r>
              <w:rPr>
                <w:rFonts w:ascii="Arial" w:hAnsi="Arial"/>
                <w:b w:val="0"/>
                <w:sz w:val="15"/>
              </w:rPr>
              <w:t>Partner removal after approval</w:t>
            </w:r>
          </w:p>
        </w:tc>
        <w:tc>
          <w:tcPr>
            <w:tcW w:type="dxa" w:w="6768"/>
            <w:vAlign w:val="center"/>
          </w:tcPr>
          <w:p>
            <w:r/>
            <w:r>
              <w:rPr>
                <w:rFonts w:ascii="Arial" w:hAnsi="Arial"/>
                <w:b w:val="0"/>
                <w:sz w:val="15"/>
              </w:rPr>
              <w:t>Creates activation end/revocation workflow, not hard delete.</w:t>
            </w:r>
          </w:p>
        </w:tc>
      </w:tr>
      <w:tr>
        <w:tc>
          <w:tcPr>
            <w:tcW w:type="dxa" w:w="2880"/>
            <w:vAlign w:val="center"/>
          </w:tcPr>
          <w:p>
            <w:r/>
            <w:r>
              <w:rPr>
                <w:rFonts w:ascii="Arial" w:hAnsi="Arial"/>
                <w:b w:val="0"/>
                <w:sz w:val="15"/>
              </w:rPr>
              <w:t>One Partner rejects</w:t>
            </w:r>
          </w:p>
        </w:tc>
        <w:tc>
          <w:tcPr>
            <w:tcW w:type="dxa" w:w="6768"/>
            <w:vAlign w:val="center"/>
          </w:tcPr>
          <w:p>
            <w:r/>
            <w:r>
              <w:rPr>
                <w:rFonts w:ascii="Arial" w:hAnsi="Arial"/>
                <w:b w:val="0"/>
                <w:sz w:val="15"/>
              </w:rPr>
              <w:t>Other Partner activations can proceed; parent campaign becomes PARTIALLY_LIVE if applicable.</w:t>
            </w:r>
          </w:p>
        </w:tc>
      </w:tr>
    </w:tbl>
    <w:p/>
    <w:p>
      <w:pPr>
        <w:pStyle w:val="Heading2"/>
      </w:pPr>
      <w:r>
        <w:t>40.5 Step 5 - Channel and placement per Partner</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Channel</w:t>
            </w:r>
          </w:p>
        </w:tc>
        <w:tc>
          <w:tcPr>
            <w:tcW w:type="dxa" w:w="7056"/>
            <w:vAlign w:val="center"/>
            <w:shd w:fill="1B4363"/>
          </w:tcPr>
          <w:p>
            <w:r/>
            <w:r>
              <w:rPr>
                <w:rFonts w:ascii="Arial" w:hAnsi="Arial"/>
                <w:b/>
                <w:color w:val="FFFFFF"/>
                <w:sz w:val="16"/>
              </w:rPr>
              <w:t>Selection behavior</w:t>
            </w:r>
          </w:p>
        </w:tc>
      </w:tr>
      <w:tr>
        <w:tc>
          <w:tcPr>
            <w:tcW w:type="dxa" w:w="2592"/>
            <w:vAlign w:val="center"/>
          </w:tcPr>
          <w:p>
            <w:r/>
            <w:r>
              <w:rPr>
                <w:rFonts w:ascii="Arial" w:hAnsi="Arial"/>
                <w:b w:val="0"/>
                <w:sz w:val="15"/>
              </w:rPr>
              <w:t>Partner App</w:t>
            </w:r>
          </w:p>
        </w:tc>
        <w:tc>
          <w:tcPr>
            <w:tcW w:type="dxa" w:w="7056"/>
            <w:vAlign w:val="center"/>
          </w:tcPr>
          <w:p>
            <w:r/>
            <w:r>
              <w:rPr>
                <w:rFonts w:ascii="Arial" w:hAnsi="Arial"/>
                <w:b w:val="0"/>
                <w:sz w:val="15"/>
              </w:rPr>
              <w:t>Show only Partner-published app placements.</w:t>
            </w:r>
          </w:p>
        </w:tc>
      </w:tr>
      <w:tr>
        <w:tc>
          <w:tcPr>
            <w:tcW w:type="dxa" w:w="2592"/>
            <w:vAlign w:val="center"/>
          </w:tcPr>
          <w:p>
            <w:r/>
            <w:r>
              <w:rPr>
                <w:rFonts w:ascii="Arial" w:hAnsi="Arial"/>
                <w:b w:val="0"/>
                <w:sz w:val="15"/>
              </w:rPr>
              <w:t>Partner Website</w:t>
            </w:r>
          </w:p>
        </w:tc>
        <w:tc>
          <w:tcPr>
            <w:tcW w:type="dxa" w:w="7056"/>
            <w:vAlign w:val="center"/>
          </w:tcPr>
          <w:p>
            <w:r/>
            <w:r>
              <w:rPr>
                <w:rFonts w:ascii="Arial" w:hAnsi="Arial"/>
                <w:b w:val="0"/>
                <w:sz w:val="15"/>
              </w:rPr>
              <w:t>Show only Partner-published web placements.</w:t>
            </w:r>
          </w:p>
        </w:tc>
      </w:tr>
      <w:tr>
        <w:tc>
          <w:tcPr>
            <w:tcW w:type="dxa" w:w="2592"/>
            <w:vAlign w:val="center"/>
          </w:tcPr>
          <w:p>
            <w:r/>
            <w:r>
              <w:rPr>
                <w:rFonts w:ascii="Arial" w:hAnsi="Arial"/>
                <w:b w:val="0"/>
                <w:sz w:val="15"/>
              </w:rPr>
              <w:t>Meta</w:t>
            </w:r>
          </w:p>
        </w:tc>
        <w:tc>
          <w:tcPr>
            <w:tcW w:type="dxa" w:w="7056"/>
            <w:vAlign w:val="center"/>
          </w:tcPr>
          <w:p>
            <w:r/>
            <w:r>
              <w:rPr>
                <w:rFonts w:ascii="Arial" w:hAnsi="Arial"/>
                <w:b w:val="0"/>
                <w:sz w:val="15"/>
              </w:rPr>
              <w:t>Show as CONDITIONAL until campaign-level eligibility gate passes.</w:t>
            </w:r>
          </w:p>
        </w:tc>
      </w:tr>
      <w:tr>
        <w:tc>
          <w:tcPr>
            <w:tcW w:type="dxa" w:w="2592"/>
            <w:vAlign w:val="center"/>
          </w:tcPr>
          <w:p>
            <w:r/>
            <w:r>
              <w:rPr>
                <w:rFonts w:ascii="Arial" w:hAnsi="Arial"/>
                <w:b w:val="0"/>
                <w:sz w:val="15"/>
              </w:rPr>
              <w:t>Google</w:t>
            </w:r>
          </w:p>
        </w:tc>
        <w:tc>
          <w:tcPr>
            <w:tcW w:type="dxa" w:w="7056"/>
            <w:vAlign w:val="center"/>
          </w:tcPr>
          <w:p>
            <w:r/>
            <w:r>
              <w:rPr>
                <w:rFonts w:ascii="Arial" w:hAnsi="Arial"/>
                <w:b w:val="0"/>
                <w:sz w:val="15"/>
              </w:rPr>
              <w:t>Show as CONDITIONAL until first-party/account eligibility gate passes.</w:t>
            </w:r>
          </w:p>
        </w:tc>
      </w:tr>
      <w:tr>
        <w:tc>
          <w:tcPr>
            <w:tcW w:type="dxa" w:w="2592"/>
            <w:vAlign w:val="center"/>
          </w:tcPr>
          <w:p>
            <w:r/>
            <w:r>
              <w:rPr>
                <w:rFonts w:ascii="Arial" w:hAnsi="Arial"/>
                <w:b w:val="0"/>
                <w:sz w:val="15"/>
              </w:rPr>
              <w:t>Hybrid</w:t>
            </w:r>
          </w:p>
        </w:tc>
        <w:tc>
          <w:tcPr>
            <w:tcW w:type="dxa" w:w="7056"/>
            <w:vAlign w:val="center"/>
          </w:tcPr>
          <w:p>
            <w:r/>
            <w:r>
              <w:rPr>
                <w:rFonts w:ascii="Arial" w:hAnsi="Arial"/>
                <w:b w:val="0"/>
                <w:sz w:val="15"/>
              </w:rPr>
              <w:t>Creates separate activation records per channel; never a single ambiguous activation.</w:t>
            </w:r>
          </w:p>
        </w:tc>
      </w:tr>
    </w:tbl>
    <w:p/>
    <w:p>
      <w:pPr>
        <w:pStyle w:val="Heading2"/>
      </w:pPr>
      <w:r>
        <w:t>40.6 Step 6 - Budget allocation</w:t>
      </w:r>
    </w:p>
    <w:p>
      <w:pPr>
        <w:pStyle w:val="ListBullet"/>
        <w:spacing w:after="30"/>
      </w:pPr>
      <w:r>
        <w:t>Buyer enters total campaign budget.</w:t>
      </w:r>
    </w:p>
    <w:p>
      <w:pPr>
        <w:pStyle w:val="ListBullet"/>
        <w:spacing w:after="30"/>
      </w:pPr>
      <w:r>
        <w:t>For MVP, require explicit allocation per Partner/channel before submit.</w:t>
      </w:r>
    </w:p>
    <w:p>
      <w:pPr>
        <w:pStyle w:val="ListBullet"/>
        <w:spacing w:after="30"/>
      </w:pPr>
      <w:r>
        <w:t>Sum of allocations must be &lt;= total budget; reserve/unallocated amount allowed if configured.</w:t>
      </w:r>
    </w:p>
    <w:p>
      <w:pPr>
        <w:pStyle w:val="ListBullet"/>
        <w:spacing w:after="30"/>
      </w:pPr>
      <w:r>
        <w:t>Partner-owned media commercial basis may differ from external-media spend; store media_cost, partner_payout_basis and platform_fee separately.</w:t>
      </w:r>
    </w:p>
    <w:p>
      <w:pPr>
        <w:pStyle w:val="ListBullet"/>
        <w:spacing w:after="30"/>
      </w:pPr>
      <w:r>
        <w:t>Automated budget shifting is later and must respect Partner-approved maximums.</w:t>
      </w:r>
    </w:p>
    <w:p>
      <w:pPr>
        <w:pStyle w:val="Heading2"/>
      </w:pPr>
      <w:r>
        <w:t>40.7 Step 7 - Creative</w:t>
      </w:r>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B4363"/>
          </w:tcPr>
          <w:p>
            <w:r/>
            <w:r>
              <w:rPr>
                <w:rFonts w:ascii="Arial" w:hAnsi="Arial"/>
                <w:b/>
                <w:color w:val="FFFFFF"/>
                <w:sz w:val="16"/>
              </w:rPr>
              <w:t>Creative field</w:t>
            </w:r>
          </w:p>
        </w:tc>
        <w:tc>
          <w:tcPr>
            <w:tcW w:type="dxa" w:w="7200"/>
            <w:vAlign w:val="center"/>
            <w:shd w:fill="1B4363"/>
          </w:tcPr>
          <w:p>
            <w:r/>
            <w:r>
              <w:rPr>
                <w:rFonts w:ascii="Arial" w:hAnsi="Arial"/>
                <w:b/>
                <w:color w:val="FFFFFF"/>
                <w:sz w:val="16"/>
              </w:rPr>
              <w:t>Validation</w:t>
            </w:r>
          </w:p>
        </w:tc>
      </w:tr>
      <w:tr>
        <w:tc>
          <w:tcPr>
            <w:tcW w:type="dxa" w:w="2448"/>
            <w:vAlign w:val="center"/>
          </w:tcPr>
          <w:p>
            <w:r/>
            <w:r>
              <w:rPr>
                <w:rFonts w:ascii="Arial" w:hAnsi="Arial"/>
                <w:b w:val="0"/>
                <w:sz w:val="15"/>
              </w:rPr>
              <w:t>Format</w:t>
            </w:r>
          </w:p>
        </w:tc>
        <w:tc>
          <w:tcPr>
            <w:tcW w:type="dxa" w:w="7200"/>
            <w:vAlign w:val="center"/>
          </w:tcPr>
          <w:p>
            <w:r/>
            <w:r>
              <w:rPr>
                <w:rFonts w:ascii="Arial" w:hAnsi="Arial"/>
                <w:b w:val="0"/>
                <w:sz w:val="15"/>
              </w:rPr>
              <w:t>Image/video/native fields supported by selected placement/channel.</w:t>
            </w:r>
          </w:p>
        </w:tc>
      </w:tr>
      <w:tr>
        <w:tc>
          <w:tcPr>
            <w:tcW w:type="dxa" w:w="2448"/>
            <w:vAlign w:val="center"/>
          </w:tcPr>
          <w:p>
            <w:r/>
            <w:r>
              <w:rPr>
                <w:rFonts w:ascii="Arial" w:hAnsi="Arial"/>
                <w:b w:val="0"/>
                <w:sz w:val="15"/>
              </w:rPr>
              <w:t>Headline/body</w:t>
            </w:r>
          </w:p>
        </w:tc>
        <w:tc>
          <w:tcPr>
            <w:tcW w:type="dxa" w:w="7200"/>
            <w:vAlign w:val="center"/>
          </w:tcPr>
          <w:p>
            <w:r/>
            <w:r>
              <w:rPr>
                <w:rFonts w:ascii="Arial" w:hAnsi="Arial"/>
                <w:b w:val="0"/>
                <w:sz w:val="15"/>
              </w:rPr>
              <w:t>Length limits by placement/channel.</w:t>
            </w:r>
          </w:p>
        </w:tc>
      </w:tr>
      <w:tr>
        <w:tc>
          <w:tcPr>
            <w:tcW w:type="dxa" w:w="2448"/>
            <w:vAlign w:val="center"/>
          </w:tcPr>
          <w:p>
            <w:r/>
            <w:r>
              <w:rPr>
                <w:rFonts w:ascii="Arial" w:hAnsi="Arial"/>
                <w:b w:val="0"/>
                <w:sz w:val="15"/>
              </w:rPr>
              <w:t>CTA</w:t>
            </w:r>
          </w:p>
        </w:tc>
        <w:tc>
          <w:tcPr>
            <w:tcW w:type="dxa" w:w="7200"/>
            <w:vAlign w:val="center"/>
          </w:tcPr>
          <w:p>
            <w:r/>
            <w:r>
              <w:rPr>
                <w:rFonts w:ascii="Arial" w:hAnsi="Arial"/>
                <w:b w:val="0"/>
                <w:sz w:val="15"/>
              </w:rPr>
              <w:t>Allowed enum or Partner-defined text policy.</w:t>
            </w:r>
          </w:p>
        </w:tc>
      </w:tr>
      <w:tr>
        <w:tc>
          <w:tcPr>
            <w:tcW w:type="dxa" w:w="2448"/>
            <w:vAlign w:val="center"/>
          </w:tcPr>
          <w:p>
            <w:r/>
            <w:r>
              <w:rPr>
                <w:rFonts w:ascii="Arial" w:hAnsi="Arial"/>
                <w:b w:val="0"/>
                <w:sz w:val="15"/>
              </w:rPr>
              <w:t>Landing URL</w:t>
            </w:r>
          </w:p>
        </w:tc>
        <w:tc>
          <w:tcPr>
            <w:tcW w:type="dxa" w:w="7200"/>
            <w:vAlign w:val="center"/>
          </w:tcPr>
          <w:p>
            <w:r/>
            <w:r>
              <w:rPr>
                <w:rFonts w:ascii="Arial" w:hAnsi="Arial"/>
                <w:b w:val="0"/>
                <w:sz w:val="15"/>
              </w:rPr>
              <w:t>HTTPS; verified/allow-listed domain; no PII query parameters.</w:t>
            </w:r>
          </w:p>
        </w:tc>
      </w:tr>
      <w:tr>
        <w:tc>
          <w:tcPr>
            <w:tcW w:type="dxa" w:w="2448"/>
            <w:vAlign w:val="center"/>
          </w:tcPr>
          <w:p>
            <w:r/>
            <w:r>
              <w:rPr>
                <w:rFonts w:ascii="Arial" w:hAnsi="Arial"/>
                <w:b w:val="0"/>
                <w:sz w:val="15"/>
              </w:rPr>
              <w:t>Legal disclaimer</w:t>
            </w:r>
          </w:p>
        </w:tc>
        <w:tc>
          <w:tcPr>
            <w:tcW w:type="dxa" w:w="7200"/>
            <w:vAlign w:val="center"/>
          </w:tcPr>
          <w:p>
            <w:r/>
            <w:r>
              <w:rPr>
                <w:rFonts w:ascii="Arial" w:hAnsi="Arial"/>
                <w:b w:val="0"/>
                <w:sz w:val="15"/>
              </w:rPr>
              <w:t>Required by category/Partner policy when configured.</w:t>
            </w:r>
          </w:p>
        </w:tc>
      </w:tr>
      <w:tr>
        <w:tc>
          <w:tcPr>
            <w:tcW w:type="dxa" w:w="2448"/>
            <w:vAlign w:val="center"/>
          </w:tcPr>
          <w:p>
            <w:r/>
            <w:r>
              <w:rPr>
                <w:rFonts w:ascii="Arial" w:hAnsi="Arial"/>
                <w:b w:val="0"/>
                <w:sz w:val="15"/>
              </w:rPr>
              <w:t>Version</w:t>
            </w:r>
          </w:p>
        </w:tc>
        <w:tc>
          <w:tcPr>
            <w:tcW w:type="dxa" w:w="7200"/>
            <w:vAlign w:val="center"/>
          </w:tcPr>
          <w:p>
            <w:r/>
            <w:r>
              <w:rPr>
                <w:rFonts w:ascii="Arial" w:hAnsi="Arial"/>
                <w:b w:val="0"/>
                <w:sz w:val="15"/>
              </w:rPr>
              <w:t>Every edit creates creative version; Partner approval binds to version.</w:t>
            </w:r>
          </w:p>
        </w:tc>
      </w:tr>
    </w:tbl>
    <w:p/>
    <w:p>
      <w:pPr>
        <w:pStyle w:val="Heading2"/>
      </w:pPr>
      <w:r>
        <w:t>40.8 Step 8 - Lead / conversion definition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r/>
            <w:r>
              <w:rPr>
                <w:rFonts w:ascii="Arial" w:hAnsi="Arial"/>
                <w:b/>
                <w:color w:val="FFFFFF"/>
                <w:sz w:val="16"/>
              </w:rPr>
              <w:t>Field</w:t>
            </w:r>
          </w:p>
        </w:tc>
        <w:tc>
          <w:tcPr>
            <w:tcW w:type="dxa" w:w="6768"/>
            <w:vAlign w:val="center"/>
            <w:shd w:fill="1B4363"/>
          </w:tcPr>
          <w:p>
            <w:r/>
            <w:r>
              <w:rPr>
                <w:rFonts w:ascii="Arial" w:hAnsi="Arial"/>
                <w:b/>
                <w:color w:val="FFFFFF"/>
                <w:sz w:val="16"/>
              </w:rPr>
              <w:t>Example</w:t>
            </w:r>
          </w:p>
        </w:tc>
      </w:tr>
      <w:tr>
        <w:tc>
          <w:tcPr>
            <w:tcW w:type="dxa" w:w="2880"/>
            <w:vAlign w:val="center"/>
          </w:tcPr>
          <w:p>
            <w:r/>
            <w:r>
              <w:rPr>
                <w:rFonts w:ascii="Arial" w:hAnsi="Arial"/>
                <w:b w:val="0"/>
                <w:sz w:val="15"/>
              </w:rPr>
              <w:t>lead_received</w:t>
            </w:r>
          </w:p>
        </w:tc>
        <w:tc>
          <w:tcPr>
            <w:tcW w:type="dxa" w:w="6768"/>
            <w:vAlign w:val="center"/>
          </w:tcPr>
          <w:p>
            <w:r/>
            <w:r>
              <w:rPr>
                <w:rFonts w:ascii="Arial" w:hAnsi="Arial"/>
                <w:b w:val="0"/>
                <w:sz w:val="15"/>
              </w:rPr>
              <w:t>User submitted form</w:t>
            </w:r>
          </w:p>
        </w:tc>
      </w:tr>
      <w:tr>
        <w:tc>
          <w:tcPr>
            <w:tcW w:type="dxa" w:w="2880"/>
            <w:vAlign w:val="center"/>
          </w:tcPr>
          <w:p>
            <w:r/>
            <w:r>
              <w:rPr>
                <w:rFonts w:ascii="Arial" w:hAnsi="Arial"/>
                <w:b w:val="0"/>
                <w:sz w:val="15"/>
              </w:rPr>
              <w:t>valid_lead</w:t>
            </w:r>
          </w:p>
        </w:tc>
        <w:tc>
          <w:tcPr>
            <w:tcW w:type="dxa" w:w="6768"/>
            <w:vAlign w:val="center"/>
          </w:tcPr>
          <w:p>
            <w:r/>
            <w:r>
              <w:rPr>
                <w:rFonts w:ascii="Arial" w:hAnsi="Arial"/>
                <w:b w:val="0"/>
                <w:sz w:val="15"/>
              </w:rPr>
              <w:t>Valid reachable contact and not duplicate</w:t>
            </w:r>
          </w:p>
        </w:tc>
      </w:tr>
      <w:tr>
        <w:tc>
          <w:tcPr>
            <w:tcW w:type="dxa" w:w="2880"/>
            <w:vAlign w:val="center"/>
          </w:tcPr>
          <w:p>
            <w:r/>
            <w:r>
              <w:rPr>
                <w:rFonts w:ascii="Arial" w:hAnsi="Arial"/>
                <w:b w:val="0"/>
                <w:sz w:val="15"/>
              </w:rPr>
              <w:t>qualified_lead</w:t>
            </w:r>
          </w:p>
        </w:tc>
        <w:tc>
          <w:tcPr>
            <w:tcW w:type="dxa" w:w="6768"/>
            <w:vAlign w:val="center"/>
          </w:tcPr>
          <w:p>
            <w:r/>
            <w:r>
              <w:rPr>
                <w:rFonts w:ascii="Arial" w:hAnsi="Arial"/>
                <w:b w:val="0"/>
                <w:sz w:val="15"/>
              </w:rPr>
              <w:t>Confirmed interest + product-specific qualification</w:t>
            </w:r>
          </w:p>
        </w:tc>
      </w:tr>
      <w:tr>
        <w:tc>
          <w:tcPr>
            <w:tcW w:type="dxa" w:w="2880"/>
            <w:vAlign w:val="center"/>
          </w:tcPr>
          <w:p>
            <w:r/>
            <w:r>
              <w:rPr>
                <w:rFonts w:ascii="Arial" w:hAnsi="Arial"/>
                <w:b w:val="0"/>
                <w:sz w:val="15"/>
              </w:rPr>
              <w:t>conversion</w:t>
            </w:r>
          </w:p>
        </w:tc>
        <w:tc>
          <w:tcPr>
            <w:tcW w:type="dxa" w:w="6768"/>
            <w:vAlign w:val="center"/>
          </w:tcPr>
          <w:p>
            <w:r/>
            <w:r>
              <w:rPr>
                <w:rFonts w:ascii="Arial" w:hAnsi="Arial"/>
                <w:b w:val="0"/>
                <w:sz w:val="15"/>
              </w:rPr>
              <w:t>Policy purchase / approved loan / completed transaction</w:t>
            </w:r>
          </w:p>
        </w:tc>
      </w:tr>
      <w:tr>
        <w:tc>
          <w:tcPr>
            <w:tcW w:type="dxa" w:w="2880"/>
            <w:vAlign w:val="center"/>
          </w:tcPr>
          <w:p>
            <w:r/>
            <w:r>
              <w:rPr>
                <w:rFonts w:ascii="Arial" w:hAnsi="Arial"/>
                <w:b w:val="0"/>
                <w:sz w:val="15"/>
              </w:rPr>
              <w:t>CRM attribution key</w:t>
            </w:r>
          </w:p>
        </w:tc>
        <w:tc>
          <w:tcPr>
            <w:tcW w:type="dxa" w:w="6768"/>
            <w:vAlign w:val="center"/>
          </w:tcPr>
          <w:p>
            <w:r/>
            <w:r>
              <w:rPr>
                <w:rFonts w:ascii="Arial" w:hAnsi="Arial"/>
                <w:b w:val="0"/>
                <w:sz w:val="15"/>
              </w:rPr>
              <w:t>Opaque click_token; never Partner internal user ID</w:t>
            </w:r>
          </w:p>
        </w:tc>
      </w:tr>
      <w:tr>
        <w:tc>
          <w:tcPr>
            <w:tcW w:type="dxa" w:w="2880"/>
            <w:vAlign w:val="center"/>
          </w:tcPr>
          <w:p>
            <w:r/>
            <w:r>
              <w:rPr>
                <w:rFonts w:ascii="Arial" w:hAnsi="Arial"/>
                <w:b w:val="0"/>
                <w:sz w:val="15"/>
              </w:rPr>
              <w:t>duplicate window</w:t>
            </w:r>
          </w:p>
        </w:tc>
        <w:tc>
          <w:tcPr>
            <w:tcW w:type="dxa" w:w="6768"/>
            <w:vAlign w:val="center"/>
          </w:tcPr>
          <w:p>
            <w:r/>
            <w:r>
              <w:rPr>
                <w:rFonts w:ascii="Arial" w:hAnsi="Arial"/>
                <w:b w:val="0"/>
                <w:sz w:val="15"/>
              </w:rPr>
              <w:t>Buyer-defined, e.g. 30 days</w:t>
            </w:r>
          </w:p>
        </w:tc>
      </w:tr>
    </w:tbl>
    <w:p/>
    <w:p>
      <w:pPr>
        <w:pStyle w:val="Heading2"/>
      </w:pPr>
      <w:r>
        <w:t>40.9 Step 9 - Review and submit</w:t>
      </w:r>
    </w:p>
    <w:p>
      <w:pPr>
        <w:pStyle w:val="ListBullet"/>
        <w:spacing w:after="30"/>
      </w:pPr>
      <w:r>
        <w:t>Show parent campaign summary and one card per Partner activation request.</w:t>
      </w:r>
    </w:p>
    <w:p>
      <w:pPr>
        <w:pStyle w:val="ListBullet"/>
        <w:spacing w:after="30"/>
      </w:pPr>
      <w:r>
        <w:t>Clearly label external channels as pending eligibility.</w:t>
      </w:r>
    </w:p>
    <w:p>
      <w:pPr>
        <w:pStyle w:val="ListBullet"/>
        <w:spacing w:after="30"/>
      </w:pPr>
      <w:r>
        <w:t>Warn if Partner request uses a new/unapproved creative.</w:t>
      </w:r>
    </w:p>
    <w:p>
      <w:pPr>
        <w:pStyle w:val="ListBullet"/>
        <w:spacing w:after="30"/>
      </w:pPr>
      <w:r>
        <w:t>On submit, freeze request version and create immutable request snapshot.</w:t>
      </w:r>
    </w:p>
    <w:p>
      <w:pPr>
        <w:pStyle w:val="ListBullet"/>
        <w:spacing w:after="30"/>
      </w:pPr>
      <w:r>
        <w:t>Generate request_id per Partner and notify Partner approvers.</w:t>
      </w:r>
    </w:p>
    <w:p>
      <w:pPr>
        <w:pStyle w:val="Heading1"/>
      </w:pPr>
      <w:r>
        <w:t>41. Partner Campaign Approval Center</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r/>
            <w:r>
              <w:rPr>
                <w:rFonts w:ascii="Arial" w:hAnsi="Arial"/>
                <w:b/>
                <w:color w:val="FFFFFF"/>
                <w:sz w:val="16"/>
              </w:rPr>
              <w:t>Partner sees</w:t>
            </w:r>
          </w:p>
        </w:tc>
        <w:tc>
          <w:tcPr>
            <w:tcW w:type="dxa" w:w="6480"/>
            <w:vAlign w:val="center"/>
            <w:shd w:fill="1B4363"/>
          </w:tcPr>
          <w:p>
            <w:r/>
            <w:r>
              <w:rPr>
                <w:rFonts w:ascii="Arial" w:hAnsi="Arial"/>
                <w:b/>
                <w:color w:val="FFFFFF"/>
                <w:sz w:val="16"/>
              </w:rPr>
              <w:t>Why</w:t>
            </w:r>
          </w:p>
        </w:tc>
      </w:tr>
      <w:tr>
        <w:tc>
          <w:tcPr>
            <w:tcW w:type="dxa" w:w="3168"/>
            <w:vAlign w:val="center"/>
          </w:tcPr>
          <w:p>
            <w:r/>
            <w:r>
              <w:rPr>
                <w:rFonts w:ascii="Arial" w:hAnsi="Arial"/>
                <w:b w:val="0"/>
                <w:sz w:val="15"/>
              </w:rPr>
              <w:t>Buyer / brand identity</w:t>
            </w:r>
          </w:p>
        </w:tc>
        <w:tc>
          <w:tcPr>
            <w:tcW w:type="dxa" w:w="6480"/>
            <w:vAlign w:val="center"/>
          </w:tcPr>
          <w:p>
            <w:r/>
            <w:r>
              <w:rPr>
                <w:rFonts w:ascii="Arial" w:hAnsi="Arial"/>
                <w:b w:val="0"/>
                <w:sz w:val="15"/>
              </w:rPr>
              <w:t>Know who is advertising.</w:t>
            </w:r>
          </w:p>
        </w:tc>
      </w:tr>
      <w:tr>
        <w:tc>
          <w:tcPr>
            <w:tcW w:type="dxa" w:w="3168"/>
            <w:vAlign w:val="center"/>
          </w:tcPr>
          <w:p>
            <w:r/>
            <w:r>
              <w:rPr>
                <w:rFonts w:ascii="Arial" w:hAnsi="Arial"/>
                <w:b w:val="0"/>
                <w:sz w:val="15"/>
              </w:rPr>
              <w:t>Product/category</w:t>
            </w:r>
          </w:p>
        </w:tc>
        <w:tc>
          <w:tcPr>
            <w:tcW w:type="dxa" w:w="6480"/>
            <w:vAlign w:val="center"/>
          </w:tcPr>
          <w:p>
            <w:r/>
            <w:r>
              <w:rPr>
                <w:rFonts w:ascii="Arial" w:hAnsi="Arial"/>
                <w:b w:val="0"/>
                <w:sz w:val="15"/>
              </w:rPr>
              <w:t>Apply allowed/blocked policy.</w:t>
            </w:r>
          </w:p>
        </w:tc>
      </w:tr>
      <w:tr>
        <w:tc>
          <w:tcPr>
            <w:tcW w:type="dxa" w:w="3168"/>
            <w:vAlign w:val="center"/>
          </w:tcPr>
          <w:p>
            <w:r/>
            <w:r>
              <w:rPr>
                <w:rFonts w:ascii="Arial" w:hAnsi="Arial"/>
                <w:b w:val="0"/>
                <w:sz w:val="15"/>
              </w:rPr>
              <w:t>Purpose and segment requested</w:t>
            </w:r>
          </w:p>
        </w:tc>
        <w:tc>
          <w:tcPr>
            <w:tcW w:type="dxa" w:w="6480"/>
            <w:vAlign w:val="center"/>
          </w:tcPr>
          <w:p>
            <w:r/>
            <w:r>
              <w:rPr>
                <w:rFonts w:ascii="Arial" w:hAnsi="Arial"/>
                <w:b w:val="0"/>
                <w:sz w:val="15"/>
              </w:rPr>
              <w:t>Confirm intended audience use.</w:t>
            </w:r>
          </w:p>
        </w:tc>
      </w:tr>
      <w:tr>
        <w:tc>
          <w:tcPr>
            <w:tcW w:type="dxa" w:w="3168"/>
            <w:vAlign w:val="center"/>
          </w:tcPr>
          <w:p>
            <w:r/>
            <w:r>
              <w:rPr>
                <w:rFonts w:ascii="Arial" w:hAnsi="Arial"/>
                <w:b w:val="0"/>
                <w:sz w:val="15"/>
              </w:rPr>
              <w:t>Reach estimate / requested volume</w:t>
            </w:r>
          </w:p>
        </w:tc>
        <w:tc>
          <w:tcPr>
            <w:tcW w:type="dxa" w:w="6480"/>
            <w:vAlign w:val="center"/>
          </w:tcPr>
          <w:p>
            <w:r/>
            <w:r>
              <w:rPr>
                <w:rFonts w:ascii="Arial" w:hAnsi="Arial"/>
                <w:b w:val="0"/>
                <w:sz w:val="15"/>
              </w:rPr>
              <w:t>Commercial planning.</w:t>
            </w:r>
          </w:p>
        </w:tc>
      </w:tr>
      <w:tr>
        <w:tc>
          <w:tcPr>
            <w:tcW w:type="dxa" w:w="3168"/>
            <w:vAlign w:val="center"/>
          </w:tcPr>
          <w:p>
            <w:r/>
            <w:r>
              <w:rPr>
                <w:rFonts w:ascii="Arial" w:hAnsi="Arial"/>
                <w:b w:val="0"/>
                <w:sz w:val="15"/>
              </w:rPr>
              <w:t>Channel and placement</w:t>
            </w:r>
          </w:p>
        </w:tc>
        <w:tc>
          <w:tcPr>
            <w:tcW w:type="dxa" w:w="6480"/>
            <w:vAlign w:val="center"/>
          </w:tcPr>
          <w:p>
            <w:r/>
            <w:r>
              <w:rPr>
                <w:rFonts w:ascii="Arial" w:hAnsi="Arial"/>
                <w:b w:val="0"/>
                <w:sz w:val="15"/>
              </w:rPr>
              <w:t>Control where campaign may run.</w:t>
            </w:r>
          </w:p>
        </w:tc>
      </w:tr>
      <w:tr>
        <w:tc>
          <w:tcPr>
            <w:tcW w:type="dxa" w:w="3168"/>
            <w:vAlign w:val="center"/>
          </w:tcPr>
          <w:p>
            <w:r/>
            <w:r>
              <w:rPr>
                <w:rFonts w:ascii="Arial" w:hAnsi="Arial"/>
                <w:b w:val="0"/>
                <w:sz w:val="15"/>
              </w:rPr>
              <w:t>Creative version and landing domain</w:t>
            </w:r>
          </w:p>
        </w:tc>
        <w:tc>
          <w:tcPr>
            <w:tcW w:type="dxa" w:w="6480"/>
            <w:vAlign w:val="center"/>
          </w:tcPr>
          <w:p>
            <w:r/>
            <w:r>
              <w:rPr>
                <w:rFonts w:ascii="Arial" w:hAnsi="Arial"/>
                <w:b w:val="0"/>
                <w:sz w:val="15"/>
              </w:rPr>
              <w:t>Brand safety and UX control.</w:t>
            </w:r>
          </w:p>
        </w:tc>
      </w:tr>
      <w:tr>
        <w:tc>
          <w:tcPr>
            <w:tcW w:type="dxa" w:w="3168"/>
            <w:vAlign w:val="center"/>
          </w:tcPr>
          <w:p>
            <w:r/>
            <w:r>
              <w:rPr>
                <w:rFonts w:ascii="Arial" w:hAnsi="Arial"/>
                <w:b w:val="0"/>
                <w:sz w:val="15"/>
              </w:rPr>
              <w:t>Dates and frequency cap</w:t>
            </w:r>
          </w:p>
        </w:tc>
        <w:tc>
          <w:tcPr>
            <w:tcW w:type="dxa" w:w="6480"/>
            <w:vAlign w:val="center"/>
          </w:tcPr>
          <w:p>
            <w:r/>
            <w:r>
              <w:rPr>
                <w:rFonts w:ascii="Arial" w:hAnsi="Arial"/>
                <w:b w:val="0"/>
                <w:sz w:val="15"/>
              </w:rPr>
              <w:t>Limit duration/use.</w:t>
            </w:r>
          </w:p>
        </w:tc>
      </w:tr>
      <w:tr>
        <w:tc>
          <w:tcPr>
            <w:tcW w:type="dxa" w:w="3168"/>
            <w:vAlign w:val="center"/>
          </w:tcPr>
          <w:p>
            <w:r/>
            <w:r>
              <w:rPr>
                <w:rFonts w:ascii="Arial" w:hAnsi="Arial"/>
                <w:b w:val="0"/>
                <w:sz w:val="15"/>
              </w:rPr>
              <w:t>Budget, partner payout, pricing basis</w:t>
            </w:r>
          </w:p>
        </w:tc>
        <w:tc>
          <w:tcPr>
            <w:tcW w:type="dxa" w:w="6480"/>
            <w:vAlign w:val="center"/>
          </w:tcPr>
          <w:p>
            <w:r/>
            <w:r>
              <w:rPr>
                <w:rFonts w:ascii="Arial" w:hAnsi="Arial"/>
                <w:b w:val="0"/>
                <w:sz w:val="15"/>
              </w:rPr>
              <w:t>Commercial acceptance.</w:t>
            </w:r>
          </w:p>
        </w:tc>
      </w:tr>
      <w:tr>
        <w:tc>
          <w:tcPr>
            <w:tcW w:type="dxa" w:w="3168"/>
            <w:vAlign w:val="center"/>
          </w:tcPr>
          <w:p>
            <w:r/>
            <w:r>
              <w:rPr>
                <w:rFonts w:ascii="Arial" w:hAnsi="Arial"/>
                <w:b w:val="0"/>
                <w:sz w:val="15"/>
              </w:rPr>
              <w:t>Lead definition</w:t>
            </w:r>
          </w:p>
        </w:tc>
        <w:tc>
          <w:tcPr>
            <w:tcW w:type="dxa" w:w="6480"/>
            <w:vAlign w:val="center"/>
          </w:tcPr>
          <w:p>
            <w:r/>
            <w:r>
              <w:rPr>
                <w:rFonts w:ascii="Arial" w:hAnsi="Arial"/>
                <w:b w:val="0"/>
                <w:sz w:val="15"/>
              </w:rPr>
              <w:t>Know what outcome drives payout.</w:t>
            </w:r>
          </w:p>
        </w:tc>
      </w:tr>
      <w:tr>
        <w:tc>
          <w:tcPr>
            <w:tcW w:type="dxa" w:w="3168"/>
            <w:vAlign w:val="center"/>
          </w:tcPr>
          <w:p>
            <w:r/>
            <w:r>
              <w:rPr>
                <w:rFonts w:ascii="Arial" w:hAnsi="Arial"/>
                <w:b w:val="0"/>
                <w:sz w:val="15"/>
              </w:rPr>
              <w:t>Expansion/lookalike flag</w:t>
            </w:r>
          </w:p>
        </w:tc>
        <w:tc>
          <w:tcPr>
            <w:tcW w:type="dxa" w:w="6480"/>
            <w:vAlign w:val="center"/>
          </w:tcPr>
          <w:p>
            <w:r/>
            <w:r>
              <w:rPr>
                <w:rFonts w:ascii="Arial" w:hAnsi="Arial"/>
                <w:b w:val="0"/>
                <w:sz w:val="15"/>
              </w:rPr>
              <w:t>Prevent unauthorized audience expansion.</w:t>
            </w:r>
          </w:p>
        </w:tc>
      </w:tr>
      <w:tr>
        <w:tc>
          <w:tcPr>
            <w:tcW w:type="dxa" w:w="3168"/>
            <w:vAlign w:val="center"/>
          </w:tcPr>
          <w:p>
            <w:r/>
            <w:r>
              <w:rPr>
                <w:rFonts w:ascii="Arial" w:hAnsi="Arial"/>
                <w:b w:val="0"/>
                <w:sz w:val="15"/>
              </w:rPr>
              <w:t>External account target</w:t>
            </w:r>
          </w:p>
        </w:tc>
        <w:tc>
          <w:tcPr>
            <w:tcW w:type="dxa" w:w="6480"/>
            <w:vAlign w:val="center"/>
          </w:tcPr>
          <w:p>
            <w:r/>
            <w:r>
              <w:rPr>
                <w:rFonts w:ascii="Arial" w:hAnsi="Arial"/>
                <w:b w:val="0"/>
                <w:sz w:val="15"/>
              </w:rPr>
              <w:t>Required for Meta/Google authorization.</w:t>
            </w:r>
          </w:p>
        </w:tc>
      </w:tr>
    </w:tbl>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Decision</w:t>
            </w:r>
          </w:p>
        </w:tc>
        <w:tc>
          <w:tcPr>
            <w:tcW w:type="dxa" w:w="7056"/>
            <w:vAlign w:val="center"/>
            <w:shd w:fill="1B4363"/>
          </w:tcPr>
          <w:p>
            <w:r/>
            <w:r>
              <w:rPr>
                <w:rFonts w:ascii="Arial" w:hAnsi="Arial"/>
                <w:b/>
                <w:color w:val="FFFFFF"/>
                <w:sz w:val="16"/>
              </w:rPr>
              <w:t>Effect</w:t>
            </w:r>
          </w:p>
        </w:tc>
      </w:tr>
      <w:tr>
        <w:tc>
          <w:tcPr>
            <w:tcW w:type="dxa" w:w="2592"/>
            <w:vAlign w:val="center"/>
          </w:tcPr>
          <w:p>
            <w:r/>
            <w:r>
              <w:rPr>
                <w:rFonts w:ascii="Arial" w:hAnsi="Arial"/>
                <w:b w:val="0"/>
                <w:sz w:val="15"/>
              </w:rPr>
              <w:t>APPROVE</w:t>
            </w:r>
          </w:p>
        </w:tc>
        <w:tc>
          <w:tcPr>
            <w:tcW w:type="dxa" w:w="7056"/>
            <w:vAlign w:val="center"/>
          </w:tcPr>
          <w:p>
            <w:r/>
            <w:r>
              <w:rPr>
                <w:rFonts w:ascii="Arial" w:hAnsi="Arial"/>
                <w:b w:val="0"/>
                <w:sz w:val="15"/>
              </w:rPr>
              <w:t>Locks approved request version; creates activation + signed manifest after channel checks.</w:t>
            </w:r>
          </w:p>
        </w:tc>
      </w:tr>
      <w:tr>
        <w:tc>
          <w:tcPr>
            <w:tcW w:type="dxa" w:w="2592"/>
            <w:vAlign w:val="center"/>
          </w:tcPr>
          <w:p>
            <w:r/>
            <w:r>
              <w:rPr>
                <w:rFonts w:ascii="Arial" w:hAnsi="Arial"/>
                <w:b w:val="0"/>
                <w:sz w:val="15"/>
              </w:rPr>
              <w:t>REQUEST_CHANGE</w:t>
            </w:r>
          </w:p>
        </w:tc>
        <w:tc>
          <w:tcPr>
            <w:tcW w:type="dxa" w:w="7056"/>
            <w:vAlign w:val="center"/>
          </w:tcPr>
          <w:p>
            <w:r/>
            <w:r>
              <w:rPr>
                <w:rFonts w:ascii="Arial" w:hAnsi="Arial"/>
                <w:b w:val="0"/>
                <w:sz w:val="15"/>
              </w:rPr>
              <w:t>Partner selects fields/reason; Buyer edits and resubmits new version.</w:t>
            </w:r>
          </w:p>
        </w:tc>
      </w:tr>
      <w:tr>
        <w:tc>
          <w:tcPr>
            <w:tcW w:type="dxa" w:w="2592"/>
            <w:vAlign w:val="center"/>
          </w:tcPr>
          <w:p>
            <w:r/>
            <w:r>
              <w:rPr>
                <w:rFonts w:ascii="Arial" w:hAnsi="Arial"/>
                <w:b w:val="0"/>
                <w:sz w:val="15"/>
              </w:rPr>
              <w:t>REJECT</w:t>
            </w:r>
          </w:p>
        </w:tc>
        <w:tc>
          <w:tcPr>
            <w:tcW w:type="dxa" w:w="7056"/>
            <w:vAlign w:val="center"/>
          </w:tcPr>
          <w:p>
            <w:r/>
            <w:r>
              <w:rPr>
                <w:rFonts w:ascii="Arial" w:hAnsi="Arial"/>
                <w:b w:val="0"/>
                <w:sz w:val="15"/>
              </w:rPr>
              <w:t>No activation; reason recorded; Buyer may create a new request later.</w:t>
            </w:r>
          </w:p>
        </w:tc>
      </w:tr>
      <w:tr>
        <w:tc>
          <w:tcPr>
            <w:tcW w:type="dxa" w:w="2592"/>
            <w:vAlign w:val="center"/>
          </w:tcPr>
          <w:p>
            <w:r/>
            <w:r>
              <w:rPr>
                <w:rFonts w:ascii="Arial" w:hAnsi="Arial"/>
                <w:b w:val="0"/>
                <w:sz w:val="15"/>
              </w:rPr>
              <w:t>REVOKE</w:t>
            </w:r>
          </w:p>
        </w:tc>
        <w:tc>
          <w:tcPr>
            <w:tcW w:type="dxa" w:w="7056"/>
            <w:vAlign w:val="center"/>
          </w:tcPr>
          <w:p>
            <w:r/>
            <w:r>
              <w:rPr>
                <w:rFonts w:ascii="Arial" w:hAnsi="Arial"/>
                <w:b w:val="0"/>
                <w:sz w:val="15"/>
              </w:rPr>
              <w:t>Stops an already approved/live activation through controlled stop/cleanup flow.</w:t>
            </w:r>
          </w:p>
        </w:tc>
      </w:tr>
    </w:tbl>
    <w:p/>
    <w:p>
      <w:pPr>
        <w:pStyle w:val="Heading1"/>
      </w:pPr>
      <w:r>
        <w:t>42. Campaign, Request and Activation State Models</w:t>
      </w:r>
    </w:p>
    <w:p>
      <w:pPr>
        <w:jc w:val="center"/>
      </w:pPr>
      <w:r>
        <w:drawing>
          <wp:inline xmlns:a="http://schemas.openxmlformats.org/drawingml/2006/main" xmlns:pic="http://schemas.openxmlformats.org/drawingml/2006/picture">
            <wp:extent cx="6217920" cy="1371925"/>
            <wp:docPr id="18" name="Picture 18"/>
            <wp:cNvGraphicFramePr>
              <a:graphicFrameLocks noChangeAspect="1"/>
            </wp:cNvGraphicFramePr>
            <a:graphic>
              <a:graphicData uri="http://schemas.openxmlformats.org/drawingml/2006/picture">
                <pic:pic>
                  <pic:nvPicPr>
                    <pic:cNvPr id="0" name="16_campaign_state_model.png"/>
                    <pic:cNvPicPr/>
                  </pic:nvPicPr>
                  <pic:blipFill>
                    <a:blip r:embed="rId22"/>
                    <a:stretch>
                      <a:fillRect/>
                    </a:stretch>
                  </pic:blipFill>
                  <pic:spPr>
                    <a:xfrm>
                      <a:off x="0" y="0"/>
                      <a:ext cx="6217920" cy="1371925"/>
                    </a:xfrm>
                    <a:prstGeom prst="rect"/>
                  </pic:spPr>
                </pic:pic>
              </a:graphicData>
            </a:graphic>
          </wp:inline>
        </w:drawing>
      </w:r>
    </w:p>
    <w:p>
      <w:pPr>
        <w:jc w:val="center"/>
      </w:pPr>
      <w:r>
        <w:rPr>
          <w:i/>
          <w:color w:val="4B5563"/>
          <w:sz w:val="16"/>
        </w:rPr>
        <w:t>Figure 18. Activation state model.</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Object</w:t>
            </w:r>
          </w:p>
        </w:tc>
        <w:tc>
          <w:tcPr>
            <w:tcW w:type="dxa" w:w="7056"/>
            <w:vAlign w:val="center"/>
            <w:shd w:fill="1B4363"/>
          </w:tcPr>
          <w:p>
            <w:r/>
            <w:r>
              <w:rPr>
                <w:rFonts w:ascii="Arial" w:hAnsi="Arial"/>
                <w:b/>
                <w:color w:val="FFFFFF"/>
                <w:sz w:val="16"/>
              </w:rPr>
              <w:t>Key states</w:t>
            </w:r>
          </w:p>
        </w:tc>
      </w:tr>
      <w:tr>
        <w:tc>
          <w:tcPr>
            <w:tcW w:type="dxa" w:w="2592"/>
            <w:vAlign w:val="center"/>
          </w:tcPr>
          <w:p>
            <w:r/>
            <w:r>
              <w:rPr>
                <w:rFonts w:ascii="Arial" w:hAnsi="Arial"/>
                <w:b w:val="0"/>
                <w:sz w:val="15"/>
              </w:rPr>
              <w:t>Parent Campaign</w:t>
            </w:r>
          </w:p>
        </w:tc>
        <w:tc>
          <w:tcPr>
            <w:tcW w:type="dxa" w:w="7056"/>
            <w:vAlign w:val="center"/>
          </w:tcPr>
          <w:p>
            <w:r/>
            <w:r>
              <w:rPr>
                <w:rFonts w:ascii="Arial" w:hAnsi="Arial"/>
                <w:b w:val="0"/>
                <w:sz w:val="15"/>
              </w:rPr>
              <w:t>DRAFT, SUBMITTED, PARTIALLY_APPROVED, READY, PARTIALLY_LIVE, LIVE, PAUSED, ENDED, SETTLED</w:t>
            </w:r>
          </w:p>
        </w:tc>
      </w:tr>
      <w:tr>
        <w:tc>
          <w:tcPr>
            <w:tcW w:type="dxa" w:w="2592"/>
            <w:vAlign w:val="center"/>
          </w:tcPr>
          <w:p>
            <w:r/>
            <w:r>
              <w:rPr>
                <w:rFonts w:ascii="Arial" w:hAnsi="Arial"/>
                <w:b w:val="0"/>
                <w:sz w:val="15"/>
              </w:rPr>
              <w:t>Partner Request</w:t>
            </w:r>
          </w:p>
        </w:tc>
        <w:tc>
          <w:tcPr>
            <w:tcW w:type="dxa" w:w="7056"/>
            <w:vAlign w:val="center"/>
          </w:tcPr>
          <w:p>
            <w:r>
              <w:t>DRAFT, PENDING_APPROVAL, CHANGE_REQUESTED, APPROVED, REJECTED, REVOKED, EXPIRED</w:t>
            </w:r>
          </w:p>
        </w:tc>
      </w:tr>
      <w:tr>
        <w:tc>
          <w:tcPr>
            <w:tcW w:type="dxa" w:w="2592"/>
            <w:vAlign w:val="center"/>
          </w:tcPr>
          <w:p>
            <w:r/>
            <w:r>
              <w:rPr>
                <w:rFonts w:ascii="Arial" w:hAnsi="Arial"/>
                <w:b w:val="0"/>
                <w:sz w:val="15"/>
              </w:rPr>
              <w:t>Activation</w:t>
            </w:r>
          </w:p>
        </w:tc>
        <w:tc>
          <w:tcPr>
            <w:tcW w:type="dxa" w:w="7056"/>
            <w:vAlign w:val="center"/>
          </w:tcPr>
          <w:p>
            <w:r/>
            <w:r>
              <w:rPr>
                <w:rFonts w:ascii="Arial" w:hAnsi="Arial"/>
                <w:b w:val="0"/>
                <w:sz w:val="15"/>
              </w:rPr>
              <w:t>PENDING_CHANNEL_CHECK, READY, SYNCING, LIVE, PAUSED, FAILED, ENDING, ENDED</w:t>
            </w:r>
          </w:p>
        </w:tc>
      </w:tr>
      <w:tr>
        <w:tc>
          <w:tcPr>
            <w:tcW w:type="dxa" w:w="2592"/>
            <w:vAlign w:val="center"/>
          </w:tcPr>
          <w:p>
            <w:r/>
            <w:r>
              <w:rPr>
                <w:rFonts w:ascii="Arial" w:hAnsi="Arial"/>
                <w:b w:val="0"/>
                <w:sz w:val="15"/>
              </w:rPr>
              <w:t>External Audience Sync</w:t>
            </w:r>
          </w:p>
        </w:tc>
        <w:tc>
          <w:tcPr>
            <w:tcW w:type="dxa" w:w="7056"/>
            <w:vAlign w:val="center"/>
          </w:tcPr>
          <w:p>
            <w:r/>
            <w:r>
              <w:rPr>
                <w:rFonts w:ascii="Arial" w:hAnsi="Arial"/>
                <w:b w:val="0"/>
                <w:sz w:val="15"/>
              </w:rPr>
              <w:t>NOT_STARTED, PREPARING, UPLOADING, PROCESSING, READY, FAILED, REMOVING, REMOVED</w:t>
            </w:r>
          </w:p>
        </w:tc>
      </w:tr>
      <w:tr>
        <w:tc>
          <w:tcPr>
            <w:tcW w:type="dxa" w:w="2592"/>
            <w:vAlign w:val="center"/>
          </w:tcPr>
          <w:p>
            <w:r/>
            <w:r>
              <w:rPr>
                <w:rFonts w:ascii="Arial" w:hAnsi="Arial"/>
                <w:b w:val="0"/>
                <w:sz w:val="15"/>
              </w:rPr>
              <w:t>Payout</w:t>
            </w:r>
          </w:p>
        </w:tc>
        <w:tc>
          <w:tcPr>
            <w:tcW w:type="dxa" w:w="7056"/>
            <w:vAlign w:val="center"/>
          </w:tcPr>
          <w:p>
            <w:r/>
            <w:r>
              <w:rPr>
                <w:rFonts w:ascii="Arial" w:hAnsi="Arial"/>
                <w:b w:val="0"/>
                <w:sz w:val="15"/>
              </w:rPr>
              <w:t>PENDING, CALCULATED, REVIEWED, APPROVED, PAID, DISPUTED</w:t>
            </w:r>
          </w:p>
        </w:tc>
      </w:tr>
    </w:tbl>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State separation</w:t>
            </w:r>
          </w:p>
          <w:p>
            <w:r>
              <w:rPr>
                <w:rFonts w:ascii="Arial" w:hAnsi="Arial"/>
                <w:sz w:val="18"/>
              </w:rPr>
              <w:t>Never use one campaign_status field to represent every Partner/channel. The parent campaign is an aggregate view; each Partner/channel activation has its own independent state and error reason.</w:t>
            </w:r>
          </w:p>
        </w:tc>
      </w:tr>
    </w:tbl>
    <w:p/>
    <w:p>
      <w:pPr>
        <w:pStyle w:val="Heading1"/>
      </w:pPr>
      <w:r>
        <w:t>43. Partner-Owned Website/App Placement Management</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center"/>
            <w:shd w:fill="1B4363"/>
          </w:tcPr>
          <w:p>
            <w:r/>
            <w:r>
              <w:rPr>
                <w:rFonts w:ascii="Arial" w:hAnsi="Arial"/>
                <w:b/>
                <w:color w:val="FFFFFF"/>
                <w:sz w:val="16"/>
              </w:rPr>
              <w:t>Field</w:t>
            </w:r>
          </w:p>
        </w:tc>
        <w:tc>
          <w:tcPr>
            <w:tcW w:type="dxa" w:w="1152"/>
            <w:vAlign w:val="center"/>
            <w:shd w:fill="1B4363"/>
          </w:tcPr>
          <w:p>
            <w:r/>
            <w:r>
              <w:rPr>
                <w:rFonts w:ascii="Arial" w:hAnsi="Arial"/>
                <w:b/>
                <w:color w:val="FFFFFF"/>
                <w:sz w:val="16"/>
              </w:rPr>
              <w:t>Required</w:t>
            </w:r>
          </w:p>
        </w:tc>
        <w:tc>
          <w:tcPr>
            <w:tcW w:type="dxa" w:w="5904"/>
            <w:vAlign w:val="center"/>
            <w:shd w:fill="1B4363"/>
          </w:tcPr>
          <w:p>
            <w:r/>
            <w:r>
              <w:rPr>
                <w:rFonts w:ascii="Arial" w:hAnsi="Arial"/>
                <w:b/>
                <w:color w:val="FFFFFF"/>
                <w:sz w:val="16"/>
              </w:rPr>
              <w:t>Description</w:t>
            </w:r>
          </w:p>
        </w:tc>
      </w:tr>
      <w:tr>
        <w:tc>
          <w:tcPr>
            <w:tcW w:type="dxa" w:w="2592"/>
            <w:vAlign w:val="center"/>
          </w:tcPr>
          <w:p>
            <w:r/>
            <w:r>
              <w:rPr>
                <w:rFonts w:ascii="Arial" w:hAnsi="Arial"/>
                <w:b w:val="0"/>
                <w:sz w:val="15"/>
              </w:rPr>
              <w:t>placement_id</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Stable machine ID, e.g. booking_success_offer.</w:t>
            </w:r>
          </w:p>
        </w:tc>
      </w:tr>
      <w:tr>
        <w:tc>
          <w:tcPr>
            <w:tcW w:type="dxa" w:w="2592"/>
            <w:vAlign w:val="center"/>
          </w:tcPr>
          <w:p>
            <w:r/>
            <w:r>
              <w:rPr>
                <w:rFonts w:ascii="Arial" w:hAnsi="Arial"/>
                <w:b w:val="0"/>
                <w:sz w:val="15"/>
              </w:rPr>
              <w:t>display_name</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Human-readable name.</w:t>
            </w:r>
          </w:p>
        </w:tc>
      </w:tr>
      <w:tr>
        <w:tc>
          <w:tcPr>
            <w:tcW w:type="dxa" w:w="2592"/>
            <w:vAlign w:val="center"/>
          </w:tcPr>
          <w:p>
            <w:r/>
            <w:r>
              <w:rPr>
                <w:rFonts w:ascii="Arial" w:hAnsi="Arial"/>
                <w:b w:val="0"/>
                <w:sz w:val="15"/>
              </w:rPr>
              <w:t>surface</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web / ios / android / react_native / flutter / backend_native.</w:t>
            </w:r>
          </w:p>
        </w:tc>
      </w:tr>
      <w:tr>
        <w:tc>
          <w:tcPr>
            <w:tcW w:type="dxa" w:w="2592"/>
            <w:vAlign w:val="center"/>
          </w:tcPr>
          <w:p>
            <w:r/>
            <w:r>
              <w:rPr>
                <w:rFonts w:ascii="Arial" w:hAnsi="Arial"/>
                <w:b w:val="0"/>
                <w:sz w:val="15"/>
              </w:rPr>
              <w:t>format</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banner / native_card / carousel / inline / modal - MVP should limit formats.</w:t>
            </w:r>
          </w:p>
        </w:tc>
      </w:tr>
      <w:tr>
        <w:tc>
          <w:tcPr>
            <w:tcW w:type="dxa" w:w="2592"/>
            <w:vAlign w:val="center"/>
          </w:tcPr>
          <w:p>
            <w:r/>
            <w:r>
              <w:rPr>
                <w:rFonts w:ascii="Arial" w:hAnsi="Arial"/>
                <w:b w:val="0"/>
                <w:sz w:val="15"/>
              </w:rPr>
              <w:t>dimensions</w:t>
            </w:r>
          </w:p>
        </w:tc>
        <w:tc>
          <w:tcPr>
            <w:tcW w:type="dxa" w:w="1152"/>
            <w:vAlign w:val="center"/>
          </w:tcPr>
          <w:p>
            <w:r/>
            <w:r>
              <w:rPr>
                <w:rFonts w:ascii="Arial" w:hAnsi="Arial"/>
                <w:b w:val="0"/>
                <w:sz w:val="15"/>
              </w:rPr>
              <w:t>Conditional</w:t>
            </w:r>
          </w:p>
        </w:tc>
        <w:tc>
          <w:tcPr>
            <w:tcW w:type="dxa" w:w="5904"/>
            <w:vAlign w:val="center"/>
          </w:tcPr>
          <w:p>
            <w:r/>
            <w:r>
              <w:rPr>
                <w:rFonts w:ascii="Arial" w:hAnsi="Arial"/>
                <w:b w:val="0"/>
                <w:sz w:val="15"/>
              </w:rPr>
              <w:t>For fixed image/video placements.</w:t>
            </w:r>
          </w:p>
        </w:tc>
      </w:tr>
      <w:tr>
        <w:tc>
          <w:tcPr>
            <w:tcW w:type="dxa" w:w="2592"/>
            <w:vAlign w:val="center"/>
          </w:tcPr>
          <w:p>
            <w:r/>
            <w:r>
              <w:rPr>
                <w:rFonts w:ascii="Arial" w:hAnsi="Arial"/>
                <w:b w:val="0"/>
                <w:sz w:val="15"/>
              </w:rPr>
              <w:t>context_tags</w:t>
            </w:r>
          </w:p>
        </w:tc>
        <w:tc>
          <w:tcPr>
            <w:tcW w:type="dxa" w:w="1152"/>
            <w:vAlign w:val="center"/>
          </w:tcPr>
          <w:p>
            <w:r/>
            <w:r>
              <w:rPr>
                <w:rFonts w:ascii="Arial" w:hAnsi="Arial"/>
                <w:b w:val="0"/>
                <w:sz w:val="15"/>
              </w:rPr>
              <w:t>Optional</w:t>
            </w:r>
          </w:p>
        </w:tc>
        <w:tc>
          <w:tcPr>
            <w:tcW w:type="dxa" w:w="5904"/>
            <w:vAlign w:val="center"/>
          </w:tcPr>
          <w:p>
            <w:r/>
            <w:r>
              <w:rPr>
                <w:rFonts w:ascii="Arial" w:hAnsi="Arial"/>
                <w:b w:val="0"/>
                <w:sz w:val="15"/>
              </w:rPr>
              <w:t>booking_success, checkout, rewards, home.</w:t>
            </w:r>
          </w:p>
        </w:tc>
      </w:tr>
      <w:tr>
        <w:tc>
          <w:tcPr>
            <w:tcW w:type="dxa" w:w="2592"/>
            <w:vAlign w:val="center"/>
          </w:tcPr>
          <w:p>
            <w:r/>
            <w:r>
              <w:rPr>
                <w:rFonts w:ascii="Arial" w:hAnsi="Arial"/>
                <w:b w:val="0"/>
                <w:sz w:val="15"/>
              </w:rPr>
              <w:t>allowed_categories</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Partner safety policy.</w:t>
            </w:r>
          </w:p>
        </w:tc>
      </w:tr>
      <w:tr>
        <w:tc>
          <w:tcPr>
            <w:tcW w:type="dxa" w:w="2592"/>
            <w:vAlign w:val="center"/>
          </w:tcPr>
          <w:p>
            <w:r/>
            <w:r>
              <w:rPr>
                <w:rFonts w:ascii="Arial" w:hAnsi="Arial"/>
                <w:b w:val="0"/>
                <w:sz w:val="15"/>
              </w:rPr>
              <w:t>blocked_categories</w:t>
            </w:r>
          </w:p>
        </w:tc>
        <w:tc>
          <w:tcPr>
            <w:tcW w:type="dxa" w:w="1152"/>
            <w:vAlign w:val="center"/>
          </w:tcPr>
          <w:p>
            <w:r/>
            <w:r>
              <w:rPr>
                <w:rFonts w:ascii="Arial" w:hAnsi="Arial"/>
                <w:b w:val="0"/>
                <w:sz w:val="15"/>
              </w:rPr>
              <w:t>Optional</w:t>
            </w:r>
          </w:p>
        </w:tc>
        <w:tc>
          <w:tcPr>
            <w:tcW w:type="dxa" w:w="5904"/>
            <w:vAlign w:val="center"/>
          </w:tcPr>
          <w:p>
            <w:r/>
            <w:r>
              <w:rPr>
                <w:rFonts w:ascii="Arial" w:hAnsi="Arial"/>
                <w:b w:val="0"/>
                <w:sz w:val="15"/>
              </w:rPr>
              <w:t>Overrides broader allow policy.</w:t>
            </w:r>
          </w:p>
        </w:tc>
      </w:tr>
      <w:tr>
        <w:tc>
          <w:tcPr>
            <w:tcW w:type="dxa" w:w="2592"/>
            <w:vAlign w:val="center"/>
          </w:tcPr>
          <w:p>
            <w:r/>
            <w:r>
              <w:rPr>
                <w:rFonts w:ascii="Arial" w:hAnsi="Arial"/>
                <w:b w:val="0"/>
                <w:sz w:val="15"/>
              </w:rPr>
              <w:t>max_frequency_default</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Default cap if campaign requests lower/higher policy.</w:t>
            </w:r>
          </w:p>
        </w:tc>
      </w:tr>
      <w:tr>
        <w:tc>
          <w:tcPr>
            <w:tcW w:type="dxa" w:w="2592"/>
            <w:vAlign w:val="center"/>
          </w:tcPr>
          <w:p>
            <w:r/>
            <w:r>
              <w:rPr>
                <w:rFonts w:ascii="Arial" w:hAnsi="Arial"/>
                <w:b w:val="0"/>
                <w:sz w:val="15"/>
              </w:rPr>
              <w:t>status</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DRAFT / ACTIVE / DISABLED.</w:t>
            </w:r>
          </w:p>
        </w:tc>
      </w:tr>
      <w:tr>
        <w:tc>
          <w:tcPr>
            <w:tcW w:type="dxa" w:w="2592"/>
            <w:vAlign w:val="center"/>
          </w:tcPr>
          <w:p>
            <w:r/>
            <w:r>
              <w:rPr>
                <w:rFonts w:ascii="Arial" w:hAnsi="Arial"/>
                <w:b w:val="0"/>
                <w:sz w:val="15"/>
              </w:rPr>
              <w:t>fallback</w:t>
            </w:r>
          </w:p>
        </w:tc>
        <w:tc>
          <w:tcPr>
            <w:tcW w:type="dxa" w:w="1152"/>
            <w:vAlign w:val="center"/>
          </w:tcPr>
          <w:p>
            <w:r/>
            <w:r>
              <w:rPr>
                <w:rFonts w:ascii="Arial" w:hAnsi="Arial"/>
                <w:b w:val="0"/>
                <w:sz w:val="15"/>
              </w:rPr>
              <w:t>Yes</w:t>
            </w:r>
          </w:p>
        </w:tc>
        <w:tc>
          <w:tcPr>
            <w:tcW w:type="dxa" w:w="5904"/>
            <w:vAlign w:val="center"/>
          </w:tcPr>
          <w:p>
            <w:r/>
            <w:r>
              <w:rPr>
                <w:rFonts w:ascii="Arial" w:hAnsi="Arial"/>
                <w:b w:val="0"/>
                <w:sz w:val="15"/>
              </w:rPr>
              <w:t>NO_AD or partner house content.</w:t>
            </w:r>
          </w:p>
        </w:tc>
      </w:tr>
    </w:tbl>
    <w:p/>
    <w:p>
      <w:pPr>
        <w:pStyle w:val="ListBullet"/>
        <w:spacing w:after="30"/>
      </w:pPr>
      <w:r>
        <w:t>Partner frontend must never send partner_user_id to Oolix cloud.</w:t>
      </w:r>
    </w:p>
    <w:p>
      <w:pPr>
        <w:pStyle w:val="ListBullet"/>
        <w:spacing w:after="30"/>
      </w:pPr>
      <w:r>
        <w:t>Partner backend obtains user identity from existing session and calls local Agent.</w:t>
      </w:r>
    </w:p>
    <w:p>
      <w:pPr>
        <w:pStyle w:val="ListBullet"/>
        <w:spacing w:after="30"/>
      </w:pPr>
      <w:r>
        <w:t>Ad placement failure cannot block checkout/booking/login or other core product flows.</w:t>
      </w:r>
    </w:p>
    <w:p>
      <w:pPr>
        <w:pStyle w:val="ListBullet"/>
        <w:spacing w:after="30"/>
      </w:pPr>
      <w:r>
        <w:t>Partner can disable any placement with a kill switch.</w:t>
      </w:r>
    </w:p>
    <w:p>
      <w:pPr>
        <w:pStyle w:val="Heading1"/>
      </w:pPr>
      <w:r>
        <w:t>44. Detailed Partner-Owned Ad Runtime</w:t>
      </w:r>
    </w:p>
    <w:p>
      <w:pPr>
        <w:jc w:val="center"/>
      </w:pPr>
      <w:r>
        <w:drawing>
          <wp:inline xmlns:a="http://schemas.openxmlformats.org/drawingml/2006/main" xmlns:pic="http://schemas.openxmlformats.org/drawingml/2006/picture">
            <wp:extent cx="6217920" cy="1896794"/>
            <wp:docPr id="19" name="Picture 19"/>
            <wp:cNvGraphicFramePr>
              <a:graphicFrameLocks noChangeAspect="1"/>
            </wp:cNvGraphicFramePr>
            <a:graphic>
              <a:graphicData uri="http://schemas.openxmlformats.org/drawingml/2006/picture">
                <pic:pic>
                  <pic:nvPicPr>
                    <pic:cNvPr id="0" name="19_owned_media_sequence_detailed.png"/>
                    <pic:cNvPicPr/>
                  </pic:nvPicPr>
                  <pic:blipFill>
                    <a:blip r:embed="rId26"/>
                    <a:stretch>
                      <a:fillRect/>
                    </a:stretch>
                  </pic:blipFill>
                  <pic:spPr>
                    <a:xfrm>
                      <a:off x="0" y="0"/>
                      <a:ext cx="6217920" cy="1896794"/>
                    </a:xfrm>
                    <a:prstGeom prst="rect"/>
                  </pic:spPr>
                </pic:pic>
              </a:graphicData>
            </a:graphic>
          </wp:inline>
        </w:drawing>
      </w:r>
    </w:p>
    <w:p>
      <w:pPr>
        <w:jc w:val="center"/>
      </w:pPr>
      <w:r>
        <w:rPr>
          <w:i/>
          <w:color w:val="4B5563"/>
          <w:sz w:val="16"/>
        </w:rPr>
        <w:t>Figure 19. Detailed runtime sequence for partner-owned website/app advertising.</w:t>
      </w:r>
    </w:p>
    <w:p>
      <w:pPr>
        <w:spacing w:after="30"/>
        <w:ind w:left="259" w:hanging="259"/>
      </w:pPr>
      <w:r>
        <w:t>1.  Partner page/app renders an approved AdSlot component.</w:t>
      </w:r>
    </w:p>
    <w:p>
      <w:pPr>
        <w:spacing w:after="30"/>
        <w:ind w:left="259" w:hanging="259"/>
      </w:pPr>
      <w:r>
        <w:t>2.  Component asks Partner backend for ad decision; it does not call Oolix cloud with a customer identifier.</w:t>
      </w:r>
    </w:p>
    <w:p>
      <w:pPr>
        <w:spacing w:after="30"/>
        <w:ind w:left="259" w:hanging="259"/>
      </w:pPr>
      <w:r>
        <w:t>3.  Partner backend identifies logged-in partner_user_id from session/token.</w:t>
      </w:r>
    </w:p>
    <w:p>
      <w:pPr>
        <w:spacing w:after="30"/>
        <w:ind w:left="259" w:hanging="259"/>
      </w:pPr>
      <w:r>
        <w:t>4.  Partner backend calls Partner Agent on a private/local endpoint with partner_user_id, placement_id and safe contextual tags.</w:t>
      </w:r>
    </w:p>
    <w:p>
      <w:pPr>
        <w:spacing w:after="30"/>
        <w:ind w:left="259" w:hanging="259"/>
      </w:pPr>
      <w:r>
        <w:t>5.  Agent loads active signed manifests for the placement from local cache.</w:t>
      </w:r>
    </w:p>
    <w:p>
      <w:pPr>
        <w:spacing w:after="30"/>
        <w:ind w:left="259" w:hanging="259"/>
      </w:pPr>
      <w:r>
        <w:t>6.  Agent checks segment membership through local index/API.</w:t>
      </w:r>
    </w:p>
    <w:p>
      <w:pPr>
        <w:spacing w:after="30"/>
        <w:ind w:left="259" w:hanging="259"/>
      </w:pPr>
      <w:r>
        <w:t>7.  Agent checks consent/advertising eligibility and purpose.</w:t>
      </w:r>
    </w:p>
    <w:p>
      <w:pPr>
        <w:spacing w:after="30"/>
        <w:ind w:left="259" w:hanging="259"/>
      </w:pPr>
      <w:r>
        <w:t>8.  Agent checks campaign dates, frequency cap, pacing/budget signal, creative approval, category rules and kill switches.</w:t>
      </w:r>
    </w:p>
    <w:p>
      <w:pPr>
        <w:spacing w:after="30"/>
        <w:ind w:left="259" w:hanging="259"/>
      </w:pPr>
      <w:r>
        <w:t>9.  Agent selects an eligible campaign using deterministic priority/pacing for MVP.</w:t>
      </w:r>
    </w:p>
    <w:p>
      <w:pPr>
        <w:spacing w:after="30"/>
        <w:ind w:left="259" w:hanging="259"/>
      </w:pPr>
      <w:r>
        <w:t>10.  Agent generates/returns creative metadata and opaque signed click token.</w:t>
      </w:r>
    </w:p>
    <w:p>
      <w:pPr>
        <w:spacing w:after="30"/>
        <w:ind w:left="259" w:hanging="259"/>
      </w:pPr>
      <w:r>
        <w:t>11.  Partner backend returns ad payload to SDK/component.</w:t>
      </w:r>
    </w:p>
    <w:p>
      <w:pPr>
        <w:spacing w:after="30"/>
        <w:ind w:left="259" w:hanging="259"/>
      </w:pPr>
      <w:r>
        <w:t>12.  SDK renders the ad.</w:t>
      </w:r>
    </w:p>
    <w:p>
      <w:pPr>
        <w:spacing w:after="30"/>
        <w:ind w:left="259" w:hanging="259"/>
      </w:pPr>
      <w:r>
        <w:t>13.  Agent records local per-user frequency state and aggregate delivery counter.</w:t>
      </w:r>
    </w:p>
    <w:p>
      <w:pPr>
        <w:spacing w:after="30"/>
        <w:ind w:left="259" w:hanging="259"/>
      </w:pPr>
      <w:r>
        <w:t>14.  Aggregate counters are batched and signed before Oolix ingest.</w:t>
      </w:r>
    </w:p>
    <w:p>
      <w:pPr>
        <w:spacing w:after="30"/>
        <w:ind w:left="259" w:hanging="259"/>
      </w:pPr>
      <w:r>
        <w:t>15.  User click goes to Buyer landing page via redirect/URL containing only opaque attribution token.</w:t>
      </w:r>
    </w:p>
    <w:p>
      <w:pPr>
        <w:spacing w:after="30"/>
        <w:ind w:left="259" w:hanging="259"/>
      </w:pPr>
      <w:r>
        <w:t>16.  Buyer CRM posts lead qualification/conversion against the token.</w:t>
      </w:r>
    </w:p>
    <w:p>
      <w:pPr>
        <w:spacing w:after="30"/>
        <w:ind w:left="259" w:hanging="259"/>
      </w:pPr>
      <w:r>
        <w:t>17.  Oolix computes Partner-level CPQL/conversion reporting and payout basis.</w:t>
      </w:r>
    </w:p>
    <w:p>
      <w:pPr>
        <w:spacing w:before="40" w:after="60"/>
      </w:pPr>
      <w:r>
        <w:t>POST /private/v1/ad-decision</w:t>
        <w:br/>
        <w:t>{</w:t>
        <w:br/>
        <w:t xml:space="preserve">  "partner_user_id":"U123",</w:t>
        <w:br/>
        <w:t xml:space="preserve">  "placement_id":"booking_success_offer",</w:t>
        <w:br/>
        <w:t xml:space="preserve">  "context":{"page_type":"booking_success"}</w:t>
        <w:br/>
        <w:t>}</w:t>
        <w:br/>
        <w:br/>
        <w:t>200 SHOW</w:t>
        <w:br/>
        <w:t>{</w:t>
        <w:br/>
        <w:t xml:space="preserve">  "decision":"SHOW",</w:t>
        <w:br/>
        <w:t xml:space="preserve">  "activation_id":"ACT-100-A-WEB",</w:t>
        <w:br/>
        <w:t xml:space="preserve">  "creative":{...},</w:t>
        <w:br/>
        <w:t xml:space="preserve">  "click_token":"opaque-random-token",</w:t>
        <w:br/>
        <w:t xml:space="preserve">  "cache_ttl_ms":30000</w:t>
        <w:br/>
        <w:t>}</w:t>
        <w:br/>
        <w:br/>
        <w:t>200 NO_AD</w:t>
        <w:br/>
        <w:t>{ "decision":"NO_AD", "reason":"NO_ELIGIBLE_CAMPAIGN" }</w:t>
      </w:r>
    </w:p>
    <w:p>
      <w:pPr>
        <w:pStyle w:val="Heading1"/>
      </w:pPr>
      <w:r>
        <w:t>45. Partner Agent Detailed Build Contract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72"/>
            <w:vAlign w:val="center"/>
            <w:shd w:fill="1B4363"/>
          </w:tcPr>
          <w:p>
            <w:r/>
            <w:r>
              <w:rPr>
                <w:rFonts w:ascii="Arial" w:hAnsi="Arial"/>
                <w:b/>
                <w:color w:val="FFFFFF"/>
                <w:sz w:val="16"/>
              </w:rPr>
              <w:t>Module</w:t>
            </w:r>
          </w:p>
        </w:tc>
        <w:tc>
          <w:tcPr>
            <w:tcW w:type="dxa" w:w="2448"/>
            <w:vAlign w:val="center"/>
            <w:shd w:fill="1B4363"/>
          </w:tcPr>
          <w:p>
            <w:r/>
            <w:r>
              <w:rPr>
                <w:rFonts w:ascii="Arial" w:hAnsi="Arial"/>
                <w:b/>
                <w:color w:val="FFFFFF"/>
                <w:sz w:val="16"/>
              </w:rPr>
              <w:t>Inputs</w:t>
            </w:r>
          </w:p>
        </w:tc>
        <w:tc>
          <w:tcPr>
            <w:tcW w:type="dxa" w:w="2304"/>
            <w:vAlign w:val="center"/>
            <w:shd w:fill="1B4363"/>
          </w:tcPr>
          <w:p>
            <w:r/>
            <w:r>
              <w:rPr>
                <w:rFonts w:ascii="Arial" w:hAnsi="Arial"/>
                <w:b/>
                <w:color w:val="FFFFFF"/>
                <w:sz w:val="16"/>
              </w:rPr>
              <w:t>Outputs</w:t>
            </w:r>
          </w:p>
        </w:tc>
        <w:tc>
          <w:tcPr>
            <w:tcW w:type="dxa" w:w="2880"/>
            <w:vAlign w:val="center"/>
            <w:shd w:fill="1B4363"/>
          </w:tcPr>
          <w:p>
            <w:r/>
            <w:r>
              <w:rPr>
                <w:rFonts w:ascii="Arial" w:hAnsi="Arial"/>
                <w:b/>
                <w:color w:val="FFFFFF"/>
                <w:sz w:val="16"/>
              </w:rPr>
              <w:t>MVP rule</w:t>
            </w:r>
          </w:p>
        </w:tc>
      </w:tr>
      <w:tr>
        <w:tc>
          <w:tcPr>
            <w:tcW w:type="dxa" w:w="1872"/>
            <w:vAlign w:val="center"/>
          </w:tcPr>
          <w:p>
            <w:r/>
            <w:r>
              <w:rPr>
                <w:rFonts w:ascii="Arial" w:hAnsi="Arial"/>
                <w:b w:val="0"/>
                <w:sz w:val="15"/>
              </w:rPr>
              <w:t>Control Sync</w:t>
            </w:r>
          </w:p>
        </w:tc>
        <w:tc>
          <w:tcPr>
            <w:tcW w:type="dxa" w:w="2448"/>
            <w:vAlign w:val="center"/>
          </w:tcPr>
          <w:p>
            <w:r/>
            <w:r>
              <w:rPr>
                <w:rFonts w:ascii="Arial" w:hAnsi="Arial"/>
                <w:b w:val="0"/>
                <w:sz w:val="15"/>
              </w:rPr>
              <w:t>Agent credentials, Oolix config endpoint</w:t>
            </w:r>
          </w:p>
        </w:tc>
        <w:tc>
          <w:tcPr>
            <w:tcW w:type="dxa" w:w="2304"/>
            <w:vAlign w:val="center"/>
          </w:tcPr>
          <w:p>
            <w:r/>
            <w:r>
              <w:rPr>
                <w:rFonts w:ascii="Arial" w:hAnsi="Arial"/>
                <w:b w:val="0"/>
                <w:sz w:val="15"/>
              </w:rPr>
              <w:t>Signed manifests, policy versions</w:t>
            </w:r>
          </w:p>
        </w:tc>
        <w:tc>
          <w:tcPr>
            <w:tcW w:type="dxa" w:w="2880"/>
            <w:vAlign w:val="center"/>
          </w:tcPr>
          <w:p>
            <w:r/>
            <w:r>
              <w:rPr>
                <w:rFonts w:ascii="Arial" w:hAnsi="Arial"/>
                <w:b w:val="0"/>
                <w:sz w:val="15"/>
              </w:rPr>
              <w:t>Pull/outbound connection; short-lived cache.</w:t>
            </w:r>
          </w:p>
        </w:tc>
      </w:tr>
      <w:tr>
        <w:tc>
          <w:tcPr>
            <w:tcW w:type="dxa" w:w="1872"/>
            <w:vAlign w:val="center"/>
          </w:tcPr>
          <w:p>
            <w:r/>
            <w:r>
              <w:rPr>
                <w:rFonts w:ascii="Arial" w:hAnsi="Arial"/>
                <w:b w:val="0"/>
                <w:sz w:val="15"/>
              </w:rPr>
              <w:t>Connector</w:t>
            </w:r>
          </w:p>
        </w:tc>
        <w:tc>
          <w:tcPr>
            <w:tcW w:type="dxa" w:w="2448"/>
            <w:vAlign w:val="center"/>
          </w:tcPr>
          <w:p>
            <w:r/>
            <w:r>
              <w:rPr>
                <w:rFonts w:ascii="Arial" w:hAnsi="Arial"/>
                <w:b w:val="0"/>
                <w:sz w:val="15"/>
              </w:rPr>
              <w:t>Partner DB/view/API/CDP</w:t>
            </w:r>
          </w:p>
        </w:tc>
        <w:tc>
          <w:tcPr>
            <w:tcW w:type="dxa" w:w="2304"/>
            <w:vAlign w:val="center"/>
          </w:tcPr>
          <w:p>
            <w:r/>
            <w:r>
              <w:rPr>
                <w:rFonts w:ascii="Arial" w:hAnsi="Arial"/>
                <w:b w:val="0"/>
                <w:sz w:val="15"/>
              </w:rPr>
              <w:t>Membership/count/freshness</w:t>
            </w:r>
          </w:p>
        </w:tc>
        <w:tc>
          <w:tcPr>
            <w:tcW w:type="dxa" w:w="2880"/>
            <w:vAlign w:val="center"/>
          </w:tcPr>
          <w:p>
            <w:r/>
            <w:r>
              <w:rPr>
                <w:rFonts w:ascii="Arial" w:hAnsi="Arial"/>
                <w:b w:val="0"/>
                <w:sz w:val="15"/>
              </w:rPr>
              <w:t>Read only approved source.</w:t>
            </w:r>
          </w:p>
        </w:tc>
      </w:tr>
      <w:tr>
        <w:tc>
          <w:tcPr>
            <w:tcW w:type="dxa" w:w="1872"/>
            <w:vAlign w:val="center"/>
          </w:tcPr>
          <w:p>
            <w:r/>
            <w:r>
              <w:rPr>
                <w:rFonts w:ascii="Arial" w:hAnsi="Arial"/>
                <w:b w:val="0"/>
                <w:sz w:val="15"/>
              </w:rPr>
              <w:t>Audience Engine</w:t>
            </w:r>
          </w:p>
        </w:tc>
        <w:tc>
          <w:tcPr>
            <w:tcW w:type="dxa" w:w="2448"/>
            <w:vAlign w:val="center"/>
          </w:tcPr>
          <w:p>
            <w:r/>
            <w:r>
              <w:rPr>
                <w:rFonts w:ascii="Arial" w:hAnsi="Arial"/>
                <w:b w:val="0"/>
                <w:sz w:val="15"/>
              </w:rPr>
              <w:t>partner_user_id + segment_id</w:t>
            </w:r>
          </w:p>
        </w:tc>
        <w:tc>
          <w:tcPr>
            <w:tcW w:type="dxa" w:w="2304"/>
            <w:vAlign w:val="center"/>
          </w:tcPr>
          <w:p>
            <w:r/>
            <w:r>
              <w:rPr>
                <w:rFonts w:ascii="Arial" w:hAnsi="Arial"/>
                <w:b w:val="0"/>
                <w:sz w:val="15"/>
              </w:rPr>
              <w:t>member yes/no</w:t>
            </w:r>
          </w:p>
        </w:tc>
        <w:tc>
          <w:tcPr>
            <w:tcW w:type="dxa" w:w="2880"/>
            <w:vAlign w:val="center"/>
          </w:tcPr>
          <w:p>
            <w:r/>
            <w:r>
              <w:rPr>
                <w:rFonts w:ascii="Arial" w:hAnsi="Arial"/>
                <w:b w:val="0"/>
                <w:sz w:val="15"/>
              </w:rPr>
              <w:t>No raw user sent to Oolix.</w:t>
            </w:r>
          </w:p>
        </w:tc>
      </w:tr>
      <w:tr>
        <w:tc>
          <w:tcPr>
            <w:tcW w:type="dxa" w:w="1872"/>
            <w:vAlign w:val="center"/>
          </w:tcPr>
          <w:p>
            <w:r/>
            <w:r>
              <w:rPr>
                <w:rFonts w:ascii="Arial" w:hAnsi="Arial"/>
                <w:b w:val="0"/>
                <w:sz w:val="15"/>
              </w:rPr>
              <w:t>Consent/Policy</w:t>
            </w:r>
          </w:p>
        </w:tc>
        <w:tc>
          <w:tcPr>
            <w:tcW w:type="dxa" w:w="2448"/>
            <w:vAlign w:val="center"/>
          </w:tcPr>
          <w:p>
            <w:r/>
            <w:r>
              <w:rPr>
                <w:rFonts w:ascii="Arial" w:hAnsi="Arial"/>
                <w:b w:val="0"/>
                <w:sz w:val="15"/>
              </w:rPr>
              <w:t>purpose, channel, user eligibility</w:t>
            </w:r>
          </w:p>
        </w:tc>
        <w:tc>
          <w:tcPr>
            <w:tcW w:type="dxa" w:w="2304"/>
            <w:vAlign w:val="center"/>
          </w:tcPr>
          <w:p>
            <w:r/>
            <w:r>
              <w:rPr>
                <w:rFonts w:ascii="Arial" w:hAnsi="Arial"/>
                <w:b w:val="0"/>
                <w:sz w:val="15"/>
              </w:rPr>
              <w:t>allow/deny</w:t>
            </w:r>
          </w:p>
        </w:tc>
        <w:tc>
          <w:tcPr>
            <w:tcW w:type="dxa" w:w="2880"/>
            <w:vAlign w:val="center"/>
          </w:tcPr>
          <w:p>
            <w:r/>
            <w:r>
              <w:rPr>
                <w:rFonts w:ascii="Arial" w:hAnsi="Arial"/>
                <w:b w:val="0"/>
                <w:sz w:val="15"/>
              </w:rPr>
              <w:t>Fail closed.</w:t>
            </w:r>
          </w:p>
        </w:tc>
      </w:tr>
      <w:tr>
        <w:tc>
          <w:tcPr>
            <w:tcW w:type="dxa" w:w="1872"/>
            <w:vAlign w:val="center"/>
          </w:tcPr>
          <w:p>
            <w:r/>
            <w:r>
              <w:rPr>
                <w:rFonts w:ascii="Arial" w:hAnsi="Arial"/>
                <w:b w:val="0"/>
                <w:sz w:val="15"/>
              </w:rPr>
              <w:t>Ad Decision</w:t>
            </w:r>
          </w:p>
        </w:tc>
        <w:tc>
          <w:tcPr>
            <w:tcW w:type="dxa" w:w="2448"/>
            <w:vAlign w:val="center"/>
          </w:tcPr>
          <w:p>
            <w:r/>
            <w:r>
              <w:rPr>
                <w:rFonts w:ascii="Arial" w:hAnsi="Arial"/>
                <w:b w:val="0"/>
                <w:sz w:val="15"/>
              </w:rPr>
              <w:t>placement + eligible manifests</w:t>
            </w:r>
          </w:p>
        </w:tc>
        <w:tc>
          <w:tcPr>
            <w:tcW w:type="dxa" w:w="2304"/>
            <w:vAlign w:val="center"/>
          </w:tcPr>
          <w:p>
            <w:r/>
            <w:r>
              <w:rPr>
                <w:rFonts w:ascii="Arial" w:hAnsi="Arial"/>
                <w:b w:val="0"/>
                <w:sz w:val="15"/>
              </w:rPr>
              <w:t>SHOW/NO_AD + creative</w:t>
            </w:r>
          </w:p>
        </w:tc>
        <w:tc>
          <w:tcPr>
            <w:tcW w:type="dxa" w:w="2880"/>
            <w:vAlign w:val="center"/>
          </w:tcPr>
          <w:p>
            <w:r/>
            <w:r>
              <w:rPr>
                <w:rFonts w:ascii="Arial" w:hAnsi="Arial"/>
                <w:b w:val="0"/>
                <w:sz w:val="15"/>
              </w:rPr>
              <w:t>Simple priority/pacing MVP.</w:t>
            </w:r>
          </w:p>
        </w:tc>
      </w:tr>
      <w:tr>
        <w:tc>
          <w:tcPr>
            <w:tcW w:type="dxa" w:w="1872"/>
            <w:vAlign w:val="center"/>
          </w:tcPr>
          <w:p>
            <w:r/>
            <w:r>
              <w:rPr>
                <w:rFonts w:ascii="Arial" w:hAnsi="Arial"/>
                <w:b w:val="0"/>
                <w:sz w:val="15"/>
              </w:rPr>
              <w:t>Frequency</w:t>
            </w:r>
          </w:p>
        </w:tc>
        <w:tc>
          <w:tcPr>
            <w:tcW w:type="dxa" w:w="2448"/>
            <w:vAlign w:val="center"/>
          </w:tcPr>
          <w:p>
            <w:r/>
            <w:r>
              <w:rPr>
                <w:rFonts w:ascii="Arial" w:hAnsi="Arial"/>
                <w:b w:val="0"/>
                <w:sz w:val="15"/>
              </w:rPr>
              <w:t>partner_user_id + activation</w:t>
            </w:r>
          </w:p>
        </w:tc>
        <w:tc>
          <w:tcPr>
            <w:tcW w:type="dxa" w:w="2304"/>
            <w:vAlign w:val="center"/>
          </w:tcPr>
          <w:p>
            <w:r/>
            <w:r>
              <w:rPr>
                <w:rFonts w:ascii="Arial" w:hAnsi="Arial"/>
                <w:b w:val="0"/>
                <w:sz w:val="15"/>
              </w:rPr>
              <w:t>count/window</w:t>
            </w:r>
          </w:p>
        </w:tc>
        <w:tc>
          <w:tcPr>
            <w:tcW w:type="dxa" w:w="2880"/>
            <w:vAlign w:val="center"/>
          </w:tcPr>
          <w:p>
            <w:r/>
            <w:r>
              <w:rPr>
                <w:rFonts w:ascii="Arial" w:hAnsi="Arial"/>
                <w:b w:val="0"/>
                <w:sz w:val="15"/>
              </w:rPr>
              <w:t>Local only.</w:t>
            </w:r>
          </w:p>
        </w:tc>
      </w:tr>
      <w:tr>
        <w:tc>
          <w:tcPr>
            <w:tcW w:type="dxa" w:w="1872"/>
            <w:vAlign w:val="center"/>
          </w:tcPr>
          <w:p>
            <w:r/>
            <w:r>
              <w:rPr>
                <w:rFonts w:ascii="Arial" w:hAnsi="Arial"/>
                <w:b w:val="0"/>
                <w:sz w:val="15"/>
              </w:rPr>
              <w:t>Event Buffer</w:t>
            </w:r>
          </w:p>
        </w:tc>
        <w:tc>
          <w:tcPr>
            <w:tcW w:type="dxa" w:w="2448"/>
            <w:vAlign w:val="center"/>
          </w:tcPr>
          <w:p>
            <w:r/>
            <w:r>
              <w:rPr>
                <w:rFonts w:ascii="Arial" w:hAnsi="Arial"/>
                <w:b w:val="0"/>
                <w:sz w:val="15"/>
              </w:rPr>
              <w:t>delivery events</w:t>
            </w:r>
          </w:p>
        </w:tc>
        <w:tc>
          <w:tcPr>
            <w:tcW w:type="dxa" w:w="2304"/>
            <w:vAlign w:val="center"/>
          </w:tcPr>
          <w:p>
            <w:r/>
            <w:r>
              <w:rPr>
                <w:rFonts w:ascii="Arial" w:hAnsi="Arial"/>
                <w:b w:val="0"/>
                <w:sz w:val="15"/>
              </w:rPr>
              <w:t>signed aggregate batch</w:t>
            </w:r>
          </w:p>
        </w:tc>
        <w:tc>
          <w:tcPr>
            <w:tcW w:type="dxa" w:w="2880"/>
            <w:vAlign w:val="center"/>
          </w:tcPr>
          <w:p>
            <w:r/>
            <w:r>
              <w:rPr>
                <w:rFonts w:ascii="Arial" w:hAnsi="Arial"/>
                <w:b w:val="0"/>
                <w:sz w:val="15"/>
              </w:rPr>
              <w:t>No per-user central event.</w:t>
            </w:r>
          </w:p>
        </w:tc>
      </w:tr>
      <w:tr>
        <w:tc>
          <w:tcPr>
            <w:tcW w:type="dxa" w:w="1872"/>
            <w:vAlign w:val="center"/>
          </w:tcPr>
          <w:p>
            <w:r/>
            <w:r>
              <w:rPr>
                <w:rFonts w:ascii="Arial" w:hAnsi="Arial"/>
                <w:b w:val="0"/>
                <w:sz w:val="15"/>
              </w:rPr>
              <w:t>Meta Adapter</w:t>
            </w:r>
          </w:p>
        </w:tc>
        <w:tc>
          <w:tcPr>
            <w:tcW w:type="dxa" w:w="2448"/>
            <w:vAlign w:val="center"/>
          </w:tcPr>
          <w:p>
            <w:r/>
            <w:r>
              <w:rPr>
                <w:rFonts w:ascii="Arial" w:hAnsi="Arial"/>
                <w:b w:val="0"/>
                <w:sz w:val="15"/>
              </w:rPr>
              <w:t>approved local audience</w:t>
            </w:r>
          </w:p>
        </w:tc>
        <w:tc>
          <w:tcPr>
            <w:tcW w:type="dxa" w:w="2304"/>
            <w:vAlign w:val="center"/>
          </w:tcPr>
          <w:p>
            <w:r/>
            <w:r>
              <w:rPr>
                <w:rFonts w:ascii="Arial" w:hAnsi="Arial"/>
                <w:b w:val="0"/>
                <w:sz w:val="15"/>
              </w:rPr>
              <w:t>Meta resource/status</w:t>
            </w:r>
          </w:p>
        </w:tc>
        <w:tc>
          <w:tcPr>
            <w:tcW w:type="dxa" w:w="2880"/>
            <w:vAlign w:val="center"/>
          </w:tcPr>
          <w:p>
            <w:r/>
            <w:r>
              <w:rPr>
                <w:rFonts w:ascii="Arial" w:hAnsi="Arial"/>
                <w:b w:val="0"/>
                <w:sz w:val="15"/>
              </w:rPr>
              <w:t>Only after eligibility.</w:t>
            </w:r>
          </w:p>
        </w:tc>
      </w:tr>
      <w:tr>
        <w:tc>
          <w:tcPr>
            <w:tcW w:type="dxa" w:w="1872"/>
            <w:vAlign w:val="center"/>
          </w:tcPr>
          <w:p>
            <w:r/>
            <w:r>
              <w:rPr>
                <w:rFonts w:ascii="Arial" w:hAnsi="Arial"/>
                <w:b w:val="0"/>
                <w:sz w:val="15"/>
              </w:rPr>
              <w:t>Google Adapter</w:t>
            </w:r>
          </w:p>
        </w:tc>
        <w:tc>
          <w:tcPr>
            <w:tcW w:type="dxa" w:w="2448"/>
            <w:vAlign w:val="center"/>
          </w:tcPr>
          <w:p>
            <w:r/>
            <w:r>
              <w:rPr>
                <w:rFonts w:ascii="Arial" w:hAnsi="Arial"/>
                <w:b w:val="0"/>
                <w:sz w:val="15"/>
              </w:rPr>
              <w:t>approved local audience</w:t>
            </w:r>
          </w:p>
        </w:tc>
        <w:tc>
          <w:tcPr>
            <w:tcW w:type="dxa" w:w="2304"/>
            <w:vAlign w:val="center"/>
          </w:tcPr>
          <w:p>
            <w:r/>
            <w:r>
              <w:rPr>
                <w:rFonts w:ascii="Arial" w:hAnsi="Arial"/>
                <w:b w:val="0"/>
                <w:sz w:val="15"/>
              </w:rPr>
              <w:t>Google resource/status</w:t>
            </w:r>
          </w:p>
        </w:tc>
        <w:tc>
          <w:tcPr>
            <w:tcW w:type="dxa" w:w="2880"/>
            <w:vAlign w:val="center"/>
          </w:tcPr>
          <w:p>
            <w:r/>
            <w:r>
              <w:rPr>
                <w:rFonts w:ascii="Arial" w:hAnsi="Arial"/>
                <w:b w:val="0"/>
                <w:sz w:val="15"/>
              </w:rPr>
              <w:t>Only after eligibility.</w:t>
            </w:r>
          </w:p>
        </w:tc>
      </w:tr>
      <w:tr>
        <w:tc>
          <w:tcPr>
            <w:tcW w:type="dxa" w:w="1872"/>
            <w:vAlign w:val="center"/>
          </w:tcPr>
          <w:p>
            <w:r/>
            <w:r>
              <w:rPr>
                <w:rFonts w:ascii="Arial" w:hAnsi="Arial"/>
                <w:b w:val="0"/>
                <w:sz w:val="15"/>
              </w:rPr>
              <w:t>Health/Audit</w:t>
            </w:r>
          </w:p>
        </w:tc>
        <w:tc>
          <w:tcPr>
            <w:tcW w:type="dxa" w:w="2448"/>
            <w:vAlign w:val="center"/>
          </w:tcPr>
          <w:p>
            <w:r/>
            <w:r>
              <w:rPr>
                <w:rFonts w:ascii="Arial" w:hAnsi="Arial"/>
                <w:b w:val="0"/>
                <w:sz w:val="15"/>
              </w:rPr>
              <w:t>component status</w:t>
            </w:r>
          </w:p>
        </w:tc>
        <w:tc>
          <w:tcPr>
            <w:tcW w:type="dxa" w:w="2304"/>
            <w:vAlign w:val="center"/>
          </w:tcPr>
          <w:p>
            <w:r/>
            <w:r>
              <w:rPr>
                <w:rFonts w:ascii="Arial" w:hAnsi="Arial"/>
                <w:b w:val="0"/>
                <w:sz w:val="15"/>
              </w:rPr>
              <w:t>heartbeat/error buckets</w:t>
            </w:r>
          </w:p>
        </w:tc>
        <w:tc>
          <w:tcPr>
            <w:tcW w:type="dxa" w:w="2880"/>
            <w:vAlign w:val="center"/>
          </w:tcPr>
          <w:p>
            <w:r/>
            <w:r>
              <w:rPr>
                <w:rFonts w:ascii="Arial" w:hAnsi="Arial"/>
                <w:b w:val="0"/>
                <w:sz w:val="15"/>
              </w:rPr>
              <w:t>No PII in logs.</w:t>
            </w:r>
          </w:p>
        </w:tc>
      </w:tr>
    </w:tbl>
    <w:p/>
    <w:p>
      <w:pPr>
        <w:pStyle w:val="Heading1"/>
      </w:pPr>
      <w:r>
        <w:t>46. External Channel Account Connection</w:t>
      </w:r>
    </w:p>
    <w:p>
      <w:pPr>
        <w:jc w:val="center"/>
      </w:pPr>
      <w:r>
        <w:drawing>
          <wp:inline xmlns:a="http://schemas.openxmlformats.org/drawingml/2006/main" xmlns:pic="http://schemas.openxmlformats.org/drawingml/2006/picture">
            <wp:extent cx="6217920" cy="308799"/>
            <wp:docPr id="20" name="Picture 20"/>
            <wp:cNvGraphicFramePr>
              <a:graphicFrameLocks noChangeAspect="1"/>
            </wp:cNvGraphicFramePr>
            <a:graphic>
              <a:graphicData uri="http://schemas.openxmlformats.org/drawingml/2006/picture">
                <pic:pic>
                  <pic:nvPicPr>
                    <pic:cNvPr id="0" name="18_external_account_connection.png"/>
                    <pic:cNvPicPr/>
                  </pic:nvPicPr>
                  <pic:blipFill>
                    <a:blip r:embed="rId27"/>
                    <a:stretch>
                      <a:fillRect/>
                    </a:stretch>
                  </pic:blipFill>
                  <pic:spPr>
                    <a:xfrm>
                      <a:off x="0" y="0"/>
                      <a:ext cx="6217920" cy="308799"/>
                    </a:xfrm>
                    <a:prstGeom prst="rect"/>
                  </pic:spPr>
                </pic:pic>
              </a:graphicData>
            </a:graphic>
          </wp:inline>
        </w:drawing>
      </w:r>
    </w:p>
    <w:p>
      <w:pPr>
        <w:jc w:val="center"/>
      </w:pPr>
      <w:r>
        <w:rPr>
          <w:i/>
          <w:color w:val="4B5563"/>
          <w:sz w:val="16"/>
        </w:rPr>
        <w:t>Figure 20. Partner-owned external account connection uses delegated authorization, not passwords.</w:t>
      </w:r>
    </w:p>
    <w:p>
      <w:pPr>
        <w:pStyle w:val="ListBullet"/>
        <w:spacing w:after="30"/>
      </w:pPr>
      <w:r>
        <w:t>Do not collect Meta/Google usernames, passwords or 2FA codes.</w:t>
      </w:r>
    </w:p>
    <w:p>
      <w:pPr>
        <w:pStyle w:val="ListBullet"/>
        <w:spacing w:after="30"/>
      </w:pPr>
      <w:r>
        <w:t>Partner Admin initiates OAuth/business authorization or approved data-partner account linkage.</w:t>
      </w:r>
    </w:p>
    <w:p>
      <w:pPr>
        <w:pStyle w:val="ListBullet"/>
        <w:spacing w:after="30"/>
      </w:pPr>
      <w:r>
        <w:t>Prefer a dedicated activation account/sub-account where channel structure permits, so Oolix campaigns are isolated from normal Partner advertising.</w:t>
      </w:r>
    </w:p>
    <w:p>
      <w:pPr>
        <w:pStyle w:val="ListBullet"/>
        <w:spacing w:after="30"/>
      </w:pPr>
      <w:r>
        <w:t>Oolix stores non-sensitive account/resource IDs, scopes, status and expiry; sensitive credentials live in a proper secret store and should be minimized.</w:t>
      </w:r>
    </w:p>
    <w:p>
      <w:pPr>
        <w:pStyle w:val="ListBullet"/>
        <w:spacing w:after="30"/>
      </w:pPr>
      <w:r>
        <w:t>Partner can disconnect/revoke at any time; new activations stop immediately and existing channel cleanup is initiated.</w:t>
      </w:r>
    </w:p>
    <w:p>
      <w:pPr>
        <w:pStyle w:val="Heading1"/>
      </w:pPr>
      <w:r>
        <w:t>47. Meta Activation - Detailed Functional and Technical Flow</w:t>
      </w:r>
    </w:p>
    <w:p>
      <w:pPr>
        <w:spacing w:after="30"/>
        <w:ind w:left="259" w:hanging="259"/>
      </w:pPr>
      <w:r>
        <w:t>1.  Partner connects Meta Business/ad-account relationship through approved authorization flow.</w:t>
      </w:r>
    </w:p>
    <w:p>
      <w:pPr>
        <w:spacing w:after="30"/>
        <w:ind w:left="259" w:hanging="259"/>
      </w:pPr>
      <w:r>
        <w:t>2.  Oolix validates connection health and records allowed account/assets.</w:t>
      </w:r>
    </w:p>
    <w:p>
      <w:pPr>
        <w:spacing w:after="30"/>
        <w:ind w:left="259" w:hanging="259"/>
      </w:pPr>
      <w:r>
        <w:t>3.  Buyer selects Meta for a specific Partner segment; UI labels it CONDITIONAL.</w:t>
      </w:r>
    </w:p>
    <w:p>
      <w:pPr>
        <w:spacing w:after="30"/>
        <w:ind w:left="259" w:hanging="259"/>
      </w:pPr>
      <w:r>
        <w:t>4.  Partner approves Buyer, segment, Meta channel, creative, dates, budget and expansion rules.</w:t>
      </w:r>
    </w:p>
    <w:p>
      <w:pPr>
        <w:spacing w:after="30"/>
        <w:ind w:left="259" w:hanging="259"/>
      </w:pPr>
      <w:r>
        <w:t>5.  Channel Eligibility Service checks account connection, Partner authorization, advertiser identity/assets, required rights/permissions, consent/opt-out and Partner policy.</w:t>
      </w:r>
    </w:p>
    <w:p>
      <w:pPr>
        <w:spacing w:after="30"/>
        <w:ind w:left="259" w:hanging="259"/>
      </w:pPr>
      <w:r>
        <w:t>6.  If not eligible, activation is BLOCKED and Buyer may use Partner App/Website instead.</w:t>
      </w:r>
    </w:p>
    <w:p>
      <w:pPr>
        <w:spacing w:after="30"/>
        <w:ind w:left="259" w:hanging="259"/>
      </w:pPr>
      <w:r>
        <w:t>7.  If eligible, Oolix emits signed Meta activation manifest to Partner Agent.</w:t>
      </w:r>
    </w:p>
    <w:p>
      <w:pPr>
        <w:spacing w:after="30"/>
        <w:ind w:left="259" w:hanging="259"/>
      </w:pPr>
      <w:r>
        <w:t>8.  Partner Agent resolves local segment membership.</w:t>
      </w:r>
    </w:p>
    <w:p>
      <w:pPr>
        <w:spacing w:after="30"/>
        <w:ind w:left="259" w:hanging="259"/>
      </w:pPr>
      <w:r>
        <w:t>9.  Agent selects only allowed matching fields and normalizes/hashes locally where required by Meta workflow.</w:t>
      </w:r>
    </w:p>
    <w:p>
      <w:pPr>
        <w:spacing w:after="30"/>
        <w:ind w:left="259" w:hanging="259"/>
      </w:pPr>
      <w:r>
        <w:t>10.  Agent sends matching data directly to Meta using authorized account context.</w:t>
      </w:r>
    </w:p>
    <w:p>
      <w:pPr>
        <w:spacing w:after="30"/>
        <w:ind w:left="259" w:hanging="259"/>
      </w:pPr>
      <w:r>
        <w:t>11.  Channel adapter records audience resource ID and sync status centrally; raw matching payload is not stored in Oolix DB.</w:t>
      </w:r>
    </w:p>
    <w:p>
      <w:pPr>
        <w:spacing w:after="30"/>
        <w:ind w:left="259" w:hanging="259"/>
      </w:pPr>
      <w:r>
        <w:t>12.  Campaign/ad set/creative resources are created or associated according to the approved account model.</w:t>
      </w:r>
    </w:p>
    <w:p>
      <w:pPr>
        <w:spacing w:after="30"/>
        <w:ind w:left="259" w:hanging="259"/>
      </w:pPr>
      <w:r>
        <w:t>13.  Aggregate delivery/spend/conversion metrics are pulled and mapped to activation_id.</w:t>
      </w:r>
    </w:p>
    <w:p>
      <w:pPr>
        <w:spacing w:after="30"/>
        <w:ind w:left="259" w:hanging="259"/>
      </w:pPr>
      <w:r>
        <w:t>14.  At end/revocation, stop campaign and remove/update audience/resource according to current Meta capabilities and contract.</w:t>
      </w:r>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Meta account-model decision for pilot</w:t>
            </w:r>
          </w:p>
          <w:p>
            <w:r>
              <w:rPr>
                <w:rFonts w:ascii="Arial" w:hAnsi="Arial"/>
                <w:sz w:val="18"/>
              </w:rPr>
              <w:t>Use one Partner + one Buyer + one clearly documented account topology first. Validate who owns the ad account, Buyer identity/page assets, payment responsibility, audience ownership and reporting permissions before scaling the connector.</w:t>
            </w:r>
          </w:p>
        </w:tc>
      </w:tr>
    </w:tbl>
    <w:p/>
    <w:p>
      <w:pPr>
        <w:pStyle w:val="Heading1"/>
      </w:pPr>
      <w:r>
        <w:t>48. Google Activation - Detailed Functional and Technical Flow</w:t>
      </w:r>
    </w:p>
    <w:p>
      <w:pPr>
        <w:spacing w:after="30"/>
        <w:ind w:left="259" w:hanging="259"/>
      </w:pPr>
      <w:r>
        <w:t>1.  Partner connects an approved Google Ads / Data Manager relationship.</w:t>
      </w:r>
    </w:p>
    <w:p>
      <w:pPr>
        <w:spacing w:after="30"/>
        <w:ind w:left="259" w:hanging="259"/>
      </w:pPr>
      <w:r>
        <w:t>2.  Buyer selects Google for a specific Partner segment; UI labels it CONDITIONAL.</w:t>
      </w:r>
    </w:p>
    <w:p>
      <w:pPr>
        <w:spacing w:after="30"/>
        <w:ind w:left="259" w:hanging="259"/>
      </w:pPr>
      <w:r>
        <w:t>3.  Partner approves the request.</w:t>
      </w:r>
    </w:p>
    <w:p>
      <w:pPr>
        <w:spacing w:after="30"/>
        <w:ind w:left="259" w:hanging="259"/>
      </w:pPr>
      <w:r>
        <w:t>4.  Eligibility Service verifies account compliance/payment status, Customer Match feature availability, first-party/retailer/data-partner relationship rules, consent requirements and destination access.</w:t>
      </w:r>
    </w:p>
    <w:p>
      <w:pPr>
        <w:spacing w:after="30"/>
        <w:ind w:left="259" w:hanging="259"/>
      </w:pPr>
      <w:r>
        <w:t>5.  If blocked, no customer data is prepared or uploaded; owned-media channels remain available.</w:t>
      </w:r>
    </w:p>
    <w:p>
      <w:pPr>
        <w:spacing w:after="30"/>
        <w:ind w:left="259" w:hanging="259"/>
      </w:pPr>
      <w:r>
        <w:t>6.  If eligible, Oolix emits signed Google activation manifest to Partner Agent.</w:t>
      </w:r>
    </w:p>
    <w:p>
      <w:pPr>
        <w:spacing w:after="30"/>
        <w:ind w:left="259" w:hanging="259"/>
      </w:pPr>
      <w:r>
        <w:t>7.  Agent reads the approved local segment and prepares supported matching identifiers/consent fields using current Google Data Manager requirements.</w:t>
      </w:r>
    </w:p>
    <w:p>
      <w:pPr>
        <w:spacing w:after="30"/>
        <w:ind w:left="259" w:hanging="259"/>
      </w:pPr>
      <w:r>
        <w:t>8.  Agent sends data directly to Google Data Manager API using configured operating/login/linked account path.</w:t>
      </w:r>
    </w:p>
    <w:p>
      <w:pPr>
        <w:spacing w:after="30"/>
        <w:ind w:left="259" w:hanging="259"/>
      </w:pPr>
      <w:r>
        <w:t>9.  Agent checks ingestion status; Oolix stores resource IDs and status only.</w:t>
      </w:r>
    </w:p>
    <w:p>
      <w:pPr>
        <w:spacing w:after="30"/>
        <w:ind w:left="259" w:hanging="259"/>
      </w:pPr>
      <w:r>
        <w:t>10.  Campaign uses Customer Match only if the selected Google account/campaign remains eligible.</w:t>
      </w:r>
    </w:p>
    <w:p>
      <w:pPr>
        <w:spacing w:after="30"/>
        <w:ind w:left="259" w:hanging="259"/>
      </w:pPr>
      <w:r>
        <w:t>11.  Aggregate metrics are pulled into Oolix.</w:t>
      </w:r>
    </w:p>
    <w:p>
      <w:pPr>
        <w:spacing w:after="30"/>
        <w:ind w:left="259" w:hanging="259"/>
      </w:pPr>
      <w:r>
        <w:t>12.  At expiry/revocation, stop campaign and remove/update list membership as required.</w:t>
      </w:r>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Current Google guardrail - verify before implementation</w:t>
            </w:r>
          </w:p>
          <w:p>
            <w:r>
              <w:rPr>
                <w:rFonts w:ascii="Arial" w:hAnsi="Arial"/>
                <w:sz w:val="18"/>
              </w:rPr>
              <w:t>Google currently recommends Data Manager API for new Customer Match workflows; Customer Match is first-party-data governed and feature access depends on account compliance/history. Treat Google as conditional and verify current official documentation during connector implementation.</w:t>
            </w:r>
          </w:p>
        </w:tc>
      </w:tr>
    </w:tbl>
    <w:p/>
    <w:p>
      <w:pPr>
        <w:pStyle w:val="Heading1"/>
      </w:pPr>
      <w:r>
        <w:t>49. Reporting, Dashboards and Metrics</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Metric</w:t>
            </w:r>
          </w:p>
        </w:tc>
        <w:tc>
          <w:tcPr>
            <w:tcW w:type="dxa" w:w="7056"/>
            <w:vAlign w:val="center"/>
            <w:shd w:fill="1B4363"/>
          </w:tcPr>
          <w:p>
            <w:r/>
            <w:r>
              <w:rPr>
                <w:rFonts w:ascii="Arial" w:hAnsi="Arial"/>
                <w:b/>
                <w:color w:val="FFFFFF"/>
                <w:sz w:val="16"/>
              </w:rPr>
              <w:t>Definition / Source</w:t>
            </w:r>
          </w:p>
        </w:tc>
      </w:tr>
      <w:tr>
        <w:tc>
          <w:tcPr>
            <w:tcW w:type="dxa" w:w="2592"/>
            <w:vAlign w:val="center"/>
          </w:tcPr>
          <w:p>
            <w:r/>
            <w:r>
              <w:rPr>
                <w:rFonts w:ascii="Arial" w:hAnsi="Arial"/>
                <w:b w:val="0"/>
                <w:sz w:val="15"/>
              </w:rPr>
              <w:t>Impressions</w:t>
            </w:r>
          </w:p>
        </w:tc>
        <w:tc>
          <w:tcPr>
            <w:tcW w:type="dxa" w:w="7056"/>
            <w:vAlign w:val="center"/>
          </w:tcPr>
          <w:p>
            <w:r/>
            <w:r>
              <w:rPr>
                <w:rFonts w:ascii="Arial" w:hAnsi="Arial"/>
                <w:b w:val="0"/>
                <w:sz w:val="15"/>
              </w:rPr>
              <w:t>Partner Agent aggregate or external-channel metric.</w:t>
            </w:r>
          </w:p>
        </w:tc>
      </w:tr>
      <w:tr>
        <w:tc>
          <w:tcPr>
            <w:tcW w:type="dxa" w:w="2592"/>
            <w:vAlign w:val="center"/>
          </w:tcPr>
          <w:p>
            <w:r/>
            <w:r>
              <w:rPr>
                <w:rFonts w:ascii="Arial" w:hAnsi="Arial"/>
                <w:b w:val="0"/>
                <w:sz w:val="15"/>
              </w:rPr>
              <w:t>Clicks</w:t>
            </w:r>
          </w:p>
        </w:tc>
        <w:tc>
          <w:tcPr>
            <w:tcW w:type="dxa" w:w="7056"/>
            <w:vAlign w:val="center"/>
          </w:tcPr>
          <w:p>
            <w:r/>
            <w:r>
              <w:rPr>
                <w:rFonts w:ascii="Arial" w:hAnsi="Arial"/>
                <w:b w:val="0"/>
                <w:sz w:val="15"/>
              </w:rPr>
              <w:t>Partner Agent click counter or external-channel metric.</w:t>
            </w:r>
          </w:p>
        </w:tc>
      </w:tr>
      <w:tr>
        <w:tc>
          <w:tcPr>
            <w:tcW w:type="dxa" w:w="2592"/>
            <w:vAlign w:val="center"/>
          </w:tcPr>
          <w:p>
            <w:r/>
            <w:r>
              <w:rPr>
                <w:rFonts w:ascii="Arial" w:hAnsi="Arial"/>
                <w:b w:val="0"/>
                <w:sz w:val="15"/>
              </w:rPr>
              <w:t>CTR</w:t>
            </w:r>
          </w:p>
        </w:tc>
        <w:tc>
          <w:tcPr>
            <w:tcW w:type="dxa" w:w="7056"/>
            <w:vAlign w:val="center"/>
          </w:tcPr>
          <w:p>
            <w:r/>
            <w:r>
              <w:rPr>
                <w:rFonts w:ascii="Arial" w:hAnsi="Arial"/>
                <w:b w:val="0"/>
                <w:sz w:val="15"/>
              </w:rPr>
              <w:t>clicks / impressions.</w:t>
            </w:r>
          </w:p>
        </w:tc>
      </w:tr>
      <w:tr>
        <w:tc>
          <w:tcPr>
            <w:tcW w:type="dxa" w:w="2592"/>
            <w:vAlign w:val="center"/>
          </w:tcPr>
          <w:p>
            <w:r/>
            <w:r>
              <w:rPr>
                <w:rFonts w:ascii="Arial" w:hAnsi="Arial"/>
                <w:b w:val="0"/>
                <w:sz w:val="15"/>
              </w:rPr>
              <w:t>Leads received</w:t>
            </w:r>
          </w:p>
        </w:tc>
        <w:tc>
          <w:tcPr>
            <w:tcW w:type="dxa" w:w="7056"/>
            <w:vAlign w:val="center"/>
          </w:tcPr>
          <w:p>
            <w:r/>
            <w:r>
              <w:rPr>
                <w:rFonts w:ascii="Arial" w:hAnsi="Arial"/>
                <w:b w:val="0"/>
                <w:sz w:val="15"/>
              </w:rPr>
              <w:t>Buyer CRM callback for opaque token.</w:t>
            </w:r>
          </w:p>
        </w:tc>
      </w:tr>
      <w:tr>
        <w:tc>
          <w:tcPr>
            <w:tcW w:type="dxa" w:w="2592"/>
            <w:vAlign w:val="center"/>
          </w:tcPr>
          <w:p>
            <w:r/>
            <w:r>
              <w:rPr>
                <w:rFonts w:ascii="Arial" w:hAnsi="Arial"/>
                <w:b w:val="0"/>
                <w:sz w:val="15"/>
              </w:rPr>
              <w:t>Valid leads</w:t>
            </w:r>
          </w:p>
        </w:tc>
        <w:tc>
          <w:tcPr>
            <w:tcW w:type="dxa" w:w="7056"/>
            <w:vAlign w:val="center"/>
          </w:tcPr>
          <w:p>
            <w:r/>
            <w:r>
              <w:rPr>
                <w:rFonts w:ascii="Arial" w:hAnsi="Arial"/>
                <w:b w:val="0"/>
                <w:sz w:val="15"/>
              </w:rPr>
              <w:t>Buyer validation status.</w:t>
            </w:r>
          </w:p>
        </w:tc>
      </w:tr>
      <w:tr>
        <w:tc>
          <w:tcPr>
            <w:tcW w:type="dxa" w:w="2592"/>
            <w:vAlign w:val="center"/>
          </w:tcPr>
          <w:p>
            <w:r/>
            <w:r>
              <w:rPr>
                <w:rFonts w:ascii="Arial" w:hAnsi="Arial"/>
                <w:b w:val="0"/>
                <w:sz w:val="15"/>
              </w:rPr>
              <w:t>Qualified leads</w:t>
            </w:r>
          </w:p>
        </w:tc>
        <w:tc>
          <w:tcPr>
            <w:tcW w:type="dxa" w:w="7056"/>
            <w:vAlign w:val="center"/>
          </w:tcPr>
          <w:p>
            <w:r/>
            <w:r>
              <w:rPr>
                <w:rFonts w:ascii="Arial" w:hAnsi="Arial"/>
                <w:b w:val="0"/>
                <w:sz w:val="15"/>
              </w:rPr>
              <w:t>Buyer qualification status defined before campaign.</w:t>
            </w:r>
          </w:p>
        </w:tc>
      </w:tr>
      <w:tr>
        <w:tc>
          <w:tcPr>
            <w:tcW w:type="dxa" w:w="2592"/>
            <w:vAlign w:val="center"/>
          </w:tcPr>
          <w:p>
            <w:r/>
            <w:r>
              <w:rPr>
                <w:rFonts w:ascii="Arial" w:hAnsi="Arial"/>
                <w:b w:val="0"/>
                <w:sz w:val="15"/>
              </w:rPr>
              <w:t>Conversions</w:t>
            </w:r>
          </w:p>
        </w:tc>
        <w:tc>
          <w:tcPr>
            <w:tcW w:type="dxa" w:w="7056"/>
            <w:vAlign w:val="center"/>
          </w:tcPr>
          <w:p>
            <w:r/>
            <w:r>
              <w:rPr>
                <w:rFonts w:ascii="Arial" w:hAnsi="Arial"/>
                <w:b w:val="0"/>
                <w:sz w:val="15"/>
              </w:rPr>
              <w:t>Buyer CRM/conversion system.</w:t>
            </w:r>
          </w:p>
        </w:tc>
      </w:tr>
      <w:tr>
        <w:tc>
          <w:tcPr>
            <w:tcW w:type="dxa" w:w="2592"/>
            <w:vAlign w:val="center"/>
          </w:tcPr>
          <w:p>
            <w:r/>
            <w:r>
              <w:rPr>
                <w:rFonts w:ascii="Arial" w:hAnsi="Arial"/>
                <w:b w:val="0"/>
                <w:sz w:val="15"/>
              </w:rPr>
              <w:t>CPL</w:t>
            </w:r>
          </w:p>
        </w:tc>
        <w:tc>
          <w:tcPr>
            <w:tcW w:type="dxa" w:w="7056"/>
            <w:vAlign w:val="center"/>
          </w:tcPr>
          <w:p>
            <w:r/>
            <w:r>
              <w:rPr>
                <w:rFonts w:ascii="Arial" w:hAnsi="Arial"/>
                <w:b w:val="0"/>
                <w:sz w:val="15"/>
              </w:rPr>
              <w:t>cost / leads received.</w:t>
            </w:r>
          </w:p>
        </w:tc>
      </w:tr>
      <w:tr>
        <w:tc>
          <w:tcPr>
            <w:tcW w:type="dxa" w:w="2592"/>
            <w:vAlign w:val="center"/>
          </w:tcPr>
          <w:p>
            <w:r/>
            <w:r>
              <w:rPr>
                <w:rFonts w:ascii="Arial" w:hAnsi="Arial"/>
                <w:b w:val="0"/>
                <w:sz w:val="15"/>
              </w:rPr>
              <w:t>CPQL</w:t>
            </w:r>
          </w:p>
        </w:tc>
        <w:tc>
          <w:tcPr>
            <w:tcW w:type="dxa" w:w="7056"/>
            <w:vAlign w:val="center"/>
          </w:tcPr>
          <w:p>
            <w:r/>
            <w:r>
              <w:rPr>
                <w:rFonts w:ascii="Arial" w:hAnsi="Arial"/>
                <w:b w:val="0"/>
                <w:sz w:val="15"/>
              </w:rPr>
              <w:t>cost / qualified leads.</w:t>
            </w:r>
          </w:p>
        </w:tc>
      </w:tr>
      <w:tr>
        <w:tc>
          <w:tcPr>
            <w:tcW w:type="dxa" w:w="2592"/>
            <w:vAlign w:val="center"/>
          </w:tcPr>
          <w:p>
            <w:r/>
            <w:r>
              <w:rPr>
                <w:rFonts w:ascii="Arial" w:hAnsi="Arial"/>
                <w:b w:val="0"/>
                <w:sz w:val="15"/>
              </w:rPr>
              <w:t>Conversion rate</w:t>
            </w:r>
          </w:p>
        </w:tc>
        <w:tc>
          <w:tcPr>
            <w:tcW w:type="dxa" w:w="7056"/>
            <w:vAlign w:val="center"/>
          </w:tcPr>
          <w:p>
            <w:r/>
            <w:r>
              <w:rPr>
                <w:rFonts w:ascii="Arial" w:hAnsi="Arial"/>
                <w:b w:val="0"/>
                <w:sz w:val="15"/>
              </w:rPr>
              <w:t>conversions / relevant denominator.</w:t>
            </w:r>
          </w:p>
        </w:tc>
      </w:tr>
      <w:tr>
        <w:tc>
          <w:tcPr>
            <w:tcW w:type="dxa" w:w="2592"/>
            <w:vAlign w:val="center"/>
          </w:tcPr>
          <w:p>
            <w:r/>
            <w:r>
              <w:rPr>
                <w:rFonts w:ascii="Arial" w:hAnsi="Arial"/>
                <w:b w:val="0"/>
                <w:sz w:val="15"/>
              </w:rPr>
              <w:t>Partner payout accrual</w:t>
            </w:r>
          </w:p>
        </w:tc>
        <w:tc>
          <w:tcPr>
            <w:tcW w:type="dxa" w:w="7056"/>
            <w:vAlign w:val="center"/>
          </w:tcPr>
          <w:p>
            <w:r/>
            <w:r>
              <w:rPr>
                <w:rFonts w:ascii="Arial" w:hAnsi="Arial"/>
                <w:b w:val="0"/>
                <w:sz w:val="15"/>
              </w:rPr>
              <w:t>Commercial formula applied to verified outcomes.</w:t>
            </w:r>
          </w:p>
        </w:tc>
      </w:tr>
      <w:tr>
        <w:tc>
          <w:tcPr>
            <w:tcW w:type="dxa" w:w="2592"/>
            <w:vAlign w:val="center"/>
          </w:tcPr>
          <w:p>
            <w:r/>
            <w:r>
              <w:rPr>
                <w:rFonts w:ascii="Arial" w:hAnsi="Arial"/>
                <w:b w:val="0"/>
                <w:sz w:val="15"/>
              </w:rPr>
              <w:t>Channel spend</w:t>
            </w:r>
          </w:p>
        </w:tc>
        <w:tc>
          <w:tcPr>
            <w:tcW w:type="dxa" w:w="7056"/>
            <w:vAlign w:val="center"/>
          </w:tcPr>
          <w:p>
            <w:r/>
            <w:r>
              <w:rPr>
                <w:rFonts w:ascii="Arial" w:hAnsi="Arial"/>
                <w:b w:val="0"/>
                <w:sz w:val="15"/>
              </w:rPr>
              <w:t>External channel or internal media cost record.</w:t>
            </w:r>
          </w:p>
        </w:tc>
      </w:tr>
    </w:tbl>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B4363"/>
          </w:tcPr>
          <w:p>
            <w:r/>
            <w:r>
              <w:rPr>
                <w:rFonts w:ascii="Arial" w:hAnsi="Arial"/>
                <w:b/>
                <w:color w:val="FFFFFF"/>
                <w:sz w:val="16"/>
              </w:rPr>
              <w:t>Persona</w:t>
            </w:r>
          </w:p>
        </w:tc>
        <w:tc>
          <w:tcPr>
            <w:tcW w:type="dxa" w:w="7200"/>
            <w:vAlign w:val="center"/>
            <w:shd w:fill="1B4363"/>
          </w:tcPr>
          <w:p>
            <w:r/>
            <w:r>
              <w:rPr>
                <w:rFonts w:ascii="Arial" w:hAnsi="Arial"/>
                <w:b/>
                <w:color w:val="FFFFFF"/>
                <w:sz w:val="16"/>
              </w:rPr>
              <w:t>Dashboard views</w:t>
            </w:r>
          </w:p>
        </w:tc>
      </w:tr>
      <w:tr>
        <w:tc>
          <w:tcPr>
            <w:tcW w:type="dxa" w:w="2448"/>
            <w:vAlign w:val="center"/>
          </w:tcPr>
          <w:p>
            <w:r/>
            <w:r>
              <w:rPr>
                <w:rFonts w:ascii="Arial" w:hAnsi="Arial"/>
                <w:b w:val="0"/>
                <w:sz w:val="15"/>
              </w:rPr>
              <w:t>Buyer</w:t>
            </w:r>
          </w:p>
        </w:tc>
        <w:tc>
          <w:tcPr>
            <w:tcW w:type="dxa" w:w="7200"/>
            <w:vAlign w:val="center"/>
          </w:tcPr>
          <w:p>
            <w:r/>
            <w:r>
              <w:rPr>
                <w:rFonts w:ascii="Arial" w:hAnsi="Arial"/>
                <w:b w:val="0"/>
                <w:sz w:val="15"/>
              </w:rPr>
              <w:t>Campaign summary; Partner/channel comparison; lead funnel; spend; CPQL; conversions; errors.</w:t>
            </w:r>
          </w:p>
        </w:tc>
      </w:tr>
      <w:tr>
        <w:tc>
          <w:tcPr>
            <w:tcW w:type="dxa" w:w="2448"/>
            <w:vAlign w:val="center"/>
          </w:tcPr>
          <w:p>
            <w:r/>
            <w:r>
              <w:rPr>
                <w:rFonts w:ascii="Arial" w:hAnsi="Arial"/>
                <w:b w:val="0"/>
                <w:sz w:val="15"/>
              </w:rPr>
              <w:t>Data Partner</w:t>
            </w:r>
          </w:p>
        </w:tc>
        <w:tc>
          <w:tcPr>
            <w:tcW w:type="dxa" w:w="7200"/>
            <w:vAlign w:val="center"/>
          </w:tcPr>
          <w:p>
            <w:r/>
            <w:r>
              <w:rPr>
                <w:rFonts w:ascii="Arial" w:hAnsi="Arial"/>
                <w:b w:val="0"/>
                <w:sz w:val="15"/>
              </w:rPr>
              <w:t>Requests; active placements; delivery; revenue; payout; quality feedback; integration health.</w:t>
            </w:r>
          </w:p>
        </w:tc>
      </w:tr>
      <w:tr>
        <w:tc>
          <w:tcPr>
            <w:tcW w:type="dxa" w:w="2448"/>
            <w:vAlign w:val="center"/>
          </w:tcPr>
          <w:p>
            <w:r/>
            <w:r>
              <w:rPr>
                <w:rFonts w:ascii="Arial" w:hAnsi="Arial"/>
                <w:b w:val="0"/>
                <w:sz w:val="15"/>
              </w:rPr>
              <w:t>VC/Network</w:t>
            </w:r>
          </w:p>
        </w:tc>
        <w:tc>
          <w:tcPr>
            <w:tcW w:type="dxa" w:w="7200"/>
            <w:vAlign w:val="center"/>
          </w:tcPr>
          <w:p>
            <w:r/>
            <w:r>
              <w:rPr>
                <w:rFonts w:ascii="Arial" w:hAnsi="Arial"/>
                <w:b w:val="0"/>
                <w:sz w:val="15"/>
              </w:rPr>
              <w:t>Aggregate portfolio network spend/revenue/performance only; no customer identity.</w:t>
            </w:r>
          </w:p>
        </w:tc>
      </w:tr>
      <w:tr>
        <w:tc>
          <w:tcPr>
            <w:tcW w:type="dxa" w:w="2448"/>
            <w:vAlign w:val="center"/>
          </w:tcPr>
          <w:p>
            <w:r/>
            <w:r>
              <w:rPr>
                <w:rFonts w:ascii="Arial" w:hAnsi="Arial"/>
                <w:b w:val="0"/>
                <w:sz w:val="15"/>
              </w:rPr>
              <w:t>Oolix Ops</w:t>
            </w:r>
          </w:p>
        </w:tc>
        <w:tc>
          <w:tcPr>
            <w:tcW w:type="dxa" w:w="7200"/>
            <w:vAlign w:val="center"/>
          </w:tcPr>
          <w:p>
            <w:r/>
            <w:r>
              <w:rPr>
                <w:rFonts w:ascii="Arial" w:hAnsi="Arial"/>
                <w:b w:val="0"/>
                <w:sz w:val="15"/>
              </w:rPr>
              <w:t>Activation health; queue lag; connector/channel errors; reconciliation; audit.</w:t>
            </w:r>
          </w:p>
        </w:tc>
      </w:tr>
    </w:tbl>
    <w:p/>
    <w:p>
      <w:pPr>
        <w:pStyle w:val="Heading1"/>
      </w:pPr>
      <w:r>
        <w:t>50. Billing, Payout and Settlement</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Entity</w:t>
            </w:r>
          </w:p>
        </w:tc>
        <w:tc>
          <w:tcPr>
            <w:tcW w:type="dxa" w:w="7056"/>
            <w:vAlign w:val="center"/>
            <w:shd w:fill="1B4363"/>
          </w:tcPr>
          <w:p>
            <w:r/>
            <w:r>
              <w:rPr>
                <w:rFonts w:ascii="Arial" w:hAnsi="Arial"/>
                <w:b/>
                <w:color w:val="FFFFFF"/>
                <w:sz w:val="16"/>
              </w:rPr>
              <w:t>Required fields</w:t>
            </w:r>
          </w:p>
        </w:tc>
      </w:tr>
      <w:tr>
        <w:tc>
          <w:tcPr>
            <w:tcW w:type="dxa" w:w="2592"/>
            <w:vAlign w:val="center"/>
          </w:tcPr>
          <w:p>
            <w:r/>
            <w:r>
              <w:rPr>
                <w:rFonts w:ascii="Arial" w:hAnsi="Arial"/>
                <w:b w:val="0"/>
                <w:sz w:val="15"/>
              </w:rPr>
              <w:t>billing_profile</w:t>
            </w:r>
          </w:p>
        </w:tc>
        <w:tc>
          <w:tcPr>
            <w:tcW w:type="dxa" w:w="7056"/>
            <w:vAlign w:val="center"/>
          </w:tcPr>
          <w:p>
            <w:r/>
            <w:r>
              <w:rPr>
                <w:rFonts w:ascii="Arial" w:hAnsi="Arial"/>
                <w:b w:val="0"/>
                <w:sz w:val="15"/>
              </w:rPr>
              <w:t>org_id, legal_name, address, tax_id, currency, payment method reference</w:t>
            </w:r>
          </w:p>
        </w:tc>
      </w:tr>
      <w:tr>
        <w:tc>
          <w:tcPr>
            <w:tcW w:type="dxa" w:w="2592"/>
            <w:vAlign w:val="center"/>
          </w:tcPr>
          <w:p>
            <w:r/>
            <w:r>
              <w:rPr>
                <w:rFonts w:ascii="Arial" w:hAnsi="Arial"/>
                <w:b w:val="0"/>
                <w:sz w:val="15"/>
              </w:rPr>
              <w:t>commercial_terms</w:t>
            </w:r>
          </w:p>
        </w:tc>
        <w:tc>
          <w:tcPr>
            <w:tcW w:type="dxa" w:w="7056"/>
            <w:vAlign w:val="center"/>
          </w:tcPr>
          <w:p>
            <w:r/>
            <w:r>
              <w:rPr>
                <w:rFonts w:ascii="Arial" w:hAnsi="Arial"/>
                <w:b w:val="0"/>
                <w:sz w:val="15"/>
              </w:rPr>
              <w:t>request_id, pricing_model, unit_price/floor, platform_fee, tax treatment, max budget</w:t>
            </w:r>
          </w:p>
        </w:tc>
      </w:tr>
      <w:tr>
        <w:tc>
          <w:tcPr>
            <w:tcW w:type="dxa" w:w="2592"/>
            <w:vAlign w:val="center"/>
          </w:tcPr>
          <w:p>
            <w:r/>
            <w:r>
              <w:rPr>
                <w:rFonts w:ascii="Arial" w:hAnsi="Arial"/>
                <w:b w:val="0"/>
                <w:sz w:val="15"/>
              </w:rPr>
              <w:t>accrual</w:t>
            </w:r>
          </w:p>
        </w:tc>
        <w:tc>
          <w:tcPr>
            <w:tcW w:type="dxa" w:w="7056"/>
            <w:vAlign w:val="center"/>
          </w:tcPr>
          <w:p>
            <w:r/>
            <w:r>
              <w:rPr>
                <w:rFonts w:ascii="Arial" w:hAnsi="Arial"/>
                <w:b w:val="0"/>
                <w:sz w:val="15"/>
              </w:rPr>
              <w:t>activation_id, event_type, quantity, rate, amount, period</w:t>
            </w:r>
          </w:p>
        </w:tc>
      </w:tr>
      <w:tr>
        <w:tc>
          <w:tcPr>
            <w:tcW w:type="dxa" w:w="2592"/>
            <w:vAlign w:val="center"/>
          </w:tcPr>
          <w:p>
            <w:r/>
            <w:r>
              <w:rPr>
                <w:rFonts w:ascii="Arial" w:hAnsi="Arial"/>
                <w:b w:val="0"/>
                <w:sz w:val="15"/>
              </w:rPr>
              <w:t>invoice</w:t>
            </w:r>
          </w:p>
        </w:tc>
        <w:tc>
          <w:tcPr>
            <w:tcW w:type="dxa" w:w="7056"/>
            <w:vAlign w:val="center"/>
          </w:tcPr>
          <w:p>
            <w:r/>
            <w:r>
              <w:rPr>
                <w:rFonts w:ascii="Arial" w:hAnsi="Arial"/>
                <w:b w:val="0"/>
                <w:sz w:val="15"/>
              </w:rPr>
              <w:t>buyer_org_id, campaign_id, subtotal, taxes, total, status</w:t>
            </w:r>
          </w:p>
        </w:tc>
      </w:tr>
      <w:tr>
        <w:tc>
          <w:tcPr>
            <w:tcW w:type="dxa" w:w="2592"/>
            <w:vAlign w:val="center"/>
          </w:tcPr>
          <w:p>
            <w:r/>
            <w:r>
              <w:rPr>
                <w:rFonts w:ascii="Arial" w:hAnsi="Arial"/>
                <w:b w:val="0"/>
                <w:sz w:val="15"/>
              </w:rPr>
              <w:t>payout</w:t>
            </w:r>
          </w:p>
        </w:tc>
        <w:tc>
          <w:tcPr>
            <w:tcW w:type="dxa" w:w="7056"/>
            <w:vAlign w:val="center"/>
          </w:tcPr>
          <w:p>
            <w:r/>
            <w:r>
              <w:rPr>
                <w:rFonts w:ascii="Arial" w:hAnsi="Arial"/>
                <w:b w:val="0"/>
                <w:sz w:val="15"/>
              </w:rPr>
              <w:t>partner_org_id, activation_id, eligible_amount, adjustments, status</w:t>
            </w:r>
          </w:p>
        </w:tc>
      </w:tr>
      <w:tr>
        <w:tc>
          <w:tcPr>
            <w:tcW w:type="dxa" w:w="2592"/>
            <w:vAlign w:val="center"/>
          </w:tcPr>
          <w:p>
            <w:r/>
            <w:r>
              <w:rPr>
                <w:rFonts w:ascii="Arial" w:hAnsi="Arial"/>
                <w:b w:val="0"/>
                <w:sz w:val="15"/>
              </w:rPr>
              <w:t>reconciliation</w:t>
            </w:r>
          </w:p>
        </w:tc>
        <w:tc>
          <w:tcPr>
            <w:tcW w:type="dxa" w:w="7056"/>
            <w:vAlign w:val="center"/>
          </w:tcPr>
          <w:p>
            <w:r/>
            <w:r>
              <w:rPr>
                <w:rFonts w:ascii="Arial" w:hAnsi="Arial"/>
                <w:b w:val="0"/>
                <w:sz w:val="15"/>
              </w:rPr>
              <w:t>source totals, external spend, billed amount, payout amount, variance reason</w:t>
            </w:r>
          </w:p>
        </w:tc>
      </w:tr>
    </w:tbl>
    <w:p/>
    <w:p>
      <w:pPr>
        <w:pStyle w:val="ListBullet"/>
        <w:spacing w:after="30"/>
      </w:pPr>
      <w:r>
        <w:t>Do not calculate Partner payout directly from unverified client-side clicks.</w:t>
      </w:r>
    </w:p>
    <w:p>
      <w:pPr>
        <w:pStyle w:val="ListBullet"/>
        <w:spacing w:after="30"/>
      </w:pPr>
      <w:r>
        <w:t>Outcome-based payout should use Buyer CRM statuses and duplicate rules.</w:t>
      </w:r>
    </w:p>
    <w:p>
      <w:pPr>
        <w:pStyle w:val="ListBullet"/>
        <w:spacing w:after="30"/>
      </w:pPr>
      <w:r>
        <w:t>Every financial calculation should be reproducible from immutable settlement inputs.</w:t>
      </w:r>
    </w:p>
    <w:p>
      <w:pPr>
        <w:pStyle w:val="ListBullet"/>
        <w:spacing w:after="30"/>
      </w:pPr>
      <w:r>
        <w:t>External channel spend and Partner media payout are separate accounting concepts.</w:t>
      </w:r>
    </w:p>
    <w:p>
      <w:pPr>
        <w:pStyle w:val="Heading1"/>
      </w:pPr>
      <w:r>
        <w:t>51. Notifications, Tasks and Audit Timeline</w:t>
      </w:r>
    </w:p>
    <w:p>
      <w:pPr>
        <w:jc w:val="center"/>
      </w:pPr>
      <w:r>
        <w:drawing>
          <wp:inline xmlns:a="http://schemas.openxmlformats.org/drawingml/2006/main" xmlns:pic="http://schemas.openxmlformats.org/drawingml/2006/picture">
            <wp:extent cx="6217920" cy="2277466"/>
            <wp:docPr id="21" name="Picture 21"/>
            <wp:cNvGraphicFramePr>
              <a:graphicFrameLocks noChangeAspect="1"/>
            </wp:cNvGraphicFramePr>
            <a:graphic>
              <a:graphicData uri="http://schemas.openxmlformats.org/drawingml/2006/picture">
                <pic:pic>
                  <pic:nvPicPr>
                    <pic:cNvPr id="0" name="21_notifications.png"/>
                    <pic:cNvPicPr/>
                  </pic:nvPicPr>
                  <pic:blipFill>
                    <a:blip r:embed="rId28"/>
                    <a:stretch>
                      <a:fillRect/>
                    </a:stretch>
                  </pic:blipFill>
                  <pic:spPr>
                    <a:xfrm>
                      <a:off x="0" y="0"/>
                      <a:ext cx="6217920" cy="2277466"/>
                    </a:xfrm>
                    <a:prstGeom prst="rect"/>
                  </pic:spPr>
                </pic:pic>
              </a:graphicData>
            </a:graphic>
          </wp:inline>
        </w:drawing>
      </w:r>
    </w:p>
    <w:p>
      <w:pPr>
        <w:jc w:val="center"/>
      </w:pPr>
      <w:r>
        <w:rPr>
          <w:i/>
          <w:color w:val="4B5563"/>
          <w:sz w:val="16"/>
        </w:rPr>
        <w:t>Figure 21. Domain events feed notifications and audit trail.</w:t>
      </w:r>
    </w:p>
    <w:tbl>
      <w:tblPr>
        <w:tblStyle w:val="TableGrid"/>
        <w:tblW w:type="auto" w:w="0"/>
        <w:jc w:val="center"/>
        <w:tblLook w:firstColumn="1" w:firstRow="1" w:lastColumn="0" w:lastRow="0" w:noHBand="0" w:noVBand="1" w:val="04A0"/>
      </w:tblPr>
      <w:tblGrid>
        <w:gridCol w:w="5227"/>
        <w:gridCol w:w="5227"/>
      </w:tblGrid>
      <w:tr>
        <w:tc>
          <w:tcPr>
            <w:tcW w:type="dxa" w:w="3600"/>
            <w:vAlign w:val="center"/>
            <w:shd w:fill="1B4363"/>
          </w:tcPr>
          <w:p>
            <w:r/>
            <w:r>
              <w:rPr>
                <w:rFonts w:ascii="Arial" w:hAnsi="Arial"/>
                <w:b/>
                <w:color w:val="FFFFFF"/>
                <w:sz w:val="16"/>
              </w:rPr>
              <w:t>Event</w:t>
            </w:r>
          </w:p>
        </w:tc>
        <w:tc>
          <w:tcPr>
            <w:tcW w:type="dxa" w:w="6048"/>
            <w:vAlign w:val="center"/>
            <w:shd w:fill="1B4363"/>
          </w:tcPr>
          <w:p>
            <w:r/>
            <w:r>
              <w:rPr>
                <w:rFonts w:ascii="Arial" w:hAnsi="Arial"/>
                <w:b/>
                <w:color w:val="FFFFFF"/>
                <w:sz w:val="16"/>
              </w:rPr>
              <w:t>Recipients</w:t>
            </w:r>
          </w:p>
        </w:tc>
      </w:tr>
      <w:tr>
        <w:tc>
          <w:tcPr>
            <w:tcW w:type="dxa" w:w="3600"/>
            <w:vAlign w:val="center"/>
          </w:tcPr>
          <w:p>
            <w:r/>
            <w:r>
              <w:rPr>
                <w:rFonts w:ascii="Arial" w:hAnsi="Arial"/>
                <w:b w:val="0"/>
                <w:sz w:val="15"/>
              </w:rPr>
              <w:t>NETWORK_INVITATION</w:t>
            </w:r>
          </w:p>
        </w:tc>
        <w:tc>
          <w:tcPr>
            <w:tcW w:type="dxa" w:w="6048"/>
            <w:vAlign w:val="center"/>
          </w:tcPr>
          <w:p>
            <w:r/>
            <w:r>
              <w:rPr>
                <w:rFonts w:ascii="Arial" w:hAnsi="Arial"/>
                <w:b w:val="0"/>
                <w:sz w:val="15"/>
              </w:rPr>
              <w:t>Organization admins</w:t>
            </w:r>
          </w:p>
        </w:tc>
      </w:tr>
      <w:tr>
        <w:tc>
          <w:tcPr>
            <w:tcW w:type="dxa" w:w="3600"/>
            <w:vAlign w:val="center"/>
          </w:tcPr>
          <w:p>
            <w:r/>
            <w:r>
              <w:rPr>
                <w:rFonts w:ascii="Arial" w:hAnsi="Arial"/>
                <w:b w:val="0"/>
                <w:sz w:val="15"/>
              </w:rPr>
              <w:t>PARTNER_REQUEST_SUBMITTED</w:t>
            </w:r>
          </w:p>
        </w:tc>
        <w:tc>
          <w:tcPr>
            <w:tcW w:type="dxa" w:w="6048"/>
            <w:vAlign w:val="center"/>
          </w:tcPr>
          <w:p>
            <w:r/>
            <w:r>
              <w:rPr>
                <w:rFonts w:ascii="Arial" w:hAnsi="Arial"/>
                <w:b w:val="0"/>
                <w:sz w:val="15"/>
              </w:rPr>
              <w:t>Partner approvers</w:t>
            </w:r>
          </w:p>
        </w:tc>
      </w:tr>
      <w:tr>
        <w:tc>
          <w:tcPr>
            <w:tcW w:type="dxa" w:w="3600"/>
            <w:vAlign w:val="center"/>
          </w:tcPr>
          <w:p>
            <w:r/>
            <w:r>
              <w:rPr>
                <w:rFonts w:ascii="Arial" w:hAnsi="Arial"/>
                <w:b w:val="0"/>
                <w:sz w:val="15"/>
              </w:rPr>
              <w:t>PARTNER_REQUEST_CHANGE_REQUESTED</w:t>
            </w:r>
          </w:p>
        </w:tc>
        <w:tc>
          <w:tcPr>
            <w:tcW w:type="dxa" w:w="6048"/>
            <w:vAlign w:val="center"/>
          </w:tcPr>
          <w:p>
            <w:r/>
            <w:r>
              <w:rPr>
                <w:rFonts w:ascii="Arial" w:hAnsi="Arial"/>
                <w:b w:val="0"/>
                <w:sz w:val="15"/>
              </w:rPr>
              <w:t>Buyer campaign team</w:t>
            </w:r>
          </w:p>
        </w:tc>
      </w:tr>
      <w:tr>
        <w:tc>
          <w:tcPr>
            <w:tcW w:type="dxa" w:w="3600"/>
            <w:vAlign w:val="center"/>
          </w:tcPr>
          <w:p>
            <w:r/>
            <w:r>
              <w:rPr>
                <w:rFonts w:ascii="Arial" w:hAnsi="Arial"/>
                <w:b w:val="0"/>
                <w:sz w:val="15"/>
              </w:rPr>
              <w:t>PARTNER_REQUEST_APPROVED</w:t>
            </w:r>
          </w:p>
        </w:tc>
        <w:tc>
          <w:tcPr>
            <w:tcW w:type="dxa" w:w="6048"/>
            <w:vAlign w:val="center"/>
          </w:tcPr>
          <w:p>
            <w:r/>
            <w:r>
              <w:rPr>
                <w:rFonts w:ascii="Arial" w:hAnsi="Arial"/>
                <w:b w:val="0"/>
                <w:sz w:val="15"/>
              </w:rPr>
              <w:t>Buyer + Partner team</w:t>
            </w:r>
          </w:p>
        </w:tc>
      </w:tr>
      <w:tr>
        <w:tc>
          <w:tcPr>
            <w:tcW w:type="dxa" w:w="3600"/>
            <w:vAlign w:val="center"/>
          </w:tcPr>
          <w:p>
            <w:r/>
            <w:r>
              <w:rPr>
                <w:rFonts w:ascii="Arial" w:hAnsi="Arial"/>
                <w:b w:val="0"/>
                <w:sz w:val="15"/>
              </w:rPr>
              <w:t>CHANNEL_ELIGIBILITY_FAILED</w:t>
            </w:r>
          </w:p>
        </w:tc>
        <w:tc>
          <w:tcPr>
            <w:tcW w:type="dxa" w:w="6048"/>
            <w:vAlign w:val="center"/>
          </w:tcPr>
          <w:p>
            <w:r>
              <w:t>Buyer + PARTNER_SECURITY_ADMIN</w:t>
            </w:r>
          </w:p>
        </w:tc>
      </w:tr>
      <w:tr>
        <w:tc>
          <w:tcPr>
            <w:tcW w:type="dxa" w:w="3600"/>
            <w:vAlign w:val="center"/>
          </w:tcPr>
          <w:p>
            <w:r/>
            <w:r>
              <w:rPr>
                <w:rFonts w:ascii="Arial" w:hAnsi="Arial"/>
                <w:b w:val="0"/>
                <w:sz w:val="15"/>
              </w:rPr>
              <w:t>ACTIVATION_LIVE</w:t>
            </w:r>
          </w:p>
        </w:tc>
        <w:tc>
          <w:tcPr>
            <w:tcW w:type="dxa" w:w="6048"/>
            <w:vAlign w:val="center"/>
          </w:tcPr>
          <w:p>
            <w:r/>
            <w:r>
              <w:rPr>
                <w:rFonts w:ascii="Arial" w:hAnsi="Arial"/>
                <w:b w:val="0"/>
                <w:sz w:val="15"/>
              </w:rPr>
              <w:t>Buyer + Partner</w:t>
            </w:r>
          </w:p>
        </w:tc>
      </w:tr>
      <w:tr>
        <w:tc>
          <w:tcPr>
            <w:tcW w:type="dxa" w:w="3600"/>
            <w:vAlign w:val="center"/>
          </w:tcPr>
          <w:p>
            <w:r/>
            <w:r>
              <w:rPr>
                <w:rFonts w:ascii="Arial" w:hAnsi="Arial"/>
                <w:b w:val="0"/>
                <w:sz w:val="15"/>
              </w:rPr>
              <w:t>ACTIVATION_FAILED</w:t>
            </w:r>
          </w:p>
        </w:tc>
        <w:tc>
          <w:tcPr>
            <w:tcW w:type="dxa" w:w="6048"/>
            <w:vAlign w:val="center"/>
          </w:tcPr>
          <w:p>
            <w:r/>
            <w:r>
              <w:rPr>
                <w:rFonts w:ascii="Arial" w:hAnsi="Arial"/>
                <w:b w:val="0"/>
                <w:sz w:val="15"/>
              </w:rPr>
              <w:t>Buyer + Partner + Oolix Ops</w:t>
            </w:r>
          </w:p>
        </w:tc>
      </w:tr>
      <w:tr>
        <w:tc>
          <w:tcPr>
            <w:tcW w:type="dxa" w:w="3600"/>
            <w:vAlign w:val="center"/>
          </w:tcPr>
          <w:p>
            <w:r/>
            <w:r>
              <w:rPr>
                <w:rFonts w:ascii="Arial" w:hAnsi="Arial"/>
                <w:b w:val="0"/>
                <w:sz w:val="15"/>
              </w:rPr>
              <w:t>CAMPAIGN_ENDING_SOON</w:t>
            </w:r>
          </w:p>
        </w:tc>
        <w:tc>
          <w:tcPr>
            <w:tcW w:type="dxa" w:w="6048"/>
            <w:vAlign w:val="center"/>
          </w:tcPr>
          <w:p>
            <w:r/>
            <w:r>
              <w:rPr>
                <w:rFonts w:ascii="Arial" w:hAnsi="Arial"/>
                <w:b w:val="0"/>
                <w:sz w:val="15"/>
              </w:rPr>
              <w:t>Buyer + Partner</w:t>
            </w:r>
          </w:p>
        </w:tc>
      </w:tr>
      <w:tr>
        <w:tc>
          <w:tcPr>
            <w:tcW w:type="dxa" w:w="3600"/>
            <w:vAlign w:val="center"/>
          </w:tcPr>
          <w:p>
            <w:r/>
            <w:r>
              <w:rPr>
                <w:rFonts w:ascii="Arial" w:hAnsi="Arial"/>
                <w:b w:val="0"/>
                <w:sz w:val="15"/>
              </w:rPr>
              <w:t>PAYOUT_READY</w:t>
            </w:r>
          </w:p>
        </w:tc>
        <w:tc>
          <w:tcPr>
            <w:tcW w:type="dxa" w:w="6048"/>
            <w:vAlign w:val="center"/>
          </w:tcPr>
          <w:p>
            <w:r/>
            <w:r>
              <w:rPr>
                <w:rFonts w:ascii="Arial" w:hAnsi="Arial"/>
                <w:b w:val="0"/>
                <w:sz w:val="15"/>
              </w:rPr>
              <w:t>Partner Finance</w:t>
            </w:r>
          </w:p>
        </w:tc>
      </w:tr>
      <w:tr>
        <w:tc>
          <w:tcPr>
            <w:tcW w:type="dxa" w:w="3600"/>
            <w:vAlign w:val="center"/>
          </w:tcPr>
          <w:p>
            <w:r/>
            <w:r>
              <w:rPr>
                <w:rFonts w:ascii="Arial" w:hAnsi="Arial"/>
                <w:b w:val="0"/>
                <w:sz w:val="15"/>
              </w:rPr>
              <w:t>CONNECTION_EXPIRED</w:t>
            </w:r>
          </w:p>
        </w:tc>
        <w:tc>
          <w:tcPr>
            <w:tcW w:type="dxa" w:w="6048"/>
            <w:vAlign w:val="center"/>
          </w:tcPr>
          <w:p>
            <w:r>
              <w:t>PARTNER_SECURITY_ADMIN</w:t>
            </w:r>
          </w:p>
        </w:tc>
      </w:tr>
    </w:tbl>
    <w:p/>
    <w:p>
      <w:pPr>
        <w:pStyle w:val="Heading1"/>
      </w:pPr>
      <w:r>
        <w:t>52. API Surface - Developer Contract</w:t>
      </w:r>
    </w:p>
    <w:p>
      <w:pPr>
        <w:jc w:val="center"/>
      </w:pPr>
      <w:r>
        <w:drawing>
          <wp:inline xmlns:a="http://schemas.openxmlformats.org/drawingml/2006/main" xmlns:pic="http://schemas.openxmlformats.org/drawingml/2006/picture">
            <wp:extent cx="6217920" cy="2923630"/>
            <wp:docPr id="22" name="Picture 22"/>
            <wp:cNvGraphicFramePr>
              <a:graphicFrameLocks noChangeAspect="1"/>
            </wp:cNvGraphicFramePr>
            <a:graphic>
              <a:graphicData uri="http://schemas.openxmlformats.org/drawingml/2006/picture">
                <pic:pic>
                  <pic:nvPicPr>
                    <pic:cNvPr id="0" name="22_api_topology.png"/>
                    <pic:cNvPicPr/>
                  </pic:nvPicPr>
                  <pic:blipFill>
                    <a:blip r:embed="rId29"/>
                    <a:stretch>
                      <a:fillRect/>
                    </a:stretch>
                  </pic:blipFill>
                  <pic:spPr>
                    <a:xfrm>
                      <a:off x="0" y="0"/>
                      <a:ext cx="6217920" cy="2923630"/>
                    </a:xfrm>
                    <a:prstGeom prst="rect"/>
                  </pic:spPr>
                </pic:pic>
              </a:graphicData>
            </a:graphic>
          </wp:inline>
        </w:drawing>
      </w:r>
    </w:p>
    <w:p>
      <w:pPr>
        <w:jc w:val="center"/>
      </w:pPr>
      <w:r>
        <w:rPr>
          <w:i/>
          <w:color w:val="4B5563"/>
          <w:sz w:val="16"/>
        </w:rPr>
        <w:t>Figure 22. API topology between Oolix frontend, cloud services, Partner Agent and external channels.</w:t>
      </w:r>
    </w:p>
    <w:p>
      <w:pPr>
        <w:pStyle w:val="Heading2"/>
      </w:pPr>
      <w:r>
        <w:t>52.1 Identity / organization / network APIs</w:t>
      </w:r>
    </w:p>
    <w:p>
      <w:pPr>
        <w:spacing w:before="40" w:after="60"/>
      </w:pPr>
      <w:r>
        <w:rPr>
          <w:rFonts w:ascii="Courier New" w:hAnsi="Courier New"/>
          <w:sz w:val="15"/>
        </w:rPr>
        <w:t>POST /v1/organizations</w:t>
        <w:br/>
        <w:t>POST /v1/organizations/{id}/members/invite</w:t>
        <w:br/>
        <w:t>POST /v1/networks</w:t>
        <w:br/>
        <w:t>POST /v1/networks/{id}/invitations</w:t>
        <w:br/>
        <w:t>POST /v1/networks/{id}/memberships/{orgId}/accept</w:t>
        <w:br/>
        <w:t>GET  /v1/me/context</w:t>
      </w:r>
    </w:p>
    <w:p>
      <w:pPr>
        <w:pStyle w:val="Heading2"/>
      </w:pPr>
      <w:r>
        <w:t>52.2 Partner catalogue APIs</w:t>
      </w:r>
    </w:p>
    <w:p>
      <w:pPr>
        <w:spacing w:before="40" w:after="60"/>
      </w:pPr>
      <w:r>
        <w:rPr>
          <w:rFonts w:ascii="Courier New" w:hAnsi="Courier New"/>
          <w:sz w:val="15"/>
        </w:rPr>
        <w:t>POST /v1/partner/segments</w:t>
        <w:br/>
        <w:t>PATCH /v1/partner/segments/{id}</w:t>
        <w:br/>
        <w:t>POST /v1/partner/segments/{id}/publish</w:t>
        <w:br/>
        <w:t>POST /v1/partner/placements</w:t>
        <w:br/>
        <w:t>GET  /v1/catalogue/segments?query=&amp;industry=&amp;geo=&amp;freshness=&amp;reach=&amp;channel=&amp;network=</w:t>
        <w:br/>
        <w:t>GET  /v1/catalogue/segments/{id}</w:t>
      </w:r>
    </w:p>
    <w:p>
      <w:pPr>
        <w:pStyle w:val="Heading2"/>
      </w:pPr>
      <w:r>
        <w:t>52.3 Campaign APIs</w:t>
      </w:r>
    </w:p>
    <w:p>
      <w:pPr>
        <w:spacing w:before="40" w:after="60"/>
      </w:pPr>
      <w:r>
        <w:rPr>
          <w:rFonts w:ascii="Courier New" w:hAnsi="Courier New"/>
          <w:sz w:val="15"/>
        </w:rPr>
        <w:t>POST /v1/campaigns</w:t>
        <w:br/>
        <w:t>PATCH /v1/campaigns/{id}</w:t>
        <w:br/>
        <w:t>POST /v1/campaigns/{id}/partner-requests</w:t>
        <w:br/>
        <w:t>POST /v1/campaigns/{id}/submit</w:t>
        <w:br/>
        <w:t>GET  /v1/campaigns/{id}</w:t>
        <w:br/>
        <w:t>GET  /v1/campaigns/{id}/activations</w:t>
        <w:br/>
        <w:t>POST /v1/partner-requests/{id}/approve</w:t>
        <w:br/>
        <w:t>POST /v1/partner-requests/{id}/request-change</w:t>
        <w:br/>
        <w:t>POST /v1/partner-requests/{id}/reject</w:t>
        <w:br/>
        <w:t>POST /v1/activations/{id}/pause</w:t>
        <w:br/>
        <w:t>POST /v1/activations/{id}/resume</w:t>
        <w:br/>
        <w:t>POST /v1/activations/{id}/end</w:t>
      </w:r>
    </w:p>
    <w:p>
      <w:pPr>
        <w:pStyle w:val="Heading2"/>
      </w:pPr>
      <w:r>
        <w:t>52.4 Partner Agent control APIs</w:t>
      </w:r>
    </w:p>
    <w:p>
      <w:pPr>
        <w:spacing w:before="40" w:after="60"/>
      </w:pPr>
      <w:r>
        <w:rPr>
          <w:rFonts w:ascii="Courier New" w:hAnsi="Courier New"/>
          <w:sz w:val="15"/>
        </w:rPr>
        <w:t>POST /agent/v1/register</w:t>
        <w:br/>
        <w:t>POST /agent/v1/heartbeat</w:t>
        <w:br/>
        <w:t>GET  /agent/v1/config/pull?since_version=...</w:t>
        <w:br/>
        <w:t>POST /agent/v1/config/ack</w:t>
        <w:br/>
        <w:t>POST /agent/v1/reporting/batches</w:t>
        <w:br/>
        <w:t>POST /agent/v1/channel-status</w:t>
      </w:r>
    </w:p>
    <w:p>
      <w:pPr>
        <w:pStyle w:val="Heading2"/>
      </w:pPr>
      <w:r>
        <w:t>52.5 Lead and reporting APIs</w:t>
      </w:r>
    </w:p>
    <w:p>
      <w:pPr>
        <w:spacing w:before="40" w:after="60"/>
      </w:pPr>
      <w:r>
        <w:rPr>
          <w:rFonts w:ascii="Courier New" w:hAnsi="Courier New"/>
          <w:sz w:val="15"/>
        </w:rPr>
        <w:t>POST /v1/attribution/click/{token}</w:t>
        <w:br/>
        <w:t>POST /v1/leads/events</w:t>
        <w:br/>
        <w:t>POST /v1/conversions/events</w:t>
        <w:br/>
        <w:t>GET  /v1/reports/campaigns/{id}</w:t>
        <w:br/>
        <w:t>GET  /v1/reports/partners/{id}</w:t>
        <w:br/>
        <w:t>GET  /v1/reports/networks/{id}</w:t>
      </w:r>
    </w:p>
    <w:p>
      <w:pPr>
        <w:pStyle w:val="Heading1"/>
      </w:pPr>
      <w:r>
        <w:t>53. API Standards, Validation and Error Model</w:t>
      </w:r>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B4363"/>
          </w:tcPr>
          <w:p>
            <w:r/>
            <w:r>
              <w:rPr>
                <w:rFonts w:ascii="Arial" w:hAnsi="Arial"/>
                <w:b/>
                <w:color w:val="FFFFFF"/>
                <w:sz w:val="16"/>
              </w:rPr>
              <w:t>Requirement</w:t>
            </w:r>
          </w:p>
        </w:tc>
        <w:tc>
          <w:tcPr>
            <w:tcW w:type="dxa" w:w="7200"/>
            <w:vAlign w:val="center"/>
            <w:shd w:fill="1B4363"/>
          </w:tcPr>
          <w:p>
            <w:r/>
            <w:r>
              <w:rPr>
                <w:rFonts w:ascii="Arial" w:hAnsi="Arial"/>
                <w:b/>
                <w:color w:val="FFFFFF"/>
                <w:sz w:val="16"/>
              </w:rPr>
              <w:t>Rule</w:t>
            </w:r>
          </w:p>
        </w:tc>
      </w:tr>
      <w:tr>
        <w:tc>
          <w:tcPr>
            <w:tcW w:type="dxa" w:w="2448"/>
            <w:vAlign w:val="center"/>
          </w:tcPr>
          <w:p>
            <w:r/>
            <w:r>
              <w:rPr>
                <w:rFonts w:ascii="Arial" w:hAnsi="Arial"/>
                <w:b w:val="0"/>
                <w:sz w:val="15"/>
              </w:rPr>
              <w:t>Versioning</w:t>
            </w:r>
          </w:p>
        </w:tc>
        <w:tc>
          <w:tcPr>
            <w:tcW w:type="dxa" w:w="7200"/>
            <w:vAlign w:val="center"/>
          </w:tcPr>
          <w:p>
            <w:r/>
            <w:r>
              <w:rPr>
                <w:rFonts w:ascii="Arial" w:hAnsi="Arial"/>
                <w:b w:val="0"/>
                <w:sz w:val="15"/>
              </w:rPr>
              <w:t>/v1 path + explicit contract version for Agent manifest schema.</w:t>
            </w:r>
          </w:p>
        </w:tc>
      </w:tr>
      <w:tr>
        <w:tc>
          <w:tcPr>
            <w:tcW w:type="dxa" w:w="2448"/>
            <w:vAlign w:val="center"/>
          </w:tcPr>
          <w:p>
            <w:r/>
            <w:r>
              <w:rPr>
                <w:rFonts w:ascii="Arial" w:hAnsi="Arial"/>
                <w:b w:val="0"/>
                <w:sz w:val="15"/>
              </w:rPr>
              <w:t>Idempotency</w:t>
            </w:r>
          </w:p>
        </w:tc>
        <w:tc>
          <w:tcPr>
            <w:tcW w:type="dxa" w:w="7200"/>
            <w:vAlign w:val="center"/>
          </w:tcPr>
          <w:p>
            <w:r/>
            <w:r>
              <w:rPr>
                <w:rFonts w:ascii="Arial" w:hAnsi="Arial"/>
                <w:b w:val="0"/>
                <w:sz w:val="15"/>
              </w:rPr>
              <w:t>Require Idempotency-Key on campaign submit, approval, report batches, channel sync and lead events.</w:t>
            </w:r>
          </w:p>
        </w:tc>
      </w:tr>
      <w:tr>
        <w:tc>
          <w:tcPr>
            <w:tcW w:type="dxa" w:w="2448"/>
            <w:vAlign w:val="center"/>
          </w:tcPr>
          <w:p>
            <w:r/>
            <w:r>
              <w:rPr>
                <w:rFonts w:ascii="Arial" w:hAnsi="Arial"/>
                <w:b w:val="0"/>
                <w:sz w:val="15"/>
              </w:rPr>
              <w:t>Correlation</w:t>
            </w:r>
          </w:p>
        </w:tc>
        <w:tc>
          <w:tcPr>
            <w:tcW w:type="dxa" w:w="7200"/>
            <w:vAlign w:val="center"/>
          </w:tcPr>
          <w:p>
            <w:r/>
            <w:r>
              <w:rPr>
                <w:rFonts w:ascii="Arial" w:hAnsi="Arial"/>
                <w:b w:val="0"/>
                <w:sz w:val="15"/>
              </w:rPr>
              <w:t>correlation_id propagated Oolix -&gt; Agent -&gt; external channel where possible.</w:t>
            </w:r>
          </w:p>
        </w:tc>
      </w:tr>
      <w:tr>
        <w:tc>
          <w:tcPr>
            <w:tcW w:type="dxa" w:w="2448"/>
            <w:vAlign w:val="center"/>
          </w:tcPr>
          <w:p>
            <w:r/>
            <w:r>
              <w:rPr>
                <w:rFonts w:ascii="Arial" w:hAnsi="Arial"/>
                <w:b w:val="0"/>
                <w:sz w:val="15"/>
              </w:rPr>
              <w:t>Time</w:t>
            </w:r>
          </w:p>
        </w:tc>
        <w:tc>
          <w:tcPr>
            <w:tcW w:type="dxa" w:w="7200"/>
            <w:vAlign w:val="center"/>
          </w:tcPr>
          <w:p>
            <w:r/>
            <w:r>
              <w:rPr>
                <w:rFonts w:ascii="Arial" w:hAnsi="Arial"/>
                <w:b w:val="0"/>
                <w:sz w:val="15"/>
              </w:rPr>
              <w:t>UTC ISO-8601 over API; display local timezone in UI.</w:t>
            </w:r>
          </w:p>
        </w:tc>
      </w:tr>
      <w:tr>
        <w:tc>
          <w:tcPr>
            <w:tcW w:type="dxa" w:w="2448"/>
            <w:vAlign w:val="center"/>
          </w:tcPr>
          <w:p>
            <w:r/>
            <w:r>
              <w:rPr>
                <w:rFonts w:ascii="Arial" w:hAnsi="Arial"/>
                <w:b w:val="0"/>
                <w:sz w:val="15"/>
              </w:rPr>
              <w:t>Money</w:t>
            </w:r>
          </w:p>
        </w:tc>
        <w:tc>
          <w:tcPr>
            <w:tcW w:type="dxa" w:w="7200"/>
            <w:vAlign w:val="center"/>
          </w:tcPr>
          <w:p>
            <w:r/>
            <w:r>
              <w:rPr>
                <w:rFonts w:ascii="Arial" w:hAnsi="Arial"/>
                <w:b w:val="0"/>
                <w:sz w:val="15"/>
              </w:rPr>
              <w:t>Integer minor units + currency code.</w:t>
            </w:r>
          </w:p>
        </w:tc>
      </w:tr>
      <w:tr>
        <w:tc>
          <w:tcPr>
            <w:tcW w:type="dxa" w:w="2448"/>
            <w:vAlign w:val="center"/>
          </w:tcPr>
          <w:p>
            <w:r/>
            <w:r>
              <w:rPr>
                <w:rFonts w:ascii="Arial" w:hAnsi="Arial"/>
                <w:b w:val="0"/>
                <w:sz w:val="15"/>
              </w:rPr>
              <w:t>Pagination</w:t>
            </w:r>
          </w:p>
        </w:tc>
        <w:tc>
          <w:tcPr>
            <w:tcW w:type="dxa" w:w="7200"/>
            <w:vAlign w:val="center"/>
          </w:tcPr>
          <w:p>
            <w:r/>
            <w:r>
              <w:rPr>
                <w:rFonts w:ascii="Arial" w:hAnsi="Arial"/>
                <w:b w:val="0"/>
                <w:sz w:val="15"/>
              </w:rPr>
              <w:t>Cursor-based for catalogue/events.</w:t>
            </w:r>
          </w:p>
        </w:tc>
      </w:tr>
      <w:tr>
        <w:tc>
          <w:tcPr>
            <w:tcW w:type="dxa" w:w="2448"/>
            <w:vAlign w:val="center"/>
          </w:tcPr>
          <w:p>
            <w:r/>
            <w:r>
              <w:rPr>
                <w:rFonts w:ascii="Arial" w:hAnsi="Arial"/>
                <w:b w:val="0"/>
                <w:sz w:val="15"/>
              </w:rPr>
              <w:t>Errors</w:t>
            </w:r>
          </w:p>
        </w:tc>
        <w:tc>
          <w:tcPr>
            <w:tcW w:type="dxa" w:w="7200"/>
            <w:vAlign w:val="center"/>
          </w:tcPr>
          <w:p>
            <w:r/>
            <w:r>
              <w:rPr>
                <w:rFonts w:ascii="Arial" w:hAnsi="Arial"/>
                <w:b w:val="0"/>
                <w:sz w:val="15"/>
              </w:rPr>
              <w:t>Structured code, message, retryable flag, field_errors, correlation_id.</w:t>
            </w:r>
          </w:p>
        </w:tc>
      </w:tr>
      <w:tr>
        <w:tc>
          <w:tcPr>
            <w:tcW w:type="dxa" w:w="2448"/>
            <w:vAlign w:val="center"/>
          </w:tcPr>
          <w:p>
            <w:r/>
            <w:r>
              <w:rPr>
                <w:rFonts w:ascii="Arial" w:hAnsi="Arial"/>
                <w:b w:val="0"/>
                <w:sz w:val="15"/>
              </w:rPr>
              <w:t>PII</w:t>
            </w:r>
          </w:p>
        </w:tc>
        <w:tc>
          <w:tcPr>
            <w:tcW w:type="dxa" w:w="7200"/>
            <w:vAlign w:val="center"/>
          </w:tcPr>
          <w:p>
            <w:r/>
            <w:r>
              <w:rPr>
                <w:rFonts w:ascii="Arial" w:hAnsi="Arial"/>
                <w:b w:val="0"/>
                <w:sz w:val="15"/>
              </w:rPr>
              <w:t>Never place Partner PII in URLs or central logs.</w:t>
            </w:r>
          </w:p>
        </w:tc>
      </w:tr>
      <w:tr>
        <w:tc>
          <w:tcPr>
            <w:tcW w:type="dxa" w:w="2448"/>
            <w:vAlign w:val="center"/>
          </w:tcPr>
          <w:p>
            <w:r/>
            <w:r>
              <w:rPr>
                <w:rFonts w:ascii="Arial" w:hAnsi="Arial"/>
                <w:b w:val="0"/>
                <w:sz w:val="15"/>
              </w:rPr>
              <w:t>Auth</w:t>
            </w:r>
          </w:p>
        </w:tc>
        <w:tc>
          <w:tcPr>
            <w:tcW w:type="dxa" w:w="7200"/>
            <w:vAlign w:val="center"/>
          </w:tcPr>
          <w:p>
            <w:r/>
            <w:r>
              <w:rPr>
                <w:rFonts w:ascii="Arial" w:hAnsi="Arial"/>
                <w:b w:val="0"/>
                <w:sz w:val="15"/>
              </w:rPr>
              <w:t>JWT/OIDC for users; workload identity/mTLS or signed credentials for Agent.</w:t>
            </w:r>
          </w:p>
        </w:tc>
      </w:tr>
      <w:tr>
        <w:tc>
          <w:tcPr>
            <w:tcW w:type="dxa" w:w="2448"/>
            <w:vAlign w:val="center"/>
          </w:tcPr>
          <w:p>
            <w:r/>
            <w:r>
              <w:rPr>
                <w:rFonts w:ascii="Arial" w:hAnsi="Arial"/>
                <w:b w:val="0"/>
                <w:sz w:val="15"/>
              </w:rPr>
              <w:t>Rate limits</w:t>
            </w:r>
          </w:p>
        </w:tc>
        <w:tc>
          <w:tcPr>
            <w:tcW w:type="dxa" w:w="7200"/>
            <w:vAlign w:val="center"/>
          </w:tcPr>
          <w:p>
            <w:r/>
            <w:r>
              <w:rPr>
                <w:rFonts w:ascii="Arial" w:hAnsi="Arial"/>
                <w:b w:val="0"/>
                <w:sz w:val="15"/>
              </w:rPr>
              <w:t>Per organization and Agent; 429 with retry hints.</w:t>
            </w:r>
          </w:p>
        </w:tc>
      </w:tr>
    </w:tbl>
    <w:p/>
    <w:p>
      <w:pPr>
        <w:spacing w:before="40" w:after="60"/>
      </w:pPr>
      <w:r>
        <w:rPr>
          <w:rFonts w:ascii="Courier New" w:hAnsi="Courier New"/>
          <w:sz w:val="15"/>
        </w:rPr>
        <w:t>{</w:t>
        <w:br/>
        <w:t xml:space="preserve">  "error": {</w:t>
        <w:br/>
        <w:t xml:space="preserve">    "code": "CHANNEL_NOT_ELIGIBLE",</w:t>
        <w:br/>
        <w:t xml:space="preserve">    "message": "Google activation is not available for this Partner/account combination.",</w:t>
        <w:br/>
        <w:t xml:space="preserve">    "retryable": false,</w:t>
        <w:br/>
        <w:t xml:space="preserve">    "correlation_id": "corr_...",</w:t>
        <w:br/>
        <w:t xml:space="preserve">    "field_errors": []</w:t>
        <w:br/>
        <w:t xml:space="preserve">  }</w:t>
        <w:br/>
        <w:t>}</w:t>
      </w:r>
    </w:p>
    <w:p>
      <w:pPr>
        <w:pStyle w:val="Heading1"/>
      </w:pPr>
      <w:r>
        <w:t>54. Central Database Schema - Minimum MVP Tables</w:t>
      </w:r>
    </w:p>
    <w:p>
      <w:pPr>
        <w:jc w:val="center"/>
      </w:pPr>
      <w:r>
        <w:drawing>
          <wp:inline xmlns:a="http://schemas.openxmlformats.org/drawingml/2006/main" xmlns:pic="http://schemas.openxmlformats.org/drawingml/2006/picture">
            <wp:extent cx="6217920" cy="452880"/>
            <wp:docPr id="23" name="Picture 23"/>
            <wp:cNvGraphicFramePr>
              <a:graphicFrameLocks noChangeAspect="1"/>
            </wp:cNvGraphicFramePr>
            <a:graphic>
              <a:graphicData uri="http://schemas.openxmlformats.org/drawingml/2006/picture">
                <pic:pic>
                  <pic:nvPicPr>
                    <pic:cNvPr id="0" name="20_data_contract_boundaries.png"/>
                    <pic:cNvPicPr/>
                  </pic:nvPicPr>
                  <pic:blipFill>
                    <a:blip r:embed="rId30"/>
                    <a:stretch>
                      <a:fillRect/>
                    </a:stretch>
                  </pic:blipFill>
                  <pic:spPr>
                    <a:xfrm>
                      <a:off x="0" y="0"/>
                      <a:ext cx="6217920" cy="452880"/>
                    </a:xfrm>
                    <a:prstGeom prst="rect"/>
                  </pic:spPr>
                </pic:pic>
              </a:graphicData>
            </a:graphic>
          </wp:inline>
        </w:drawing>
      </w:r>
    </w:p>
    <w:p>
      <w:pPr>
        <w:jc w:val="center"/>
      </w:pPr>
      <w:r>
        <w:rPr>
          <w:i/>
          <w:color w:val="4B5563"/>
          <w:sz w:val="16"/>
        </w:rPr>
        <w:t>Figure 23. Central vs Partner-local vs external-channel data contracts.</w:t>
      </w:r>
    </w:p>
    <w:tbl>
      <w:tblPr>
        <w:tblStyle w:val="TableGrid"/>
        <w:tblW w:type="auto" w:w="0"/>
        <w:jc w:val="center"/>
        <w:tblLook w:firstColumn="1" w:firstRow="1" w:lastColumn="0" w:lastRow="0" w:noHBand="0" w:noVBand="1" w:val="04A0"/>
      </w:tblPr>
      <w:tblGrid>
        <w:gridCol w:w="5227"/>
        <w:gridCol w:w="5227"/>
      </w:tblGrid>
      <w:tr>
        <w:tc>
          <w:tcPr>
            <w:tcW w:type="dxa" w:w="3024"/>
            <w:vAlign w:val="center"/>
            <w:shd w:fill="1B4363"/>
          </w:tcPr>
          <w:p>
            <w:r/>
            <w:r>
              <w:rPr>
                <w:rFonts w:ascii="Arial" w:hAnsi="Arial"/>
                <w:b/>
                <w:color w:val="FFFFFF"/>
                <w:sz w:val="16"/>
              </w:rPr>
              <w:t>Table</w:t>
            </w:r>
          </w:p>
        </w:tc>
        <w:tc>
          <w:tcPr>
            <w:tcW w:type="dxa" w:w="6624"/>
            <w:vAlign w:val="center"/>
            <w:shd w:fill="1B4363"/>
          </w:tcPr>
          <w:p>
            <w:r/>
            <w:r>
              <w:rPr>
                <w:rFonts w:ascii="Arial" w:hAnsi="Arial"/>
                <w:b/>
                <w:color w:val="FFFFFF"/>
                <w:sz w:val="16"/>
              </w:rPr>
              <w:t>Important columns</w:t>
            </w:r>
          </w:p>
        </w:tc>
      </w:tr>
      <w:tr>
        <w:tc>
          <w:tcPr>
            <w:tcW w:type="dxa" w:w="3024"/>
            <w:vAlign w:val="center"/>
          </w:tcPr>
          <w:p>
            <w:r/>
            <w:r>
              <w:rPr>
                <w:rFonts w:ascii="Arial" w:hAnsi="Arial"/>
                <w:b w:val="0"/>
                <w:sz w:val="15"/>
              </w:rPr>
              <w:t>users</w:t>
            </w:r>
          </w:p>
        </w:tc>
        <w:tc>
          <w:tcPr>
            <w:tcW w:type="dxa" w:w="6624"/>
            <w:vAlign w:val="center"/>
          </w:tcPr>
          <w:p>
            <w:r/>
            <w:r>
              <w:rPr>
                <w:rFonts w:ascii="Arial" w:hAnsi="Arial"/>
                <w:b w:val="0"/>
                <w:sz w:val="15"/>
              </w:rPr>
              <w:t>id, auth_subject, email, name, status</w:t>
            </w:r>
          </w:p>
        </w:tc>
      </w:tr>
      <w:tr>
        <w:tc>
          <w:tcPr>
            <w:tcW w:type="dxa" w:w="3024"/>
            <w:vAlign w:val="center"/>
          </w:tcPr>
          <w:p>
            <w:r/>
            <w:r>
              <w:rPr>
                <w:rFonts w:ascii="Arial" w:hAnsi="Arial"/>
                <w:b w:val="0"/>
                <w:sz w:val="15"/>
              </w:rPr>
              <w:t>organizations</w:t>
            </w:r>
          </w:p>
        </w:tc>
        <w:tc>
          <w:tcPr>
            <w:tcW w:type="dxa" w:w="6624"/>
            <w:vAlign w:val="center"/>
          </w:tcPr>
          <w:p>
            <w:r/>
            <w:r>
              <w:rPr>
                <w:rFonts w:ascii="Arial" w:hAnsi="Arial"/>
                <w:b w:val="0"/>
                <w:sz w:val="15"/>
              </w:rPr>
              <w:t>id, type, name, domain, verification_status, country</w:t>
            </w:r>
          </w:p>
        </w:tc>
      </w:tr>
      <w:tr>
        <w:tc>
          <w:tcPr>
            <w:tcW w:type="dxa" w:w="3024"/>
            <w:vAlign w:val="center"/>
          </w:tcPr>
          <w:p>
            <w:r/>
            <w:r>
              <w:rPr>
                <w:rFonts w:ascii="Arial" w:hAnsi="Arial"/>
                <w:b w:val="0"/>
                <w:sz w:val="15"/>
              </w:rPr>
              <w:t>organization_members</w:t>
            </w:r>
          </w:p>
        </w:tc>
        <w:tc>
          <w:tcPr>
            <w:tcW w:type="dxa" w:w="6624"/>
            <w:vAlign w:val="center"/>
          </w:tcPr>
          <w:p>
            <w:r/>
            <w:r>
              <w:rPr>
                <w:rFonts w:ascii="Arial" w:hAnsi="Arial"/>
                <w:b w:val="0"/>
                <w:sz w:val="15"/>
              </w:rPr>
              <w:t>org_id, user_id, role</w:t>
            </w:r>
          </w:p>
        </w:tc>
      </w:tr>
      <w:tr>
        <w:tc>
          <w:tcPr>
            <w:tcW w:type="dxa" w:w="3024"/>
            <w:vAlign w:val="center"/>
          </w:tcPr>
          <w:p>
            <w:r/>
            <w:r>
              <w:rPr>
                <w:rFonts w:ascii="Arial" w:hAnsi="Arial"/>
                <w:b w:val="0"/>
                <w:sz w:val="15"/>
              </w:rPr>
              <w:t>networks</w:t>
            </w:r>
          </w:p>
        </w:tc>
        <w:tc>
          <w:tcPr>
            <w:tcW w:type="dxa" w:w="6624"/>
            <w:vAlign w:val="center"/>
          </w:tcPr>
          <w:p>
            <w:r/>
            <w:r>
              <w:rPr>
                <w:rFonts w:ascii="Arial" w:hAnsi="Arial"/>
                <w:b w:val="0"/>
                <w:sz w:val="15"/>
              </w:rPr>
              <w:t>id, sponsor_org_id, mode, policy_version</w:t>
            </w:r>
          </w:p>
        </w:tc>
      </w:tr>
      <w:tr>
        <w:tc>
          <w:tcPr>
            <w:tcW w:type="dxa" w:w="3024"/>
            <w:vAlign w:val="center"/>
          </w:tcPr>
          <w:p>
            <w:r/>
            <w:r>
              <w:rPr>
                <w:rFonts w:ascii="Arial" w:hAnsi="Arial"/>
                <w:b w:val="0"/>
                <w:sz w:val="15"/>
              </w:rPr>
              <w:t>network_memberships</w:t>
            </w:r>
          </w:p>
        </w:tc>
        <w:tc>
          <w:tcPr>
            <w:tcW w:type="dxa" w:w="6624"/>
            <w:vAlign w:val="center"/>
          </w:tcPr>
          <w:p>
            <w:r/>
            <w:r>
              <w:rPr>
                <w:rFonts w:ascii="Arial" w:hAnsi="Arial"/>
                <w:b w:val="0"/>
                <w:sz w:val="15"/>
              </w:rPr>
              <w:t>network_id, org_id, status, roles</w:t>
            </w:r>
          </w:p>
        </w:tc>
      </w:tr>
      <w:tr>
        <w:tc>
          <w:tcPr>
            <w:tcW w:type="dxa" w:w="3024"/>
            <w:vAlign w:val="center"/>
          </w:tcPr>
          <w:p>
            <w:r/>
            <w:r>
              <w:rPr>
                <w:rFonts w:ascii="Arial" w:hAnsi="Arial"/>
                <w:b w:val="0"/>
                <w:sz w:val="15"/>
              </w:rPr>
              <w:t>partner_profiles</w:t>
            </w:r>
          </w:p>
        </w:tc>
        <w:tc>
          <w:tcPr>
            <w:tcW w:type="dxa" w:w="6624"/>
            <w:vAlign w:val="center"/>
          </w:tcPr>
          <w:p>
            <w:r/>
            <w:r>
              <w:rPr>
                <w:rFonts w:ascii="Arial" w:hAnsi="Arial"/>
                <w:b w:val="0"/>
                <w:sz w:val="15"/>
              </w:rPr>
              <w:t>org_id, policy_id, readiness_status, payout_profile_id</w:t>
            </w:r>
          </w:p>
        </w:tc>
      </w:tr>
      <w:tr>
        <w:tc>
          <w:tcPr>
            <w:tcW w:type="dxa" w:w="3024"/>
            <w:vAlign w:val="center"/>
          </w:tcPr>
          <w:p>
            <w:r/>
            <w:r>
              <w:rPr>
                <w:rFonts w:ascii="Arial" w:hAnsi="Arial"/>
                <w:b w:val="0"/>
                <w:sz w:val="15"/>
              </w:rPr>
              <w:t>buyer_profiles</w:t>
            </w:r>
          </w:p>
        </w:tc>
        <w:tc>
          <w:tcPr>
            <w:tcW w:type="dxa" w:w="6624"/>
            <w:vAlign w:val="center"/>
          </w:tcPr>
          <w:p>
            <w:r/>
            <w:r>
              <w:rPr>
                <w:rFonts w:ascii="Arial" w:hAnsi="Arial"/>
                <w:b w:val="0"/>
                <w:sz w:val="15"/>
              </w:rPr>
              <w:t>org_id, billing_profile_id, default_brand_id</w:t>
            </w:r>
          </w:p>
        </w:tc>
      </w:tr>
      <w:tr>
        <w:tc>
          <w:tcPr>
            <w:tcW w:type="dxa" w:w="3024"/>
            <w:vAlign w:val="center"/>
          </w:tcPr>
          <w:p>
            <w:r/>
            <w:r>
              <w:rPr>
                <w:rFonts w:ascii="Arial" w:hAnsi="Arial"/>
                <w:b w:val="0"/>
                <w:sz w:val="15"/>
              </w:rPr>
              <w:t>segments</w:t>
            </w:r>
          </w:p>
        </w:tc>
        <w:tc>
          <w:tcPr>
            <w:tcW w:type="dxa" w:w="6624"/>
            <w:vAlign w:val="center"/>
          </w:tcPr>
          <w:p>
            <w:r/>
            <w:r>
              <w:rPr>
                <w:rFonts w:ascii="Arial" w:hAnsi="Arial"/>
                <w:b w:val="0"/>
                <w:sz w:val="15"/>
              </w:rPr>
              <w:t>id, partner_org_id, safe_metadata_json, status, version</w:t>
            </w:r>
          </w:p>
        </w:tc>
      </w:tr>
      <w:tr>
        <w:tc>
          <w:tcPr>
            <w:tcW w:type="dxa" w:w="3024"/>
            <w:vAlign w:val="center"/>
          </w:tcPr>
          <w:p>
            <w:r/>
            <w:r>
              <w:rPr>
                <w:rFonts w:ascii="Arial" w:hAnsi="Arial"/>
                <w:b w:val="0"/>
                <w:sz w:val="15"/>
              </w:rPr>
              <w:t>placements</w:t>
            </w:r>
          </w:p>
        </w:tc>
        <w:tc>
          <w:tcPr>
            <w:tcW w:type="dxa" w:w="6624"/>
            <w:vAlign w:val="center"/>
          </w:tcPr>
          <w:p>
            <w:r/>
            <w:r>
              <w:rPr>
                <w:rFonts w:ascii="Arial" w:hAnsi="Arial"/>
                <w:b w:val="0"/>
                <w:sz w:val="15"/>
              </w:rPr>
              <w:t>id, partner_org_id, surface, format, policy_json, status</w:t>
            </w:r>
          </w:p>
        </w:tc>
      </w:tr>
      <w:tr>
        <w:tc>
          <w:tcPr>
            <w:tcW w:type="dxa" w:w="3024"/>
            <w:vAlign w:val="center"/>
          </w:tcPr>
          <w:p>
            <w:r/>
            <w:r>
              <w:rPr>
                <w:rFonts w:ascii="Arial" w:hAnsi="Arial"/>
                <w:b w:val="0"/>
                <w:sz w:val="15"/>
              </w:rPr>
              <w:t>campaigns</w:t>
            </w:r>
          </w:p>
        </w:tc>
        <w:tc>
          <w:tcPr>
            <w:tcW w:type="dxa" w:w="6624"/>
            <w:vAlign w:val="center"/>
          </w:tcPr>
          <w:p>
            <w:r/>
            <w:r>
              <w:rPr>
                <w:rFonts w:ascii="Arial" w:hAnsi="Arial"/>
                <w:b w:val="0"/>
                <w:sz w:val="15"/>
              </w:rPr>
              <w:t>id, buyer_org_id, objective, budget_minor, currency, status, dates</w:t>
            </w:r>
          </w:p>
        </w:tc>
      </w:tr>
      <w:tr>
        <w:tc>
          <w:tcPr>
            <w:tcW w:type="dxa" w:w="3024"/>
            <w:vAlign w:val="center"/>
          </w:tcPr>
          <w:p>
            <w:r/>
            <w:r>
              <w:rPr>
                <w:rFonts w:ascii="Arial" w:hAnsi="Arial"/>
                <w:b w:val="0"/>
                <w:sz w:val="15"/>
              </w:rPr>
              <w:t>partner_requests</w:t>
            </w:r>
          </w:p>
        </w:tc>
        <w:tc>
          <w:tcPr>
            <w:tcW w:type="dxa" w:w="6624"/>
            <w:vAlign w:val="center"/>
          </w:tcPr>
          <w:p>
            <w:r/>
            <w:r>
              <w:rPr>
                <w:rFonts w:ascii="Arial" w:hAnsi="Arial"/>
                <w:b w:val="0"/>
                <w:sz w:val="15"/>
              </w:rPr>
              <w:t>id, campaign_id, partner_org_id, request_version, status, snapshot_json</w:t>
            </w:r>
          </w:p>
        </w:tc>
      </w:tr>
      <w:tr>
        <w:tc>
          <w:tcPr>
            <w:tcW w:type="dxa" w:w="3024"/>
            <w:vAlign w:val="center"/>
          </w:tcPr>
          <w:p>
            <w:r/>
            <w:r>
              <w:rPr>
                <w:rFonts w:ascii="Arial" w:hAnsi="Arial"/>
                <w:b w:val="0"/>
                <w:sz w:val="15"/>
              </w:rPr>
              <w:t>approvals</w:t>
            </w:r>
          </w:p>
        </w:tc>
        <w:tc>
          <w:tcPr>
            <w:tcW w:type="dxa" w:w="6624"/>
            <w:vAlign w:val="center"/>
          </w:tcPr>
          <w:p>
            <w:r/>
            <w:r>
              <w:rPr>
                <w:rFonts w:ascii="Arial" w:hAnsi="Arial"/>
                <w:b w:val="0"/>
                <w:sz w:val="15"/>
              </w:rPr>
              <w:t>id, request_id, actor_user_id, decision, decision_version, reason, timestamp</w:t>
            </w:r>
          </w:p>
        </w:tc>
      </w:tr>
      <w:tr>
        <w:tc>
          <w:tcPr>
            <w:tcW w:type="dxa" w:w="3024"/>
            <w:vAlign w:val="center"/>
          </w:tcPr>
          <w:p>
            <w:r/>
            <w:r>
              <w:rPr>
                <w:rFonts w:ascii="Arial" w:hAnsi="Arial"/>
                <w:b w:val="0"/>
                <w:sz w:val="15"/>
              </w:rPr>
              <w:t>activations</w:t>
            </w:r>
          </w:p>
        </w:tc>
        <w:tc>
          <w:tcPr>
            <w:tcW w:type="dxa" w:w="6624"/>
            <w:vAlign w:val="center"/>
          </w:tcPr>
          <w:p>
            <w:r/>
            <w:r>
              <w:rPr>
                <w:rFonts w:ascii="Arial" w:hAnsi="Arial"/>
                <w:b w:val="0"/>
                <w:sz w:val="15"/>
              </w:rPr>
              <w:t>id, request_id, channel, placement_id, status, manifest_version</w:t>
            </w:r>
          </w:p>
        </w:tc>
      </w:tr>
      <w:tr>
        <w:tc>
          <w:tcPr>
            <w:tcW w:type="dxa" w:w="3024"/>
            <w:vAlign w:val="center"/>
          </w:tcPr>
          <w:p>
            <w:r/>
            <w:r>
              <w:rPr>
                <w:rFonts w:ascii="Arial" w:hAnsi="Arial"/>
                <w:b w:val="0"/>
                <w:sz w:val="15"/>
              </w:rPr>
              <w:t>channel_connections</w:t>
            </w:r>
          </w:p>
        </w:tc>
        <w:tc>
          <w:tcPr>
            <w:tcW w:type="dxa" w:w="6624"/>
            <w:vAlign w:val="center"/>
          </w:tcPr>
          <w:p>
            <w:r/>
            <w:r>
              <w:rPr>
                <w:rFonts w:ascii="Arial" w:hAnsi="Arial"/>
                <w:b w:val="0"/>
                <w:sz w:val="15"/>
              </w:rPr>
              <w:t>id, partner_org_id, provider, account_ids_json, status, scopes, expires_at</w:t>
            </w:r>
          </w:p>
        </w:tc>
      </w:tr>
      <w:tr>
        <w:tc>
          <w:tcPr>
            <w:tcW w:type="dxa" w:w="3024"/>
            <w:vAlign w:val="center"/>
          </w:tcPr>
          <w:p>
            <w:r/>
            <w:r>
              <w:rPr>
                <w:rFonts w:ascii="Arial" w:hAnsi="Arial"/>
                <w:b w:val="0"/>
                <w:sz w:val="15"/>
              </w:rPr>
              <w:t>external_resources</w:t>
            </w:r>
          </w:p>
        </w:tc>
        <w:tc>
          <w:tcPr>
            <w:tcW w:type="dxa" w:w="6624"/>
            <w:vAlign w:val="center"/>
          </w:tcPr>
          <w:p>
            <w:r/>
            <w:r>
              <w:rPr>
                <w:rFonts w:ascii="Arial" w:hAnsi="Arial"/>
                <w:b w:val="0"/>
                <w:sz w:val="15"/>
              </w:rPr>
              <w:t>activation_id, provider, audience_id, campaign_id, status</w:t>
            </w:r>
          </w:p>
        </w:tc>
      </w:tr>
      <w:tr>
        <w:tc>
          <w:tcPr>
            <w:tcW w:type="dxa" w:w="3024"/>
            <w:vAlign w:val="center"/>
          </w:tcPr>
          <w:p>
            <w:r/>
            <w:r>
              <w:rPr>
                <w:rFonts w:ascii="Arial" w:hAnsi="Arial"/>
                <w:b w:val="0"/>
                <w:sz w:val="15"/>
              </w:rPr>
              <w:t>creative_versions</w:t>
            </w:r>
          </w:p>
        </w:tc>
        <w:tc>
          <w:tcPr>
            <w:tcW w:type="dxa" w:w="6624"/>
            <w:vAlign w:val="center"/>
          </w:tcPr>
          <w:p>
            <w:r/>
            <w:r>
              <w:rPr>
                <w:rFonts w:ascii="Arial" w:hAnsi="Arial"/>
                <w:b w:val="0"/>
                <w:sz w:val="15"/>
              </w:rPr>
              <w:t>id, campaign_id, version, asset_uri, metadata_json, status</w:t>
            </w:r>
          </w:p>
        </w:tc>
      </w:tr>
      <w:tr>
        <w:tc>
          <w:tcPr>
            <w:tcW w:type="dxa" w:w="3024"/>
            <w:vAlign w:val="center"/>
          </w:tcPr>
          <w:p>
            <w:r/>
            <w:r>
              <w:rPr>
                <w:rFonts w:ascii="Arial" w:hAnsi="Arial"/>
                <w:b w:val="0"/>
                <w:sz w:val="15"/>
              </w:rPr>
              <w:t>aggregate_metrics</w:t>
            </w:r>
          </w:p>
        </w:tc>
        <w:tc>
          <w:tcPr>
            <w:tcW w:type="dxa" w:w="6624"/>
            <w:vAlign w:val="center"/>
          </w:tcPr>
          <w:p>
            <w:r/>
            <w:r>
              <w:rPr>
                <w:rFonts w:ascii="Arial" w:hAnsi="Arial"/>
                <w:b w:val="0"/>
                <w:sz w:val="15"/>
              </w:rPr>
              <w:t>activation_id, bucket_start, impressions, clicks, spend_minor, leads, qualified_leads, conversions</w:t>
            </w:r>
          </w:p>
        </w:tc>
      </w:tr>
      <w:tr>
        <w:tc>
          <w:tcPr>
            <w:tcW w:type="dxa" w:w="3024"/>
            <w:vAlign w:val="center"/>
          </w:tcPr>
          <w:p>
            <w:r/>
            <w:r>
              <w:rPr>
                <w:rFonts w:ascii="Arial" w:hAnsi="Arial"/>
                <w:b w:val="0"/>
                <w:sz w:val="15"/>
              </w:rPr>
              <w:t>attribution_tokens</w:t>
            </w:r>
          </w:p>
        </w:tc>
        <w:tc>
          <w:tcPr>
            <w:tcW w:type="dxa" w:w="6624"/>
            <w:vAlign w:val="center"/>
          </w:tcPr>
          <w:p>
            <w:r/>
            <w:r>
              <w:rPr>
                <w:rFonts w:ascii="Arial" w:hAnsi="Arial"/>
                <w:b w:val="0"/>
                <w:sz w:val="15"/>
              </w:rPr>
              <w:t>token_hash, activation_id, creative_id, placement_id, issued_at, expires_at</w:t>
            </w:r>
          </w:p>
        </w:tc>
      </w:tr>
      <w:tr>
        <w:tc>
          <w:tcPr>
            <w:tcW w:type="dxa" w:w="3024"/>
            <w:vAlign w:val="center"/>
          </w:tcPr>
          <w:p>
            <w:r/>
            <w:r>
              <w:rPr>
                <w:rFonts w:ascii="Arial" w:hAnsi="Arial"/>
                <w:b w:val="0"/>
                <w:sz w:val="15"/>
              </w:rPr>
              <w:t>lead_events</w:t>
            </w:r>
          </w:p>
        </w:tc>
        <w:tc>
          <w:tcPr>
            <w:tcW w:type="dxa" w:w="6624"/>
            <w:vAlign w:val="center"/>
          </w:tcPr>
          <w:p>
            <w:r/>
            <w:r>
              <w:rPr>
                <w:rFonts w:ascii="Arial" w:hAnsi="Arial"/>
                <w:b w:val="0"/>
                <w:sz w:val="15"/>
              </w:rPr>
              <w:t>token_hash, crm_event_id, status, timestamp, dedupe_key</w:t>
            </w:r>
          </w:p>
        </w:tc>
      </w:tr>
      <w:tr>
        <w:tc>
          <w:tcPr>
            <w:tcW w:type="dxa" w:w="3024"/>
            <w:vAlign w:val="center"/>
          </w:tcPr>
          <w:p>
            <w:r/>
            <w:r>
              <w:rPr>
                <w:rFonts w:ascii="Arial" w:hAnsi="Arial"/>
                <w:b w:val="0"/>
                <w:sz w:val="15"/>
              </w:rPr>
              <w:t>invoices</w:t>
            </w:r>
          </w:p>
        </w:tc>
        <w:tc>
          <w:tcPr>
            <w:tcW w:type="dxa" w:w="6624"/>
            <w:vAlign w:val="center"/>
          </w:tcPr>
          <w:p>
            <w:r/>
            <w:r>
              <w:rPr>
                <w:rFonts w:ascii="Arial" w:hAnsi="Arial"/>
                <w:b w:val="0"/>
                <w:sz w:val="15"/>
              </w:rPr>
              <w:t>id, buyer_org_id, campaign_id, totals, status</w:t>
            </w:r>
          </w:p>
        </w:tc>
      </w:tr>
      <w:tr>
        <w:tc>
          <w:tcPr>
            <w:tcW w:type="dxa" w:w="3024"/>
            <w:vAlign w:val="center"/>
          </w:tcPr>
          <w:p>
            <w:r/>
            <w:r>
              <w:rPr>
                <w:rFonts w:ascii="Arial" w:hAnsi="Arial"/>
                <w:b w:val="0"/>
                <w:sz w:val="15"/>
              </w:rPr>
              <w:t>payouts</w:t>
            </w:r>
          </w:p>
        </w:tc>
        <w:tc>
          <w:tcPr>
            <w:tcW w:type="dxa" w:w="6624"/>
            <w:vAlign w:val="center"/>
          </w:tcPr>
          <w:p>
            <w:r/>
            <w:r>
              <w:rPr>
                <w:rFonts w:ascii="Arial" w:hAnsi="Arial"/>
                <w:b w:val="0"/>
                <w:sz w:val="15"/>
              </w:rPr>
              <w:t>id, partner_org_id, activation_id, amount, status</w:t>
            </w:r>
          </w:p>
        </w:tc>
      </w:tr>
      <w:tr>
        <w:tc>
          <w:tcPr>
            <w:tcW w:type="dxa" w:w="3024"/>
            <w:vAlign w:val="center"/>
          </w:tcPr>
          <w:p>
            <w:r/>
            <w:r>
              <w:rPr>
                <w:rFonts w:ascii="Arial" w:hAnsi="Arial"/>
                <w:b w:val="0"/>
                <w:sz w:val="15"/>
              </w:rPr>
              <w:t>audit_events</w:t>
            </w:r>
          </w:p>
        </w:tc>
        <w:tc>
          <w:tcPr>
            <w:tcW w:type="dxa" w:w="6624"/>
            <w:vAlign w:val="center"/>
          </w:tcPr>
          <w:p>
            <w:r/>
            <w:r>
              <w:rPr>
                <w:rFonts w:ascii="Arial" w:hAnsi="Arial"/>
                <w:b w:val="0"/>
                <w:sz w:val="15"/>
              </w:rPr>
              <w:t>id, actor, org_id, entity_type, entity_id, action, metadata, timestamp</w:t>
            </w:r>
          </w:p>
        </w:tc>
      </w:tr>
    </w:tbl>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Central DB exclusion</w:t>
            </w:r>
          </w:p>
          <w:p>
            <w:r>
              <w:rPr>
                <w:rFonts w:ascii="Arial" w:hAnsi="Arial"/>
                <w:sz w:val="18"/>
              </w:rPr>
              <w:t>Do not create customers, audience_members, partner_transactions, partner_purchase_history or cross_partner_identity tables in the central Oolix database for MVP.</w:t>
            </w:r>
          </w:p>
        </w:tc>
      </w:tr>
    </w:tbl>
    <w:p/>
    <w:p>
      <w:pPr>
        <w:pStyle w:val="Heading1"/>
      </w:pPr>
      <w:r>
        <w:t>55. Events, Queues and Background Jobs</w:t>
      </w:r>
    </w:p>
    <w:tbl>
      <w:tblPr>
        <w:tblStyle w:val="TableGrid"/>
        <w:tblW w:type="auto" w:w="0"/>
        <w:jc w:val="center"/>
        <w:tblLook w:firstColumn="1" w:firstRow="1" w:lastColumn="0" w:lastRow="0" w:noHBand="0" w:noVBand="1" w:val="04A0"/>
      </w:tblPr>
      <w:tblGrid>
        <w:gridCol w:w="3485"/>
        <w:gridCol w:w="3485"/>
        <w:gridCol w:w="3485"/>
      </w:tblGrid>
      <w:tr>
        <w:tc>
          <w:tcPr>
            <w:tcW w:type="dxa" w:w="3456"/>
            <w:vAlign w:val="center"/>
            <w:shd w:fill="1B4363"/>
          </w:tcPr>
          <w:p>
            <w:r/>
            <w:r>
              <w:rPr>
                <w:rFonts w:ascii="Arial" w:hAnsi="Arial"/>
                <w:b/>
                <w:color w:val="FFFFFF"/>
                <w:sz w:val="16"/>
              </w:rPr>
              <w:t>Event / Job</w:t>
            </w:r>
          </w:p>
        </w:tc>
        <w:tc>
          <w:tcPr>
            <w:tcW w:type="dxa" w:w="2304"/>
            <w:vAlign w:val="center"/>
            <w:shd w:fill="1B4363"/>
          </w:tcPr>
          <w:p>
            <w:r/>
            <w:r>
              <w:rPr>
                <w:rFonts w:ascii="Arial" w:hAnsi="Arial"/>
                <w:b/>
                <w:color w:val="FFFFFF"/>
                <w:sz w:val="16"/>
              </w:rPr>
              <w:t>Producer</w:t>
            </w:r>
          </w:p>
        </w:tc>
        <w:tc>
          <w:tcPr>
            <w:tcW w:type="dxa" w:w="4032"/>
            <w:vAlign w:val="center"/>
            <w:shd w:fill="1B4363"/>
          </w:tcPr>
          <w:p>
            <w:r/>
            <w:r>
              <w:rPr>
                <w:rFonts w:ascii="Arial" w:hAnsi="Arial"/>
                <w:b/>
                <w:color w:val="FFFFFF"/>
                <w:sz w:val="16"/>
              </w:rPr>
              <w:t>Consumer / Action</w:t>
            </w:r>
          </w:p>
        </w:tc>
      </w:tr>
      <w:tr>
        <w:tc>
          <w:tcPr>
            <w:tcW w:type="dxa" w:w="3456"/>
            <w:vAlign w:val="center"/>
          </w:tcPr>
          <w:p>
            <w:r/>
            <w:r>
              <w:rPr>
                <w:rFonts w:ascii="Arial" w:hAnsi="Arial"/>
                <w:b w:val="0"/>
                <w:sz w:val="15"/>
              </w:rPr>
              <w:t>PARTNER_REQUEST_SUBMITTED</w:t>
            </w:r>
          </w:p>
        </w:tc>
        <w:tc>
          <w:tcPr>
            <w:tcW w:type="dxa" w:w="2304"/>
            <w:vAlign w:val="center"/>
          </w:tcPr>
          <w:p>
            <w:r/>
            <w:r>
              <w:rPr>
                <w:rFonts w:ascii="Arial" w:hAnsi="Arial"/>
                <w:b w:val="0"/>
                <w:sz w:val="15"/>
              </w:rPr>
              <w:t>Campaign Service</w:t>
            </w:r>
          </w:p>
        </w:tc>
        <w:tc>
          <w:tcPr>
            <w:tcW w:type="dxa" w:w="4032"/>
            <w:vAlign w:val="center"/>
          </w:tcPr>
          <w:p>
            <w:r/>
            <w:r>
              <w:rPr>
                <w:rFonts w:ascii="Arial" w:hAnsi="Arial"/>
                <w:b w:val="0"/>
                <w:sz w:val="15"/>
              </w:rPr>
              <w:t>Notification + Partner Portal</w:t>
            </w:r>
          </w:p>
        </w:tc>
      </w:tr>
      <w:tr>
        <w:tc>
          <w:tcPr>
            <w:tcW w:type="dxa" w:w="3456"/>
            <w:vAlign w:val="center"/>
          </w:tcPr>
          <w:p>
            <w:r/>
            <w:r>
              <w:rPr>
                <w:rFonts w:ascii="Arial" w:hAnsi="Arial"/>
                <w:b w:val="0"/>
                <w:sz w:val="15"/>
              </w:rPr>
              <w:t>PARTNER_REQUEST_APPROVED</w:t>
            </w:r>
          </w:p>
        </w:tc>
        <w:tc>
          <w:tcPr>
            <w:tcW w:type="dxa" w:w="2304"/>
            <w:vAlign w:val="center"/>
          </w:tcPr>
          <w:p>
            <w:r/>
            <w:r>
              <w:rPr>
                <w:rFonts w:ascii="Arial" w:hAnsi="Arial"/>
                <w:b w:val="0"/>
                <w:sz w:val="15"/>
              </w:rPr>
              <w:t>Approval Service</w:t>
            </w:r>
          </w:p>
        </w:tc>
        <w:tc>
          <w:tcPr>
            <w:tcW w:type="dxa" w:w="4032"/>
            <w:vAlign w:val="center"/>
          </w:tcPr>
          <w:p>
            <w:r/>
            <w:r>
              <w:rPr>
                <w:rFonts w:ascii="Arial" w:hAnsi="Arial"/>
                <w:b w:val="0"/>
                <w:sz w:val="15"/>
              </w:rPr>
              <w:t>Activation Service</w:t>
            </w:r>
          </w:p>
        </w:tc>
      </w:tr>
      <w:tr>
        <w:tc>
          <w:tcPr>
            <w:tcW w:type="dxa" w:w="3456"/>
            <w:vAlign w:val="center"/>
          </w:tcPr>
          <w:p>
            <w:r/>
            <w:r>
              <w:rPr>
                <w:rFonts w:ascii="Arial" w:hAnsi="Arial"/>
                <w:b w:val="0"/>
                <w:sz w:val="15"/>
              </w:rPr>
              <w:t>MANIFEST_PUBLISHED</w:t>
            </w:r>
          </w:p>
        </w:tc>
        <w:tc>
          <w:tcPr>
            <w:tcW w:type="dxa" w:w="2304"/>
            <w:vAlign w:val="center"/>
          </w:tcPr>
          <w:p>
            <w:r/>
            <w:r>
              <w:rPr>
                <w:rFonts w:ascii="Arial" w:hAnsi="Arial"/>
                <w:b w:val="0"/>
                <w:sz w:val="15"/>
              </w:rPr>
              <w:t>Activation Service</w:t>
            </w:r>
          </w:p>
        </w:tc>
        <w:tc>
          <w:tcPr>
            <w:tcW w:type="dxa" w:w="4032"/>
            <w:vAlign w:val="center"/>
          </w:tcPr>
          <w:p>
            <w:r/>
            <w:r>
              <w:rPr>
                <w:rFonts w:ascii="Arial" w:hAnsi="Arial"/>
                <w:b w:val="0"/>
                <w:sz w:val="15"/>
              </w:rPr>
              <w:t>Partner Agent pull/sync</w:t>
            </w:r>
          </w:p>
        </w:tc>
      </w:tr>
      <w:tr>
        <w:tc>
          <w:tcPr>
            <w:tcW w:type="dxa" w:w="3456"/>
            <w:vAlign w:val="center"/>
          </w:tcPr>
          <w:p>
            <w:r/>
            <w:r>
              <w:rPr>
                <w:rFonts w:ascii="Arial" w:hAnsi="Arial"/>
                <w:b w:val="0"/>
                <w:sz w:val="15"/>
              </w:rPr>
              <w:t>DELIVERY_BATCH_ACCEPTED</w:t>
            </w:r>
          </w:p>
        </w:tc>
        <w:tc>
          <w:tcPr>
            <w:tcW w:type="dxa" w:w="2304"/>
            <w:vAlign w:val="center"/>
          </w:tcPr>
          <w:p>
            <w:r/>
            <w:r>
              <w:rPr>
                <w:rFonts w:ascii="Arial" w:hAnsi="Arial"/>
                <w:b w:val="0"/>
                <w:sz w:val="15"/>
              </w:rPr>
              <w:t>Reporting Ingest</w:t>
            </w:r>
          </w:p>
        </w:tc>
        <w:tc>
          <w:tcPr>
            <w:tcW w:type="dxa" w:w="4032"/>
            <w:vAlign w:val="center"/>
          </w:tcPr>
          <w:p>
            <w:r/>
            <w:r>
              <w:rPr>
                <w:rFonts w:ascii="Arial" w:hAnsi="Arial"/>
                <w:b w:val="0"/>
                <w:sz w:val="15"/>
              </w:rPr>
              <w:t>Aggregation Worker</w:t>
            </w:r>
          </w:p>
        </w:tc>
      </w:tr>
      <w:tr>
        <w:tc>
          <w:tcPr>
            <w:tcW w:type="dxa" w:w="3456"/>
            <w:vAlign w:val="center"/>
          </w:tcPr>
          <w:p>
            <w:r/>
            <w:r>
              <w:rPr>
                <w:rFonts w:ascii="Arial" w:hAnsi="Arial"/>
                <w:b w:val="0"/>
                <w:sz w:val="15"/>
              </w:rPr>
              <w:t>LEAD_QUALIFIED</w:t>
            </w:r>
          </w:p>
        </w:tc>
        <w:tc>
          <w:tcPr>
            <w:tcW w:type="dxa" w:w="2304"/>
            <w:vAlign w:val="center"/>
          </w:tcPr>
          <w:p>
            <w:r/>
            <w:r>
              <w:rPr>
                <w:rFonts w:ascii="Arial" w:hAnsi="Arial"/>
                <w:b w:val="0"/>
                <w:sz w:val="15"/>
              </w:rPr>
              <w:t>Lead Ingest</w:t>
            </w:r>
          </w:p>
        </w:tc>
        <w:tc>
          <w:tcPr>
            <w:tcW w:type="dxa" w:w="4032"/>
            <w:vAlign w:val="center"/>
          </w:tcPr>
          <w:p>
            <w:r/>
            <w:r>
              <w:rPr>
                <w:rFonts w:ascii="Arial" w:hAnsi="Arial"/>
                <w:b w:val="0"/>
                <w:sz w:val="15"/>
              </w:rPr>
              <w:t>Analytics + Billing</w:t>
            </w:r>
          </w:p>
        </w:tc>
      </w:tr>
      <w:tr>
        <w:tc>
          <w:tcPr>
            <w:tcW w:type="dxa" w:w="3456"/>
            <w:vAlign w:val="center"/>
          </w:tcPr>
          <w:p>
            <w:r/>
            <w:r>
              <w:rPr>
                <w:rFonts w:ascii="Arial" w:hAnsi="Arial"/>
                <w:b w:val="0"/>
                <w:sz w:val="15"/>
              </w:rPr>
              <w:t>ACTIVATION_END_REQUESTED</w:t>
            </w:r>
          </w:p>
        </w:tc>
        <w:tc>
          <w:tcPr>
            <w:tcW w:type="dxa" w:w="2304"/>
            <w:vAlign w:val="center"/>
          </w:tcPr>
          <w:p>
            <w:r/>
            <w:r>
              <w:rPr>
                <w:rFonts w:ascii="Arial" w:hAnsi="Arial"/>
                <w:b w:val="0"/>
                <w:sz w:val="15"/>
              </w:rPr>
              <w:t>Campaign/Partner</w:t>
            </w:r>
          </w:p>
        </w:tc>
        <w:tc>
          <w:tcPr>
            <w:tcW w:type="dxa" w:w="4032"/>
            <w:vAlign w:val="center"/>
          </w:tcPr>
          <w:p>
            <w:r/>
            <w:r>
              <w:rPr>
                <w:rFonts w:ascii="Arial" w:hAnsi="Arial"/>
                <w:b w:val="0"/>
                <w:sz w:val="15"/>
              </w:rPr>
              <w:t>Agent + external channel cleanup</w:t>
            </w:r>
          </w:p>
        </w:tc>
      </w:tr>
      <w:tr>
        <w:tc>
          <w:tcPr>
            <w:tcW w:type="dxa" w:w="3456"/>
            <w:vAlign w:val="center"/>
          </w:tcPr>
          <w:p>
            <w:r/>
            <w:r>
              <w:rPr>
                <w:rFonts w:ascii="Arial" w:hAnsi="Arial"/>
                <w:b w:val="0"/>
                <w:sz w:val="15"/>
              </w:rPr>
              <w:t>CHANNEL_AUDIENCE_SYNC_REQUESTED</w:t>
            </w:r>
          </w:p>
        </w:tc>
        <w:tc>
          <w:tcPr>
            <w:tcW w:type="dxa" w:w="2304"/>
            <w:vAlign w:val="center"/>
          </w:tcPr>
          <w:p>
            <w:r/>
            <w:r>
              <w:rPr>
                <w:rFonts w:ascii="Arial" w:hAnsi="Arial"/>
                <w:b w:val="0"/>
                <w:sz w:val="15"/>
              </w:rPr>
              <w:t>Activation Service</w:t>
            </w:r>
          </w:p>
        </w:tc>
        <w:tc>
          <w:tcPr>
            <w:tcW w:type="dxa" w:w="4032"/>
            <w:vAlign w:val="center"/>
          </w:tcPr>
          <w:p>
            <w:r/>
            <w:r>
              <w:rPr>
                <w:rFonts w:ascii="Arial" w:hAnsi="Arial"/>
                <w:b w:val="0"/>
                <w:sz w:val="15"/>
              </w:rPr>
              <w:t>Partner Agent adapter</w:t>
            </w:r>
          </w:p>
        </w:tc>
      </w:tr>
      <w:tr>
        <w:tc>
          <w:tcPr>
            <w:tcW w:type="dxa" w:w="3456"/>
            <w:vAlign w:val="center"/>
          </w:tcPr>
          <w:p>
            <w:r/>
            <w:r>
              <w:rPr>
                <w:rFonts w:ascii="Arial" w:hAnsi="Arial"/>
                <w:b w:val="0"/>
                <w:sz w:val="15"/>
              </w:rPr>
              <w:t>CHANNEL_AUDIENCE_SYNCED</w:t>
            </w:r>
          </w:p>
        </w:tc>
        <w:tc>
          <w:tcPr>
            <w:tcW w:type="dxa" w:w="2304"/>
            <w:vAlign w:val="center"/>
          </w:tcPr>
          <w:p>
            <w:r/>
            <w:r>
              <w:rPr>
                <w:rFonts w:ascii="Arial" w:hAnsi="Arial"/>
                <w:b w:val="0"/>
                <w:sz w:val="15"/>
              </w:rPr>
              <w:t>Partner Agent</w:t>
            </w:r>
          </w:p>
        </w:tc>
        <w:tc>
          <w:tcPr>
            <w:tcW w:type="dxa" w:w="4032"/>
            <w:vAlign w:val="center"/>
          </w:tcPr>
          <w:p>
            <w:r/>
            <w:r>
              <w:rPr>
                <w:rFonts w:ascii="Arial" w:hAnsi="Arial"/>
                <w:b w:val="0"/>
                <w:sz w:val="15"/>
              </w:rPr>
              <w:t>Activation status update</w:t>
            </w:r>
          </w:p>
        </w:tc>
      </w:tr>
      <w:tr>
        <w:tc>
          <w:tcPr>
            <w:tcW w:type="dxa" w:w="3456"/>
            <w:vAlign w:val="center"/>
          </w:tcPr>
          <w:p>
            <w:r/>
            <w:r>
              <w:rPr>
                <w:rFonts w:ascii="Arial" w:hAnsi="Arial"/>
                <w:b w:val="0"/>
                <w:sz w:val="15"/>
              </w:rPr>
              <w:t>PAYOUT_CALCULATION_DUE</w:t>
            </w:r>
          </w:p>
        </w:tc>
        <w:tc>
          <w:tcPr>
            <w:tcW w:type="dxa" w:w="2304"/>
            <w:vAlign w:val="center"/>
          </w:tcPr>
          <w:p>
            <w:r/>
            <w:r>
              <w:rPr>
                <w:rFonts w:ascii="Arial" w:hAnsi="Arial"/>
                <w:b w:val="0"/>
                <w:sz w:val="15"/>
              </w:rPr>
              <w:t>Billing Scheduler</w:t>
            </w:r>
          </w:p>
        </w:tc>
        <w:tc>
          <w:tcPr>
            <w:tcW w:type="dxa" w:w="4032"/>
            <w:vAlign w:val="center"/>
          </w:tcPr>
          <w:p>
            <w:r/>
            <w:r>
              <w:rPr>
                <w:rFonts w:ascii="Arial" w:hAnsi="Arial"/>
                <w:b w:val="0"/>
                <w:sz w:val="15"/>
              </w:rPr>
              <w:t>Payout Engine</w:t>
            </w:r>
          </w:p>
        </w:tc>
      </w:tr>
      <w:tr>
        <w:tc>
          <w:tcPr>
            <w:tcW w:type="dxa" w:w="3456"/>
            <w:vAlign w:val="center"/>
          </w:tcPr>
          <w:p>
            <w:r/>
            <w:r>
              <w:rPr>
                <w:rFonts w:ascii="Arial" w:hAnsi="Arial"/>
                <w:b w:val="0"/>
                <w:sz w:val="15"/>
              </w:rPr>
              <w:t>CONNECTION_EXPIRY_CHECK</w:t>
            </w:r>
          </w:p>
        </w:tc>
        <w:tc>
          <w:tcPr>
            <w:tcW w:type="dxa" w:w="2304"/>
            <w:vAlign w:val="center"/>
          </w:tcPr>
          <w:p>
            <w:r/>
            <w:r>
              <w:rPr>
                <w:rFonts w:ascii="Arial" w:hAnsi="Arial"/>
                <w:b w:val="0"/>
                <w:sz w:val="15"/>
              </w:rPr>
              <w:t>Scheduler</w:t>
            </w:r>
          </w:p>
        </w:tc>
        <w:tc>
          <w:tcPr>
            <w:tcW w:type="dxa" w:w="4032"/>
            <w:vAlign w:val="center"/>
          </w:tcPr>
          <w:p>
            <w:r/>
            <w:r>
              <w:rPr>
                <w:rFonts w:ascii="Arial" w:hAnsi="Arial"/>
                <w:b w:val="0"/>
                <w:sz w:val="15"/>
              </w:rPr>
              <w:t>Notification + channel status</w:t>
            </w:r>
          </w:p>
        </w:tc>
      </w:tr>
    </w:tbl>
    <w:p/>
    <w:p>
      <w:pPr>
        <w:pStyle w:val="ListBullet"/>
        <w:spacing w:after="30"/>
      </w:pPr>
      <w:r>
        <w:t>Use at-least-once delivery plus idempotent consumers.</w:t>
      </w:r>
    </w:p>
    <w:p>
      <w:pPr>
        <w:pStyle w:val="ListBullet"/>
        <w:spacing w:after="30"/>
      </w:pPr>
      <w:r>
        <w:t>Do not assume queue ordering across unrelated campaigns.</w:t>
      </w:r>
    </w:p>
    <w:p>
      <w:pPr>
        <w:pStyle w:val="ListBullet"/>
        <w:spacing w:after="30"/>
      </w:pPr>
      <w:r>
        <w:t>Use entity version to reject stale updates.</w:t>
      </w:r>
    </w:p>
    <w:p>
      <w:pPr>
        <w:pStyle w:val="ListBullet"/>
        <w:spacing w:after="30"/>
      </w:pPr>
      <w:r>
        <w:t>Background cleanup must be retryable and auditable.</w:t>
      </w:r>
    </w:p>
    <w:p>
      <w:pPr>
        <w:pStyle w:val="Heading1"/>
      </w:pPr>
      <w:r>
        <w:t>56. Security and Privacy Requirements</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Control</w:t>
            </w:r>
          </w:p>
        </w:tc>
        <w:tc>
          <w:tcPr>
            <w:tcW w:type="dxa" w:w="7056"/>
            <w:vAlign w:val="center"/>
            <w:shd w:fill="1B4363"/>
          </w:tcPr>
          <w:p>
            <w:r/>
            <w:r>
              <w:rPr>
                <w:rFonts w:ascii="Arial" w:hAnsi="Arial"/>
                <w:b/>
                <w:color w:val="FFFFFF"/>
                <w:sz w:val="16"/>
              </w:rPr>
              <w:t>MVP requirement</w:t>
            </w:r>
          </w:p>
        </w:tc>
      </w:tr>
      <w:tr>
        <w:tc>
          <w:tcPr>
            <w:tcW w:type="dxa" w:w="2592"/>
            <w:vAlign w:val="center"/>
          </w:tcPr>
          <w:p>
            <w:r/>
            <w:r>
              <w:rPr>
                <w:rFonts w:ascii="Arial" w:hAnsi="Arial"/>
                <w:b w:val="0"/>
                <w:sz w:val="15"/>
              </w:rPr>
              <w:t>Authentication</w:t>
            </w:r>
          </w:p>
        </w:tc>
        <w:tc>
          <w:tcPr>
            <w:tcW w:type="dxa" w:w="7056"/>
            <w:vAlign w:val="center"/>
          </w:tcPr>
          <w:p>
            <w:r/>
            <w:r>
              <w:rPr>
                <w:rFonts w:ascii="Arial" w:hAnsi="Arial"/>
                <w:b w:val="0"/>
                <w:sz w:val="15"/>
              </w:rPr>
              <w:t>Managed OIDC; MFA for privileged roles.</w:t>
            </w:r>
          </w:p>
        </w:tc>
      </w:tr>
      <w:tr>
        <w:tc>
          <w:tcPr>
            <w:tcW w:type="dxa" w:w="2592"/>
            <w:vAlign w:val="center"/>
          </w:tcPr>
          <w:p>
            <w:r/>
            <w:r>
              <w:rPr>
                <w:rFonts w:ascii="Arial" w:hAnsi="Arial"/>
                <w:b w:val="0"/>
                <w:sz w:val="15"/>
              </w:rPr>
              <w:t>Authorization</w:t>
            </w:r>
          </w:p>
        </w:tc>
        <w:tc>
          <w:tcPr>
            <w:tcW w:type="dxa" w:w="7056"/>
            <w:vAlign w:val="center"/>
          </w:tcPr>
          <w:p>
            <w:r/>
            <w:r>
              <w:rPr>
                <w:rFonts w:ascii="Arial" w:hAnsi="Arial"/>
                <w:b w:val="0"/>
                <w:sz w:val="15"/>
              </w:rPr>
              <w:t>Server-side RBAC + org/network scoping.</w:t>
            </w:r>
          </w:p>
        </w:tc>
      </w:tr>
      <w:tr>
        <w:tc>
          <w:tcPr>
            <w:tcW w:type="dxa" w:w="2592"/>
            <w:vAlign w:val="center"/>
          </w:tcPr>
          <w:p>
            <w:r/>
            <w:r>
              <w:rPr>
                <w:rFonts w:ascii="Arial" w:hAnsi="Arial"/>
                <w:b w:val="0"/>
                <w:sz w:val="15"/>
              </w:rPr>
              <w:t>Agent identity</w:t>
            </w:r>
          </w:p>
        </w:tc>
        <w:tc>
          <w:tcPr>
            <w:tcW w:type="dxa" w:w="7056"/>
            <w:vAlign w:val="center"/>
          </w:tcPr>
          <w:p>
            <w:r/>
            <w:r>
              <w:rPr>
                <w:rFonts w:ascii="Arial" w:hAnsi="Arial"/>
                <w:b w:val="0"/>
                <w:sz w:val="15"/>
              </w:rPr>
              <w:t>One workload identity per Partner Agent deployment.</w:t>
            </w:r>
          </w:p>
        </w:tc>
      </w:tr>
      <w:tr>
        <w:tc>
          <w:tcPr>
            <w:tcW w:type="dxa" w:w="2592"/>
            <w:vAlign w:val="center"/>
          </w:tcPr>
          <w:p>
            <w:r/>
            <w:r>
              <w:rPr>
                <w:rFonts w:ascii="Arial" w:hAnsi="Arial"/>
                <w:b w:val="0"/>
                <w:sz w:val="15"/>
              </w:rPr>
              <w:t>Transport</w:t>
            </w:r>
          </w:p>
        </w:tc>
        <w:tc>
          <w:tcPr>
            <w:tcW w:type="dxa" w:w="7056"/>
            <w:vAlign w:val="center"/>
          </w:tcPr>
          <w:p>
            <w:r/>
            <w:r>
              <w:rPr>
                <w:rFonts w:ascii="Arial" w:hAnsi="Arial"/>
                <w:b w:val="0"/>
                <w:sz w:val="15"/>
              </w:rPr>
              <w:t>TLS; mTLS/workload signatures for Agent recommended.</w:t>
            </w:r>
          </w:p>
        </w:tc>
      </w:tr>
      <w:tr>
        <w:tc>
          <w:tcPr>
            <w:tcW w:type="dxa" w:w="2592"/>
            <w:vAlign w:val="center"/>
          </w:tcPr>
          <w:p>
            <w:r/>
            <w:r>
              <w:rPr>
                <w:rFonts w:ascii="Arial" w:hAnsi="Arial"/>
                <w:b w:val="0"/>
                <w:sz w:val="15"/>
              </w:rPr>
              <w:t>Secrets</w:t>
            </w:r>
          </w:p>
        </w:tc>
        <w:tc>
          <w:tcPr>
            <w:tcW w:type="dxa" w:w="7056"/>
            <w:vAlign w:val="center"/>
          </w:tcPr>
          <w:p>
            <w:r/>
            <w:r>
              <w:rPr>
                <w:rFonts w:ascii="Arial" w:hAnsi="Arial"/>
                <w:b w:val="0"/>
                <w:sz w:val="15"/>
              </w:rPr>
              <w:t>Cloud/partner secret manager; never source control.</w:t>
            </w:r>
          </w:p>
        </w:tc>
      </w:tr>
      <w:tr>
        <w:tc>
          <w:tcPr>
            <w:tcW w:type="dxa" w:w="2592"/>
            <w:vAlign w:val="center"/>
          </w:tcPr>
          <w:p>
            <w:r/>
            <w:r>
              <w:rPr>
                <w:rFonts w:ascii="Arial" w:hAnsi="Arial"/>
                <w:b w:val="0"/>
                <w:sz w:val="15"/>
              </w:rPr>
              <w:t>Manifest integrity</w:t>
            </w:r>
          </w:p>
        </w:tc>
        <w:tc>
          <w:tcPr>
            <w:tcW w:type="dxa" w:w="7056"/>
            <w:vAlign w:val="center"/>
          </w:tcPr>
          <w:p>
            <w:r/>
            <w:r>
              <w:rPr>
                <w:rFonts w:ascii="Arial" w:hAnsi="Arial"/>
                <w:b w:val="0"/>
                <w:sz w:val="15"/>
              </w:rPr>
              <w:t>Signed, versioned, partner-bound manifest.</w:t>
            </w:r>
          </w:p>
        </w:tc>
      </w:tr>
      <w:tr>
        <w:tc>
          <w:tcPr>
            <w:tcW w:type="dxa" w:w="2592"/>
            <w:vAlign w:val="center"/>
          </w:tcPr>
          <w:p>
            <w:r/>
            <w:r>
              <w:rPr>
                <w:rFonts w:ascii="Arial" w:hAnsi="Arial"/>
                <w:b w:val="0"/>
                <w:sz w:val="15"/>
              </w:rPr>
              <w:t>Data minimization</w:t>
            </w:r>
          </w:p>
        </w:tc>
        <w:tc>
          <w:tcPr>
            <w:tcW w:type="dxa" w:w="7056"/>
            <w:vAlign w:val="center"/>
          </w:tcPr>
          <w:p>
            <w:r/>
            <w:r>
              <w:rPr>
                <w:rFonts w:ascii="Arial" w:hAnsi="Arial"/>
                <w:b w:val="0"/>
                <w:sz w:val="15"/>
              </w:rPr>
              <w:t>Central metadata/aggregates only.</w:t>
            </w:r>
          </w:p>
        </w:tc>
      </w:tr>
      <w:tr>
        <w:tc>
          <w:tcPr>
            <w:tcW w:type="dxa" w:w="2592"/>
            <w:vAlign w:val="center"/>
          </w:tcPr>
          <w:p>
            <w:r/>
            <w:r>
              <w:rPr>
                <w:rFonts w:ascii="Arial" w:hAnsi="Arial"/>
                <w:b w:val="0"/>
                <w:sz w:val="15"/>
              </w:rPr>
              <w:t>Consent enforcement</w:t>
            </w:r>
          </w:p>
        </w:tc>
        <w:tc>
          <w:tcPr>
            <w:tcW w:type="dxa" w:w="7056"/>
            <w:vAlign w:val="center"/>
          </w:tcPr>
          <w:p>
            <w:r/>
            <w:r>
              <w:rPr>
                <w:rFonts w:ascii="Arial" w:hAnsi="Arial"/>
                <w:b w:val="0"/>
                <w:sz w:val="15"/>
              </w:rPr>
              <w:t>Partner-local for owned media; required signal/workflow for external activation.</w:t>
            </w:r>
          </w:p>
        </w:tc>
      </w:tr>
      <w:tr>
        <w:tc>
          <w:tcPr>
            <w:tcW w:type="dxa" w:w="2592"/>
            <w:vAlign w:val="center"/>
          </w:tcPr>
          <w:p>
            <w:r/>
            <w:r>
              <w:rPr>
                <w:rFonts w:ascii="Arial" w:hAnsi="Arial"/>
                <w:b w:val="0"/>
                <w:sz w:val="15"/>
              </w:rPr>
              <w:t>Logging</w:t>
            </w:r>
          </w:p>
        </w:tc>
        <w:tc>
          <w:tcPr>
            <w:tcW w:type="dxa" w:w="7056"/>
            <w:vAlign w:val="center"/>
          </w:tcPr>
          <w:p>
            <w:r/>
            <w:r>
              <w:rPr>
                <w:rFonts w:ascii="Arial" w:hAnsi="Arial"/>
                <w:b w:val="0"/>
                <w:sz w:val="15"/>
              </w:rPr>
              <w:t>No Partner customer PII in Oolix logs or metrics.</w:t>
            </w:r>
          </w:p>
        </w:tc>
      </w:tr>
      <w:tr>
        <w:tc>
          <w:tcPr>
            <w:tcW w:type="dxa" w:w="2592"/>
            <w:vAlign w:val="center"/>
          </w:tcPr>
          <w:p>
            <w:r/>
            <w:r>
              <w:rPr>
                <w:rFonts w:ascii="Arial" w:hAnsi="Arial"/>
                <w:b w:val="0"/>
                <w:sz w:val="15"/>
              </w:rPr>
              <w:t>Kill switch</w:t>
            </w:r>
          </w:p>
        </w:tc>
        <w:tc>
          <w:tcPr>
            <w:tcW w:type="dxa" w:w="7056"/>
            <w:vAlign w:val="center"/>
          </w:tcPr>
          <w:p>
            <w:r/>
            <w:r>
              <w:rPr>
                <w:rFonts w:ascii="Arial" w:hAnsi="Arial"/>
                <w:b w:val="0"/>
                <w:sz w:val="15"/>
              </w:rPr>
              <w:t>Partner can disable placement, activation, external channel or entire Agent.</w:t>
            </w:r>
          </w:p>
        </w:tc>
      </w:tr>
      <w:tr>
        <w:tc>
          <w:tcPr>
            <w:tcW w:type="dxa" w:w="2592"/>
            <w:vAlign w:val="center"/>
          </w:tcPr>
          <w:p>
            <w:r/>
            <w:r>
              <w:rPr>
                <w:rFonts w:ascii="Arial" w:hAnsi="Arial"/>
                <w:b w:val="0"/>
                <w:sz w:val="15"/>
              </w:rPr>
              <w:t>Audit</w:t>
            </w:r>
          </w:p>
        </w:tc>
        <w:tc>
          <w:tcPr>
            <w:tcW w:type="dxa" w:w="7056"/>
            <w:vAlign w:val="center"/>
          </w:tcPr>
          <w:p>
            <w:r/>
            <w:r>
              <w:rPr>
                <w:rFonts w:ascii="Arial" w:hAnsi="Arial"/>
                <w:b w:val="0"/>
                <w:sz w:val="15"/>
              </w:rPr>
              <w:t>Immutable business/security action timeline.</w:t>
            </w:r>
          </w:p>
        </w:tc>
      </w:tr>
      <w:tr>
        <w:tc>
          <w:tcPr>
            <w:tcW w:type="dxa" w:w="2592"/>
            <w:vAlign w:val="center"/>
          </w:tcPr>
          <w:p>
            <w:r/>
            <w:r>
              <w:rPr>
                <w:rFonts w:ascii="Arial" w:hAnsi="Arial"/>
                <w:b w:val="0"/>
                <w:sz w:val="15"/>
              </w:rPr>
              <w:t>Retention</w:t>
            </w:r>
          </w:p>
        </w:tc>
        <w:tc>
          <w:tcPr>
            <w:tcW w:type="dxa" w:w="7056"/>
            <w:vAlign w:val="center"/>
          </w:tcPr>
          <w:p>
            <w:r/>
            <w:r>
              <w:rPr>
                <w:rFonts w:ascii="Arial" w:hAnsi="Arial"/>
                <w:b w:val="0"/>
                <w:sz w:val="15"/>
              </w:rPr>
              <w:t>Configurable retention for logs, attribution tokens, campaign records and external resources.</w:t>
            </w:r>
          </w:p>
        </w:tc>
      </w:tr>
      <w:tr>
        <w:tc>
          <w:tcPr>
            <w:tcW w:type="dxa" w:w="2592"/>
            <w:vAlign w:val="center"/>
          </w:tcPr>
          <w:p>
            <w:r/>
            <w:r>
              <w:rPr>
                <w:rFonts w:ascii="Arial" w:hAnsi="Arial"/>
                <w:b w:val="0"/>
                <w:sz w:val="15"/>
              </w:rPr>
              <w:t>Deletion/revocation</w:t>
            </w:r>
          </w:p>
        </w:tc>
        <w:tc>
          <w:tcPr>
            <w:tcW w:type="dxa" w:w="7056"/>
            <w:vAlign w:val="center"/>
          </w:tcPr>
          <w:p>
            <w:r/>
            <w:r>
              <w:rPr>
                <w:rFonts w:ascii="Arial" w:hAnsi="Arial"/>
                <w:b w:val="0"/>
                <w:sz w:val="15"/>
              </w:rPr>
              <w:t>Stop use and cleanup external resources; do not claim physical deletion beyond provider guarantees.</w:t>
            </w:r>
          </w:p>
        </w:tc>
      </w:tr>
    </w:tbl>
    <w:p/>
    <w:p>
      <w:pPr>
        <w:pStyle w:val="Heading1"/>
      </w:pPr>
      <w:r>
        <w:t>57. Failure Handling and Recovery</w:t>
      </w:r>
    </w:p>
    <w:tbl>
      <w:tblPr>
        <w:tblStyle w:val="TableGrid"/>
        <w:tblW w:type="auto" w:w="0"/>
        <w:jc w:val="center"/>
        <w:tblLook w:firstColumn="1" w:firstRow="1" w:lastColumn="0" w:lastRow="0" w:noHBand="0" w:noVBand="1" w:val="04A0"/>
      </w:tblPr>
      <w:tblGrid>
        <w:gridCol w:w="3485"/>
        <w:gridCol w:w="3485"/>
        <w:gridCol w:w="3485"/>
      </w:tblGrid>
      <w:tr>
        <w:tc>
          <w:tcPr>
            <w:tcW w:type="dxa" w:w="2880"/>
            <w:vAlign w:val="center"/>
            <w:shd w:fill="1B4363"/>
          </w:tcPr>
          <w:p>
            <w:r/>
            <w:r>
              <w:rPr>
                <w:rFonts w:ascii="Arial" w:hAnsi="Arial"/>
                <w:b/>
                <w:color w:val="FFFFFF"/>
                <w:sz w:val="16"/>
              </w:rPr>
              <w:t>Failure</w:t>
            </w:r>
          </w:p>
        </w:tc>
        <w:tc>
          <w:tcPr>
            <w:tcW w:type="dxa" w:w="4608"/>
            <w:vAlign w:val="center"/>
            <w:shd w:fill="1B4363"/>
          </w:tcPr>
          <w:p>
            <w:r/>
            <w:r>
              <w:rPr>
                <w:rFonts w:ascii="Arial" w:hAnsi="Arial"/>
                <w:b/>
                <w:color w:val="FFFFFF"/>
                <w:sz w:val="16"/>
              </w:rPr>
              <w:t>Expected behavior</w:t>
            </w:r>
          </w:p>
        </w:tc>
        <w:tc>
          <w:tcPr>
            <w:tcW w:type="dxa" w:w="2304"/>
            <w:vAlign w:val="center"/>
            <w:shd w:fill="1B4363"/>
          </w:tcPr>
          <w:p>
            <w:r/>
            <w:r>
              <w:rPr>
                <w:rFonts w:ascii="Arial" w:hAnsi="Arial"/>
                <w:b/>
                <w:color w:val="FFFFFF"/>
                <w:sz w:val="16"/>
              </w:rPr>
              <w:t>User-facing state</w:t>
            </w:r>
          </w:p>
        </w:tc>
      </w:tr>
      <w:tr>
        <w:tc>
          <w:tcPr>
            <w:tcW w:type="dxa" w:w="2880"/>
            <w:vAlign w:val="center"/>
          </w:tcPr>
          <w:p>
            <w:r/>
            <w:r>
              <w:rPr>
                <w:rFonts w:ascii="Arial" w:hAnsi="Arial"/>
                <w:b w:val="0"/>
                <w:sz w:val="15"/>
              </w:rPr>
              <w:t>Partner Agent offline</w:t>
            </w:r>
          </w:p>
        </w:tc>
        <w:tc>
          <w:tcPr>
            <w:tcW w:type="dxa" w:w="4608"/>
            <w:vAlign w:val="center"/>
          </w:tcPr>
          <w:p>
            <w:r/>
            <w:r>
              <w:rPr>
                <w:rFonts w:ascii="Arial" w:hAnsi="Arial"/>
                <w:b w:val="0"/>
                <w:sz w:val="15"/>
              </w:rPr>
              <w:t>Partner-owned slot returns NO_AD; no new external sync</w:t>
            </w:r>
          </w:p>
        </w:tc>
        <w:tc>
          <w:tcPr>
            <w:tcW w:type="dxa" w:w="2304"/>
            <w:vAlign w:val="center"/>
          </w:tcPr>
          <w:p>
            <w:r/>
            <w:r>
              <w:rPr>
                <w:rFonts w:ascii="Arial" w:hAnsi="Arial"/>
                <w:b w:val="0"/>
                <w:sz w:val="15"/>
              </w:rPr>
              <w:t>AGENT_OFFLINE; core Partner app unaffected</w:t>
            </w:r>
          </w:p>
        </w:tc>
      </w:tr>
      <w:tr>
        <w:tc>
          <w:tcPr>
            <w:tcW w:type="dxa" w:w="2880"/>
            <w:vAlign w:val="center"/>
          </w:tcPr>
          <w:p>
            <w:r/>
            <w:r>
              <w:rPr>
                <w:rFonts w:ascii="Arial" w:hAnsi="Arial"/>
                <w:b w:val="0"/>
                <w:sz w:val="15"/>
              </w:rPr>
              <w:t>Oolix control plane offline</w:t>
            </w:r>
          </w:p>
        </w:tc>
        <w:tc>
          <w:tcPr>
            <w:tcW w:type="dxa" w:w="4608"/>
            <w:vAlign w:val="center"/>
          </w:tcPr>
          <w:p>
            <w:r/>
            <w:r>
              <w:rPr>
                <w:rFonts w:ascii="Arial" w:hAnsi="Arial"/>
                <w:b w:val="0"/>
                <w:sz w:val="15"/>
              </w:rPr>
              <w:t>Agent may use short-lived last-approved cache; no new changes</w:t>
            </w:r>
          </w:p>
        </w:tc>
        <w:tc>
          <w:tcPr>
            <w:tcW w:type="dxa" w:w="2304"/>
            <w:vAlign w:val="center"/>
          </w:tcPr>
          <w:p>
            <w:r/>
            <w:r>
              <w:rPr>
                <w:rFonts w:ascii="Arial" w:hAnsi="Arial"/>
                <w:b w:val="0"/>
                <w:sz w:val="15"/>
              </w:rPr>
              <w:t>CONTROL_SYNC_STALE</w:t>
            </w:r>
          </w:p>
        </w:tc>
      </w:tr>
      <w:tr>
        <w:tc>
          <w:tcPr>
            <w:tcW w:type="dxa" w:w="2880"/>
            <w:vAlign w:val="center"/>
          </w:tcPr>
          <w:p>
            <w:r/>
            <w:r>
              <w:rPr>
                <w:rFonts w:ascii="Arial" w:hAnsi="Arial"/>
                <w:b w:val="0"/>
                <w:sz w:val="15"/>
              </w:rPr>
              <w:t>Segment source unavailable</w:t>
            </w:r>
          </w:p>
        </w:tc>
        <w:tc>
          <w:tcPr>
            <w:tcW w:type="dxa" w:w="4608"/>
            <w:vAlign w:val="center"/>
          </w:tcPr>
          <w:p>
            <w:r/>
            <w:r>
              <w:rPr>
                <w:rFonts w:ascii="Arial" w:hAnsi="Arial"/>
                <w:b w:val="0"/>
                <w:sz w:val="15"/>
              </w:rPr>
              <w:t>Fail closed for targeted campaign</w:t>
            </w:r>
          </w:p>
        </w:tc>
        <w:tc>
          <w:tcPr>
            <w:tcW w:type="dxa" w:w="2304"/>
            <w:vAlign w:val="center"/>
          </w:tcPr>
          <w:p>
            <w:r/>
            <w:r>
              <w:rPr>
                <w:rFonts w:ascii="Arial" w:hAnsi="Arial"/>
                <w:b w:val="0"/>
                <w:sz w:val="15"/>
              </w:rPr>
              <w:t>NO_AD / SEGMENT_SOURCE_ERROR</w:t>
            </w:r>
          </w:p>
        </w:tc>
      </w:tr>
      <w:tr>
        <w:tc>
          <w:tcPr>
            <w:tcW w:type="dxa" w:w="2880"/>
            <w:vAlign w:val="center"/>
          </w:tcPr>
          <w:p>
            <w:r/>
            <w:r>
              <w:rPr>
                <w:rFonts w:ascii="Arial" w:hAnsi="Arial"/>
                <w:b w:val="0"/>
                <w:sz w:val="15"/>
              </w:rPr>
              <w:t>Creative unavailable</w:t>
            </w:r>
          </w:p>
        </w:tc>
        <w:tc>
          <w:tcPr>
            <w:tcW w:type="dxa" w:w="4608"/>
            <w:vAlign w:val="center"/>
          </w:tcPr>
          <w:p>
            <w:r/>
            <w:r>
              <w:rPr>
                <w:rFonts w:ascii="Arial" w:hAnsi="Arial"/>
                <w:b w:val="0"/>
                <w:sz w:val="15"/>
              </w:rPr>
              <w:t>Use verified cache or NO_AD</w:t>
            </w:r>
          </w:p>
        </w:tc>
        <w:tc>
          <w:tcPr>
            <w:tcW w:type="dxa" w:w="2304"/>
            <w:vAlign w:val="center"/>
          </w:tcPr>
          <w:p>
            <w:r/>
            <w:r>
              <w:rPr>
                <w:rFonts w:ascii="Arial" w:hAnsi="Arial"/>
                <w:b w:val="0"/>
                <w:sz w:val="15"/>
              </w:rPr>
              <w:t>CREATIVE_UNAVAILABLE</w:t>
            </w:r>
          </w:p>
        </w:tc>
      </w:tr>
      <w:tr>
        <w:tc>
          <w:tcPr>
            <w:tcW w:type="dxa" w:w="2880"/>
            <w:vAlign w:val="center"/>
          </w:tcPr>
          <w:p>
            <w:r/>
            <w:r>
              <w:rPr>
                <w:rFonts w:ascii="Arial" w:hAnsi="Arial"/>
                <w:b w:val="0"/>
                <w:sz w:val="15"/>
              </w:rPr>
              <w:t>Duplicate report batch</w:t>
            </w:r>
          </w:p>
        </w:tc>
        <w:tc>
          <w:tcPr>
            <w:tcW w:type="dxa" w:w="4608"/>
            <w:vAlign w:val="center"/>
          </w:tcPr>
          <w:p>
            <w:r/>
            <w:r>
              <w:rPr>
                <w:rFonts w:ascii="Arial" w:hAnsi="Arial"/>
                <w:b w:val="0"/>
                <w:sz w:val="15"/>
              </w:rPr>
              <w:t>Deduplicate by partner_id + batch_id</w:t>
            </w:r>
          </w:p>
        </w:tc>
        <w:tc>
          <w:tcPr>
            <w:tcW w:type="dxa" w:w="2304"/>
            <w:vAlign w:val="center"/>
          </w:tcPr>
          <w:p>
            <w:r/>
            <w:r>
              <w:rPr>
                <w:rFonts w:ascii="Arial" w:hAnsi="Arial"/>
                <w:b w:val="0"/>
                <w:sz w:val="15"/>
              </w:rPr>
              <w:t>No duplicate metric</w:t>
            </w:r>
          </w:p>
        </w:tc>
      </w:tr>
      <w:tr>
        <w:tc>
          <w:tcPr>
            <w:tcW w:type="dxa" w:w="2880"/>
            <w:vAlign w:val="center"/>
          </w:tcPr>
          <w:p>
            <w:r/>
            <w:r>
              <w:rPr>
                <w:rFonts w:ascii="Arial" w:hAnsi="Arial"/>
                <w:b w:val="0"/>
                <w:sz w:val="15"/>
              </w:rPr>
              <w:t>Meta/Google transient error</w:t>
            </w:r>
          </w:p>
        </w:tc>
        <w:tc>
          <w:tcPr>
            <w:tcW w:type="dxa" w:w="4608"/>
            <w:vAlign w:val="center"/>
          </w:tcPr>
          <w:p>
            <w:r/>
            <w:r>
              <w:rPr>
                <w:rFonts w:ascii="Arial" w:hAnsi="Arial"/>
                <w:b w:val="0"/>
                <w:sz w:val="15"/>
              </w:rPr>
              <w:t>Retry with backoff; keep owned-media independent</w:t>
            </w:r>
          </w:p>
        </w:tc>
        <w:tc>
          <w:tcPr>
            <w:tcW w:type="dxa" w:w="2304"/>
            <w:vAlign w:val="center"/>
          </w:tcPr>
          <w:p>
            <w:r/>
            <w:r>
              <w:rPr>
                <w:rFonts w:ascii="Arial" w:hAnsi="Arial"/>
                <w:b w:val="0"/>
                <w:sz w:val="15"/>
              </w:rPr>
              <w:t>CHANNEL_RETRYING</w:t>
            </w:r>
          </w:p>
        </w:tc>
      </w:tr>
      <w:tr>
        <w:tc>
          <w:tcPr>
            <w:tcW w:type="dxa" w:w="2880"/>
            <w:vAlign w:val="center"/>
          </w:tcPr>
          <w:p>
            <w:r/>
            <w:r>
              <w:rPr>
                <w:rFonts w:ascii="Arial" w:hAnsi="Arial"/>
                <w:b w:val="0"/>
                <w:sz w:val="15"/>
              </w:rPr>
              <w:t>Channel permission revoked</w:t>
            </w:r>
          </w:p>
        </w:tc>
        <w:tc>
          <w:tcPr>
            <w:tcW w:type="dxa" w:w="4608"/>
            <w:vAlign w:val="center"/>
          </w:tcPr>
          <w:p>
            <w:r/>
            <w:r>
              <w:rPr>
                <w:rFonts w:ascii="Arial" w:hAnsi="Arial"/>
                <w:b w:val="0"/>
                <w:sz w:val="15"/>
              </w:rPr>
              <w:t>Stop external activation; notify Partner/Buyer</w:t>
            </w:r>
          </w:p>
        </w:tc>
        <w:tc>
          <w:tcPr>
            <w:tcW w:type="dxa" w:w="2304"/>
            <w:vAlign w:val="center"/>
          </w:tcPr>
          <w:p>
            <w:r/>
            <w:r>
              <w:rPr>
                <w:rFonts w:ascii="Arial" w:hAnsi="Arial"/>
                <w:b w:val="0"/>
                <w:sz w:val="15"/>
              </w:rPr>
              <w:t>CHANNEL_BLOCKED</w:t>
            </w:r>
          </w:p>
        </w:tc>
      </w:tr>
      <w:tr>
        <w:tc>
          <w:tcPr>
            <w:tcW w:type="dxa" w:w="2880"/>
            <w:vAlign w:val="center"/>
          </w:tcPr>
          <w:p>
            <w:r/>
            <w:r>
              <w:rPr>
                <w:rFonts w:ascii="Arial" w:hAnsi="Arial"/>
                <w:b w:val="0"/>
                <w:sz w:val="15"/>
              </w:rPr>
              <w:t>Partner revokes approval</w:t>
            </w:r>
          </w:p>
        </w:tc>
        <w:tc>
          <w:tcPr>
            <w:tcW w:type="dxa" w:w="4608"/>
            <w:vAlign w:val="center"/>
          </w:tcPr>
          <w:p>
            <w:r/>
            <w:r>
              <w:rPr>
                <w:rFonts w:ascii="Arial" w:hAnsi="Arial"/>
                <w:b w:val="0"/>
                <w:sz w:val="15"/>
              </w:rPr>
              <w:t>Immediately stop local serving; queue external cleanup</w:t>
            </w:r>
          </w:p>
        </w:tc>
        <w:tc>
          <w:tcPr>
            <w:tcW w:type="dxa" w:w="2304"/>
            <w:vAlign w:val="center"/>
          </w:tcPr>
          <w:p>
            <w:r/>
            <w:r>
              <w:rPr>
                <w:rFonts w:ascii="Arial" w:hAnsi="Arial"/>
                <w:b w:val="0"/>
                <w:sz w:val="15"/>
              </w:rPr>
              <w:t>ENDING/ENDED</w:t>
            </w:r>
          </w:p>
        </w:tc>
      </w:tr>
      <w:tr>
        <w:tc>
          <w:tcPr>
            <w:tcW w:type="dxa" w:w="2880"/>
            <w:vAlign w:val="center"/>
          </w:tcPr>
          <w:p>
            <w:r/>
            <w:r>
              <w:rPr>
                <w:rFonts w:ascii="Arial" w:hAnsi="Arial"/>
                <w:b w:val="0"/>
                <w:sz w:val="15"/>
              </w:rPr>
              <w:t>CRM callback duplicated</w:t>
            </w:r>
          </w:p>
        </w:tc>
        <w:tc>
          <w:tcPr>
            <w:tcW w:type="dxa" w:w="4608"/>
            <w:vAlign w:val="center"/>
          </w:tcPr>
          <w:p>
            <w:r/>
            <w:r>
              <w:rPr>
                <w:rFonts w:ascii="Arial" w:hAnsi="Arial"/>
                <w:b w:val="0"/>
                <w:sz w:val="15"/>
              </w:rPr>
              <w:t>Deduplicate click_token + crm_event_id</w:t>
            </w:r>
          </w:p>
        </w:tc>
        <w:tc>
          <w:tcPr>
            <w:tcW w:type="dxa" w:w="2304"/>
            <w:vAlign w:val="center"/>
          </w:tcPr>
          <w:p>
            <w:r/>
            <w:r>
              <w:rPr>
                <w:rFonts w:ascii="Arial" w:hAnsi="Arial"/>
                <w:b w:val="0"/>
                <w:sz w:val="15"/>
              </w:rPr>
              <w:t>Single lead outcome</w:t>
            </w:r>
          </w:p>
        </w:tc>
      </w:tr>
      <w:tr>
        <w:tc>
          <w:tcPr>
            <w:tcW w:type="dxa" w:w="2880"/>
            <w:vAlign w:val="center"/>
          </w:tcPr>
          <w:p>
            <w:r/>
            <w:r>
              <w:rPr>
                <w:rFonts w:ascii="Arial" w:hAnsi="Arial"/>
                <w:b w:val="0"/>
                <w:sz w:val="15"/>
              </w:rPr>
              <w:t>Billing variance</w:t>
            </w:r>
          </w:p>
        </w:tc>
        <w:tc>
          <w:tcPr>
            <w:tcW w:type="dxa" w:w="4608"/>
            <w:vAlign w:val="center"/>
          </w:tcPr>
          <w:p>
            <w:r/>
            <w:r>
              <w:rPr>
                <w:rFonts w:ascii="Arial" w:hAnsi="Arial"/>
                <w:b w:val="0"/>
                <w:sz w:val="15"/>
              </w:rPr>
              <w:t>Hold payout/invoice reconciliation</w:t>
            </w:r>
          </w:p>
        </w:tc>
        <w:tc>
          <w:tcPr>
            <w:tcW w:type="dxa" w:w="2304"/>
            <w:vAlign w:val="center"/>
          </w:tcPr>
          <w:p>
            <w:r/>
            <w:r>
              <w:rPr>
                <w:rFonts w:ascii="Arial" w:hAnsi="Arial"/>
                <w:b w:val="0"/>
                <w:sz w:val="15"/>
              </w:rPr>
              <w:t>REVIEW_REQUIRED</w:t>
            </w:r>
          </w:p>
        </w:tc>
      </w:tr>
    </w:tbl>
    <w:p/>
    <w:p>
      <w:pPr>
        <w:pStyle w:val="Heading1"/>
      </w:pPr>
      <w:r>
        <w:t>58. Observability and Support Runbook Signals</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r/>
            <w:r>
              <w:rPr>
                <w:rFonts w:ascii="Arial" w:hAnsi="Arial"/>
                <w:b/>
                <w:color w:val="FFFFFF"/>
                <w:sz w:val="16"/>
              </w:rPr>
              <w:t>Signal</w:t>
            </w:r>
          </w:p>
        </w:tc>
        <w:tc>
          <w:tcPr>
            <w:tcW w:type="dxa" w:w="6480"/>
            <w:vAlign w:val="center"/>
            <w:shd w:fill="1B4363"/>
          </w:tcPr>
          <w:p>
            <w:r/>
            <w:r>
              <w:rPr>
                <w:rFonts w:ascii="Arial" w:hAnsi="Arial"/>
                <w:b/>
                <w:color w:val="FFFFFF"/>
                <w:sz w:val="16"/>
              </w:rPr>
              <w:t>Alert / Use</w:t>
            </w:r>
          </w:p>
        </w:tc>
      </w:tr>
      <w:tr>
        <w:tc>
          <w:tcPr>
            <w:tcW w:type="dxa" w:w="3168"/>
            <w:vAlign w:val="center"/>
          </w:tcPr>
          <w:p>
            <w:r/>
            <w:r>
              <w:rPr>
                <w:rFonts w:ascii="Arial" w:hAnsi="Arial"/>
                <w:b w:val="0"/>
                <w:sz w:val="15"/>
              </w:rPr>
              <w:t>Agent heartbeat age</w:t>
            </w:r>
          </w:p>
        </w:tc>
        <w:tc>
          <w:tcPr>
            <w:tcW w:type="dxa" w:w="6480"/>
            <w:vAlign w:val="center"/>
          </w:tcPr>
          <w:p>
            <w:r/>
            <w:r>
              <w:rPr>
                <w:rFonts w:ascii="Arial" w:hAnsi="Arial"/>
                <w:b w:val="0"/>
                <w:sz w:val="15"/>
              </w:rPr>
              <w:t>Alert Partner/Ops if stale beyond threshold.</w:t>
            </w:r>
          </w:p>
        </w:tc>
      </w:tr>
      <w:tr>
        <w:tc>
          <w:tcPr>
            <w:tcW w:type="dxa" w:w="3168"/>
            <w:vAlign w:val="center"/>
          </w:tcPr>
          <w:p>
            <w:r/>
            <w:r>
              <w:rPr>
                <w:rFonts w:ascii="Arial" w:hAnsi="Arial"/>
                <w:b w:val="0"/>
                <w:sz w:val="15"/>
              </w:rPr>
              <w:t>Control sync version lag</w:t>
            </w:r>
          </w:p>
        </w:tc>
        <w:tc>
          <w:tcPr>
            <w:tcW w:type="dxa" w:w="6480"/>
            <w:vAlign w:val="center"/>
          </w:tcPr>
          <w:p>
            <w:r/>
            <w:r>
              <w:rPr>
                <w:rFonts w:ascii="Arial" w:hAnsi="Arial"/>
                <w:b w:val="0"/>
                <w:sz w:val="15"/>
              </w:rPr>
              <w:t>Detect manifest/policy drift.</w:t>
            </w:r>
          </w:p>
        </w:tc>
      </w:tr>
      <w:tr>
        <w:tc>
          <w:tcPr>
            <w:tcW w:type="dxa" w:w="3168"/>
            <w:vAlign w:val="center"/>
          </w:tcPr>
          <w:p>
            <w:r/>
            <w:r>
              <w:rPr>
                <w:rFonts w:ascii="Arial" w:hAnsi="Arial"/>
                <w:b w:val="0"/>
                <w:sz w:val="15"/>
              </w:rPr>
              <w:t>Ad decision p95/p99</w:t>
            </w:r>
          </w:p>
        </w:tc>
        <w:tc>
          <w:tcPr>
            <w:tcW w:type="dxa" w:w="6480"/>
            <w:vAlign w:val="center"/>
          </w:tcPr>
          <w:p>
            <w:r/>
            <w:r>
              <w:rPr>
                <w:rFonts w:ascii="Arial" w:hAnsi="Arial"/>
                <w:b w:val="0"/>
                <w:sz w:val="15"/>
              </w:rPr>
              <w:t>Partner-owned latency SLO.</w:t>
            </w:r>
          </w:p>
        </w:tc>
      </w:tr>
      <w:tr>
        <w:tc>
          <w:tcPr>
            <w:tcW w:type="dxa" w:w="3168"/>
            <w:vAlign w:val="center"/>
          </w:tcPr>
          <w:p>
            <w:r/>
            <w:r>
              <w:rPr>
                <w:rFonts w:ascii="Arial" w:hAnsi="Arial"/>
                <w:b w:val="0"/>
                <w:sz w:val="15"/>
              </w:rPr>
              <w:t>NO_AD reason distribution</w:t>
            </w:r>
          </w:p>
        </w:tc>
        <w:tc>
          <w:tcPr>
            <w:tcW w:type="dxa" w:w="6480"/>
            <w:vAlign w:val="center"/>
          </w:tcPr>
          <w:p>
            <w:r/>
            <w:r>
              <w:rPr>
                <w:rFonts w:ascii="Arial" w:hAnsi="Arial"/>
                <w:b w:val="0"/>
                <w:sz w:val="15"/>
              </w:rPr>
              <w:t>Detect targeting/config issues.</w:t>
            </w:r>
          </w:p>
        </w:tc>
      </w:tr>
      <w:tr>
        <w:tc>
          <w:tcPr>
            <w:tcW w:type="dxa" w:w="3168"/>
            <w:vAlign w:val="center"/>
          </w:tcPr>
          <w:p>
            <w:r/>
            <w:r>
              <w:rPr>
                <w:rFonts w:ascii="Arial" w:hAnsi="Arial"/>
                <w:b w:val="0"/>
                <w:sz w:val="15"/>
              </w:rPr>
              <w:t>Segment connector health</w:t>
            </w:r>
          </w:p>
        </w:tc>
        <w:tc>
          <w:tcPr>
            <w:tcW w:type="dxa" w:w="6480"/>
            <w:vAlign w:val="center"/>
          </w:tcPr>
          <w:p>
            <w:r/>
            <w:r>
              <w:rPr>
                <w:rFonts w:ascii="Arial" w:hAnsi="Arial"/>
                <w:b w:val="0"/>
                <w:sz w:val="15"/>
              </w:rPr>
              <w:t>Detect local source outage.</w:t>
            </w:r>
          </w:p>
        </w:tc>
      </w:tr>
      <w:tr>
        <w:tc>
          <w:tcPr>
            <w:tcW w:type="dxa" w:w="3168"/>
            <w:vAlign w:val="center"/>
          </w:tcPr>
          <w:p>
            <w:r/>
            <w:r>
              <w:rPr>
                <w:rFonts w:ascii="Arial" w:hAnsi="Arial"/>
                <w:b w:val="0"/>
                <w:sz w:val="15"/>
              </w:rPr>
              <w:t>Report batch lag</w:t>
            </w:r>
          </w:p>
        </w:tc>
        <w:tc>
          <w:tcPr>
            <w:tcW w:type="dxa" w:w="6480"/>
            <w:vAlign w:val="center"/>
          </w:tcPr>
          <w:p>
            <w:r/>
            <w:r>
              <w:rPr>
                <w:rFonts w:ascii="Arial" w:hAnsi="Arial"/>
                <w:b w:val="0"/>
                <w:sz w:val="15"/>
              </w:rPr>
              <w:t>Detect analytics delay.</w:t>
            </w:r>
          </w:p>
        </w:tc>
      </w:tr>
      <w:tr>
        <w:tc>
          <w:tcPr>
            <w:tcW w:type="dxa" w:w="3168"/>
            <w:vAlign w:val="center"/>
          </w:tcPr>
          <w:p>
            <w:r/>
            <w:r>
              <w:rPr>
                <w:rFonts w:ascii="Arial" w:hAnsi="Arial"/>
                <w:b w:val="0"/>
                <w:sz w:val="15"/>
              </w:rPr>
              <w:t>Channel sync failure rate</w:t>
            </w:r>
          </w:p>
        </w:tc>
        <w:tc>
          <w:tcPr>
            <w:tcW w:type="dxa" w:w="6480"/>
            <w:vAlign w:val="center"/>
          </w:tcPr>
          <w:p>
            <w:r/>
            <w:r>
              <w:rPr>
                <w:rFonts w:ascii="Arial" w:hAnsi="Arial"/>
                <w:b w:val="0"/>
                <w:sz w:val="15"/>
              </w:rPr>
              <w:t>Meta/Google connector health.</w:t>
            </w:r>
          </w:p>
        </w:tc>
      </w:tr>
      <w:tr>
        <w:tc>
          <w:tcPr>
            <w:tcW w:type="dxa" w:w="3168"/>
            <w:vAlign w:val="center"/>
          </w:tcPr>
          <w:p>
            <w:r/>
            <w:r>
              <w:rPr>
                <w:rFonts w:ascii="Arial" w:hAnsi="Arial"/>
                <w:b w:val="0"/>
                <w:sz w:val="15"/>
              </w:rPr>
              <w:t>External resource processing age</w:t>
            </w:r>
          </w:p>
        </w:tc>
        <w:tc>
          <w:tcPr>
            <w:tcW w:type="dxa" w:w="6480"/>
            <w:vAlign w:val="center"/>
          </w:tcPr>
          <w:p>
            <w:r/>
            <w:r>
              <w:rPr>
                <w:rFonts w:ascii="Arial" w:hAnsi="Arial"/>
                <w:b w:val="0"/>
                <w:sz w:val="15"/>
              </w:rPr>
              <w:t>Audience upload stuck.</w:t>
            </w:r>
          </w:p>
        </w:tc>
      </w:tr>
      <w:tr>
        <w:tc>
          <w:tcPr>
            <w:tcW w:type="dxa" w:w="3168"/>
            <w:vAlign w:val="center"/>
          </w:tcPr>
          <w:p>
            <w:r/>
            <w:r>
              <w:rPr>
                <w:rFonts w:ascii="Arial" w:hAnsi="Arial"/>
                <w:b w:val="0"/>
                <w:sz w:val="15"/>
              </w:rPr>
              <w:t>Lead callback success rate</w:t>
            </w:r>
          </w:p>
        </w:tc>
        <w:tc>
          <w:tcPr>
            <w:tcW w:type="dxa" w:w="6480"/>
            <w:vAlign w:val="center"/>
          </w:tcPr>
          <w:p>
            <w:r/>
            <w:r>
              <w:rPr>
                <w:rFonts w:ascii="Arial" w:hAnsi="Arial"/>
                <w:b w:val="0"/>
                <w:sz w:val="15"/>
              </w:rPr>
              <w:t>CRM integration health.</w:t>
            </w:r>
          </w:p>
        </w:tc>
      </w:tr>
      <w:tr>
        <w:tc>
          <w:tcPr>
            <w:tcW w:type="dxa" w:w="3168"/>
            <w:vAlign w:val="center"/>
          </w:tcPr>
          <w:p>
            <w:r/>
            <w:r>
              <w:rPr>
                <w:rFonts w:ascii="Arial" w:hAnsi="Arial"/>
                <w:b w:val="0"/>
                <w:sz w:val="15"/>
              </w:rPr>
              <w:t>Billing reconciliation variance</w:t>
            </w:r>
          </w:p>
        </w:tc>
        <w:tc>
          <w:tcPr>
            <w:tcW w:type="dxa" w:w="6480"/>
            <w:vAlign w:val="center"/>
          </w:tcPr>
          <w:p>
            <w:r/>
            <w:r>
              <w:rPr>
                <w:rFonts w:ascii="Arial" w:hAnsi="Arial"/>
                <w:b w:val="0"/>
                <w:sz w:val="15"/>
              </w:rPr>
              <w:t>Finance review.</w:t>
            </w:r>
          </w:p>
        </w:tc>
      </w:tr>
      <w:tr>
        <w:tc>
          <w:tcPr>
            <w:tcW w:type="dxa" w:w="3168"/>
            <w:vAlign w:val="center"/>
          </w:tcPr>
          <w:p>
            <w:r/>
            <w:r>
              <w:rPr>
                <w:rFonts w:ascii="Arial" w:hAnsi="Arial"/>
                <w:b w:val="0"/>
                <w:sz w:val="15"/>
              </w:rPr>
              <w:t>Kill-switch events</w:t>
            </w:r>
          </w:p>
        </w:tc>
        <w:tc>
          <w:tcPr>
            <w:tcW w:type="dxa" w:w="6480"/>
            <w:vAlign w:val="center"/>
          </w:tcPr>
          <w:p>
            <w:r/>
            <w:r>
              <w:rPr>
                <w:rFonts w:ascii="Arial" w:hAnsi="Arial"/>
                <w:b w:val="0"/>
                <w:sz w:val="15"/>
              </w:rPr>
              <w:t>Security/operational audit.</w:t>
            </w:r>
          </w:p>
        </w:tc>
      </w:tr>
    </w:tbl>
    <w:p/>
    <w:p>
      <w:pPr>
        <w:pStyle w:val="Heading1"/>
      </w:pPr>
      <w:r>
        <w:t>59. MVP Test Matrix and Acceptance Criteria</w:t>
      </w:r>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r/>
            <w:r>
              <w:rPr>
                <w:rFonts w:ascii="Arial" w:hAnsi="Arial"/>
                <w:b/>
                <w:color w:val="FFFFFF"/>
                <w:sz w:val="16"/>
              </w:rPr>
              <w:t>Area</w:t>
            </w:r>
          </w:p>
        </w:tc>
        <w:tc>
          <w:tcPr>
            <w:tcW w:type="dxa" w:w="7056"/>
            <w:vAlign w:val="center"/>
            <w:shd w:fill="1B4363"/>
          </w:tcPr>
          <w:p>
            <w:r/>
            <w:r>
              <w:rPr>
                <w:rFonts w:ascii="Arial" w:hAnsi="Arial"/>
                <w:b/>
                <w:color w:val="FFFFFF"/>
                <w:sz w:val="16"/>
              </w:rPr>
              <w:t>Required acceptance test</w:t>
            </w:r>
          </w:p>
        </w:tc>
      </w:tr>
      <w:tr>
        <w:tc>
          <w:tcPr>
            <w:tcW w:type="dxa" w:w="2592"/>
            <w:vAlign w:val="center"/>
          </w:tcPr>
          <w:p>
            <w:r/>
            <w:r>
              <w:rPr>
                <w:rFonts w:ascii="Arial" w:hAnsi="Arial"/>
                <w:b w:val="0"/>
                <w:sz w:val="15"/>
              </w:rPr>
              <w:t>Signup</w:t>
            </w:r>
          </w:p>
        </w:tc>
        <w:tc>
          <w:tcPr>
            <w:tcW w:type="dxa" w:w="7056"/>
            <w:vAlign w:val="center"/>
          </w:tcPr>
          <w:p>
            <w:r/>
            <w:r>
              <w:rPr>
                <w:rFonts w:ascii="Arial" w:hAnsi="Arial"/>
                <w:b w:val="0"/>
                <w:sz w:val="15"/>
              </w:rPr>
              <w:t>Buyer and Partner can create verified organizations; unauthorized role cannot access other org.</w:t>
            </w:r>
          </w:p>
        </w:tc>
      </w:tr>
      <w:tr>
        <w:tc>
          <w:tcPr>
            <w:tcW w:type="dxa" w:w="2592"/>
            <w:vAlign w:val="center"/>
          </w:tcPr>
          <w:p>
            <w:r/>
            <w:r>
              <w:rPr>
                <w:rFonts w:ascii="Arial" w:hAnsi="Arial"/>
                <w:b w:val="0"/>
                <w:sz w:val="15"/>
              </w:rPr>
              <w:t>Network</w:t>
            </w:r>
          </w:p>
        </w:tc>
        <w:tc>
          <w:tcPr>
            <w:tcW w:type="dxa" w:w="7056"/>
            <w:vAlign w:val="center"/>
          </w:tcPr>
          <w:p>
            <w:r/>
            <w:r>
              <w:rPr>
                <w:rFonts w:ascii="Arial" w:hAnsi="Arial"/>
                <w:b w:val="0"/>
                <w:sz w:val="15"/>
              </w:rPr>
              <w:t>VC invite accepted independently; VC cannot access customer data.</w:t>
            </w:r>
          </w:p>
        </w:tc>
      </w:tr>
      <w:tr>
        <w:tc>
          <w:tcPr>
            <w:tcW w:type="dxa" w:w="2592"/>
            <w:vAlign w:val="center"/>
          </w:tcPr>
          <w:p>
            <w:r/>
            <w:r>
              <w:rPr>
                <w:rFonts w:ascii="Arial" w:hAnsi="Arial"/>
                <w:b w:val="0"/>
                <w:sz w:val="15"/>
              </w:rPr>
              <w:t>Segment publication</w:t>
            </w:r>
          </w:p>
        </w:tc>
        <w:tc>
          <w:tcPr>
            <w:tcW w:type="dxa" w:w="7056"/>
            <w:vAlign w:val="center"/>
          </w:tcPr>
          <w:p>
            <w:r/>
            <w:r>
              <w:rPr>
                <w:rFonts w:ascii="Arial" w:hAnsi="Arial"/>
                <w:b w:val="0"/>
                <w:sz w:val="15"/>
              </w:rPr>
              <w:t>Partner publishes metadata; Oolix central DB contains no member list.</w:t>
            </w:r>
          </w:p>
        </w:tc>
      </w:tr>
      <w:tr>
        <w:tc>
          <w:tcPr>
            <w:tcW w:type="dxa" w:w="2592"/>
            <w:vAlign w:val="center"/>
          </w:tcPr>
          <w:p>
            <w:r/>
            <w:r>
              <w:rPr>
                <w:rFonts w:ascii="Arial" w:hAnsi="Arial"/>
                <w:b w:val="0"/>
                <w:sz w:val="15"/>
              </w:rPr>
              <w:t>Audience filter</w:t>
            </w:r>
          </w:p>
        </w:tc>
        <w:tc>
          <w:tcPr>
            <w:tcW w:type="dxa" w:w="7056"/>
            <w:vAlign w:val="center"/>
          </w:tcPr>
          <w:p>
            <w:r/>
            <w:r>
              <w:rPr>
                <w:rFonts w:ascii="Arial" w:hAnsi="Arial"/>
                <w:b w:val="0"/>
                <w:sz w:val="15"/>
              </w:rPr>
              <w:t>Buyer filters by geography, freshness, reach, channel and pricing and receives correct metadata results.</w:t>
            </w:r>
          </w:p>
        </w:tc>
      </w:tr>
      <w:tr>
        <w:tc>
          <w:tcPr>
            <w:tcW w:type="dxa" w:w="2592"/>
            <w:vAlign w:val="center"/>
          </w:tcPr>
          <w:p>
            <w:r/>
            <w:r>
              <w:rPr>
                <w:rFonts w:ascii="Arial" w:hAnsi="Arial"/>
                <w:b w:val="0"/>
                <w:sz w:val="15"/>
              </w:rPr>
              <w:t>Campaign builder</w:t>
            </w:r>
          </w:p>
        </w:tc>
        <w:tc>
          <w:tcPr>
            <w:tcW w:type="dxa" w:w="7056"/>
            <w:vAlign w:val="center"/>
          </w:tcPr>
          <w:p>
            <w:r/>
            <w:r>
              <w:rPr>
                <w:rFonts w:ascii="Arial" w:hAnsi="Arial"/>
                <w:b w:val="0"/>
                <w:sz w:val="15"/>
              </w:rPr>
              <w:t>One campaign can select &gt;=2 Partners and separate channel/placement/budget settings.</w:t>
            </w:r>
          </w:p>
        </w:tc>
      </w:tr>
      <w:tr>
        <w:tc>
          <w:tcPr>
            <w:tcW w:type="dxa" w:w="2592"/>
            <w:vAlign w:val="center"/>
          </w:tcPr>
          <w:p>
            <w:r/>
            <w:r>
              <w:rPr>
                <w:rFonts w:ascii="Arial" w:hAnsi="Arial"/>
                <w:b w:val="0"/>
                <w:sz w:val="15"/>
              </w:rPr>
              <w:t>Approval</w:t>
            </w:r>
          </w:p>
        </w:tc>
        <w:tc>
          <w:tcPr>
            <w:tcW w:type="dxa" w:w="7056"/>
            <w:vAlign w:val="center"/>
          </w:tcPr>
          <w:p>
            <w:r/>
            <w:r>
              <w:rPr>
                <w:rFonts w:ascii="Arial" w:hAnsi="Arial"/>
                <w:b w:val="0"/>
                <w:sz w:val="15"/>
              </w:rPr>
              <w:t>Partner A approves while Partner B rejects; A can still progress.</w:t>
            </w:r>
          </w:p>
        </w:tc>
      </w:tr>
      <w:tr>
        <w:tc>
          <w:tcPr>
            <w:tcW w:type="dxa" w:w="2592"/>
            <w:vAlign w:val="center"/>
          </w:tcPr>
          <w:p>
            <w:r/>
            <w:r>
              <w:rPr>
                <w:rFonts w:ascii="Arial" w:hAnsi="Arial"/>
                <w:b w:val="0"/>
                <w:sz w:val="15"/>
              </w:rPr>
              <w:t>Manifest</w:t>
            </w:r>
          </w:p>
        </w:tc>
        <w:tc>
          <w:tcPr>
            <w:tcW w:type="dxa" w:w="7056"/>
            <w:vAlign w:val="center"/>
          </w:tcPr>
          <w:p>
            <w:r/>
            <w:r>
              <w:rPr>
                <w:rFonts w:ascii="Arial" w:hAnsi="Arial"/>
                <w:b w:val="0"/>
                <w:sz w:val="15"/>
              </w:rPr>
              <w:t>Agent rejects invalid/expired/tampered manifest.</w:t>
            </w:r>
          </w:p>
        </w:tc>
      </w:tr>
      <w:tr>
        <w:tc>
          <w:tcPr>
            <w:tcW w:type="dxa" w:w="2592"/>
            <w:vAlign w:val="center"/>
          </w:tcPr>
          <w:p>
            <w:r/>
            <w:r>
              <w:rPr>
                <w:rFonts w:ascii="Arial" w:hAnsi="Arial"/>
                <w:b w:val="0"/>
                <w:sz w:val="15"/>
              </w:rPr>
              <w:t>Owned ad serving</w:t>
            </w:r>
          </w:p>
        </w:tc>
        <w:tc>
          <w:tcPr>
            <w:tcW w:type="dxa" w:w="7056"/>
            <w:vAlign w:val="center"/>
          </w:tcPr>
          <w:p>
            <w:r/>
            <w:r>
              <w:rPr>
                <w:rFonts w:ascii="Arial" w:hAnsi="Arial"/>
                <w:b w:val="0"/>
                <w:sz w:val="15"/>
              </w:rPr>
              <w:t>Eligible local user sees ad; ineligible user gets NO_AD; Oolix never receives partner_user_id.</w:t>
            </w:r>
          </w:p>
        </w:tc>
      </w:tr>
      <w:tr>
        <w:tc>
          <w:tcPr>
            <w:tcW w:type="dxa" w:w="2592"/>
            <w:vAlign w:val="center"/>
          </w:tcPr>
          <w:p>
            <w:r/>
            <w:r>
              <w:rPr>
                <w:rFonts w:ascii="Arial" w:hAnsi="Arial"/>
                <w:b w:val="0"/>
                <w:sz w:val="15"/>
              </w:rPr>
              <w:t>Failure safety</w:t>
            </w:r>
          </w:p>
        </w:tc>
        <w:tc>
          <w:tcPr>
            <w:tcW w:type="dxa" w:w="7056"/>
            <w:vAlign w:val="center"/>
          </w:tcPr>
          <w:p>
            <w:r/>
            <w:r>
              <w:rPr>
                <w:rFonts w:ascii="Arial" w:hAnsi="Arial"/>
                <w:b w:val="0"/>
                <w:sz w:val="15"/>
              </w:rPr>
              <w:t>Agent outage does not break Partner page/app.</w:t>
            </w:r>
          </w:p>
        </w:tc>
      </w:tr>
      <w:tr>
        <w:tc>
          <w:tcPr>
            <w:tcW w:type="dxa" w:w="2592"/>
            <w:vAlign w:val="center"/>
          </w:tcPr>
          <w:p>
            <w:r/>
            <w:r>
              <w:rPr>
                <w:rFonts w:ascii="Arial" w:hAnsi="Arial"/>
                <w:b w:val="0"/>
                <w:sz w:val="15"/>
              </w:rPr>
              <w:t>Attribution</w:t>
            </w:r>
          </w:p>
        </w:tc>
        <w:tc>
          <w:tcPr>
            <w:tcW w:type="dxa" w:w="7056"/>
            <w:vAlign w:val="center"/>
          </w:tcPr>
          <w:p>
            <w:r/>
            <w:r>
              <w:rPr>
                <w:rFonts w:ascii="Arial" w:hAnsi="Arial"/>
                <w:b w:val="0"/>
                <w:sz w:val="15"/>
              </w:rPr>
              <w:t>Click token maps qualified lead back to activation without Partner user ID.</w:t>
            </w:r>
          </w:p>
        </w:tc>
      </w:tr>
      <w:tr>
        <w:tc>
          <w:tcPr>
            <w:tcW w:type="dxa" w:w="2592"/>
            <w:vAlign w:val="center"/>
          </w:tcPr>
          <w:p>
            <w:r/>
            <w:r>
              <w:rPr>
                <w:rFonts w:ascii="Arial" w:hAnsi="Arial"/>
                <w:b w:val="0"/>
                <w:sz w:val="15"/>
              </w:rPr>
              <w:t>Reporting</w:t>
            </w:r>
          </w:p>
        </w:tc>
        <w:tc>
          <w:tcPr>
            <w:tcW w:type="dxa" w:w="7056"/>
            <w:vAlign w:val="center"/>
          </w:tcPr>
          <w:p>
            <w:r/>
            <w:r>
              <w:rPr>
                <w:rFonts w:ascii="Arial" w:hAnsi="Arial"/>
                <w:b w:val="0"/>
                <w:sz w:val="15"/>
              </w:rPr>
              <w:t>Aggregate metrics reconcile within defined tolerance.</w:t>
            </w:r>
          </w:p>
        </w:tc>
      </w:tr>
      <w:tr>
        <w:tc>
          <w:tcPr>
            <w:tcW w:type="dxa" w:w="2592"/>
            <w:vAlign w:val="center"/>
          </w:tcPr>
          <w:p>
            <w:r/>
            <w:r>
              <w:rPr>
                <w:rFonts w:ascii="Arial" w:hAnsi="Arial"/>
                <w:b w:val="0"/>
                <w:sz w:val="15"/>
              </w:rPr>
              <w:t>Meta</w:t>
            </w:r>
          </w:p>
        </w:tc>
        <w:tc>
          <w:tcPr>
            <w:tcW w:type="dxa" w:w="7056"/>
            <w:vAlign w:val="center"/>
          </w:tcPr>
          <w:p>
            <w:r/>
            <w:r>
              <w:rPr>
                <w:rFonts w:ascii="Arial" w:hAnsi="Arial"/>
                <w:b w:val="0"/>
                <w:sz w:val="15"/>
              </w:rPr>
              <w:t>Connector cannot run until account/authorization eligibility passes.</w:t>
            </w:r>
          </w:p>
        </w:tc>
      </w:tr>
      <w:tr>
        <w:tc>
          <w:tcPr>
            <w:tcW w:type="dxa" w:w="2592"/>
            <w:vAlign w:val="center"/>
          </w:tcPr>
          <w:p>
            <w:r/>
            <w:r>
              <w:rPr>
                <w:rFonts w:ascii="Arial" w:hAnsi="Arial"/>
                <w:b w:val="0"/>
                <w:sz w:val="15"/>
              </w:rPr>
              <w:t>Google</w:t>
            </w:r>
          </w:p>
        </w:tc>
        <w:tc>
          <w:tcPr>
            <w:tcW w:type="dxa" w:w="7056"/>
            <w:vAlign w:val="center"/>
          </w:tcPr>
          <w:p>
            <w:r/>
            <w:r>
              <w:rPr>
                <w:rFonts w:ascii="Arial" w:hAnsi="Arial"/>
                <w:b w:val="0"/>
                <w:sz w:val="15"/>
              </w:rPr>
              <w:t>Connector cannot run until first-party/account eligibility passes.</w:t>
            </w:r>
          </w:p>
        </w:tc>
      </w:tr>
      <w:tr>
        <w:tc>
          <w:tcPr>
            <w:tcW w:type="dxa" w:w="2592"/>
            <w:vAlign w:val="center"/>
          </w:tcPr>
          <w:p>
            <w:r/>
            <w:r>
              <w:rPr>
                <w:rFonts w:ascii="Arial" w:hAnsi="Arial"/>
                <w:b w:val="0"/>
                <w:sz w:val="15"/>
              </w:rPr>
              <w:t>Revocation</w:t>
            </w:r>
          </w:p>
        </w:tc>
        <w:tc>
          <w:tcPr>
            <w:tcW w:type="dxa" w:w="7056"/>
            <w:vAlign w:val="center"/>
          </w:tcPr>
          <w:p>
            <w:r/>
            <w:r>
              <w:rPr>
                <w:rFonts w:ascii="Arial" w:hAnsi="Arial"/>
                <w:b w:val="0"/>
                <w:sz w:val="15"/>
              </w:rPr>
              <w:t>Partner revoke stops owned media and triggers external cleanup.</w:t>
            </w:r>
          </w:p>
        </w:tc>
      </w:tr>
      <w:tr>
        <w:tc>
          <w:tcPr>
            <w:tcW w:type="dxa" w:w="2592"/>
            <w:vAlign w:val="center"/>
          </w:tcPr>
          <w:p>
            <w:r/>
            <w:r>
              <w:rPr>
                <w:rFonts w:ascii="Arial" w:hAnsi="Arial"/>
                <w:b w:val="0"/>
                <w:sz w:val="15"/>
              </w:rPr>
              <w:t>Billing</w:t>
            </w:r>
          </w:p>
        </w:tc>
        <w:tc>
          <w:tcPr>
            <w:tcW w:type="dxa" w:w="7056"/>
            <w:vAlign w:val="center"/>
          </w:tcPr>
          <w:p>
            <w:r/>
            <w:r>
              <w:rPr>
                <w:rFonts w:ascii="Arial" w:hAnsi="Arial"/>
                <w:b w:val="0"/>
                <w:sz w:val="15"/>
              </w:rPr>
              <w:t>Qualified-lead payout calculation is reproducible and idempotent.</w:t>
            </w:r>
          </w:p>
        </w:tc>
      </w:tr>
    </w:tbl>
    <w:p/>
    <w:p>
      <w:pPr>
        <w:pStyle w:val="Heading1"/>
      </w:pPr>
      <w:r>
        <w:t>60. Recommended MVP Build Sequence (Historical Plan - Superseded by §85)</w:t>
      </w:r>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B4363"/>
          </w:tcPr>
          <w:p>
            <w:r/>
            <w:r>
              <w:rPr>
                <w:rFonts w:ascii="Arial" w:hAnsi="Arial"/>
                <w:b/>
                <w:color w:val="FFFFFF"/>
                <w:sz w:val="16"/>
              </w:rPr>
              <w:t>Sprint / Phase</w:t>
            </w:r>
          </w:p>
        </w:tc>
        <w:tc>
          <w:tcPr>
            <w:tcW w:type="dxa" w:w="7200"/>
            <w:vAlign w:val="center"/>
            <w:shd w:fill="1B4363"/>
          </w:tcPr>
          <w:p>
            <w:r/>
            <w:r>
              <w:rPr>
                <w:rFonts w:ascii="Arial" w:hAnsi="Arial"/>
                <w:b/>
                <w:color w:val="FFFFFF"/>
                <w:sz w:val="16"/>
              </w:rPr>
              <w:t>Deliverables</w:t>
            </w:r>
          </w:p>
        </w:tc>
      </w:tr>
      <w:tr>
        <w:tc>
          <w:tcPr>
            <w:tcW w:type="dxa" w:w="2448"/>
            <w:vAlign w:val="center"/>
          </w:tcPr>
          <w:p>
            <w:r/>
            <w:r>
              <w:rPr>
                <w:rFonts w:ascii="Arial" w:hAnsi="Arial"/>
                <w:b w:val="0"/>
                <w:sz w:val="15"/>
              </w:rPr>
              <w:t>0 - Foundations</w:t>
            </w:r>
          </w:p>
        </w:tc>
        <w:tc>
          <w:tcPr>
            <w:tcW w:type="dxa" w:w="7200"/>
            <w:vAlign w:val="center"/>
          </w:tcPr>
          <w:p>
            <w:r/>
            <w:r>
              <w:rPr>
                <w:rFonts w:ascii="Arial" w:hAnsi="Arial"/>
                <w:b w:val="0"/>
                <w:sz w:val="15"/>
              </w:rPr>
              <w:t>Repo, CI/CD, environments, auth, org/RBAC, PostgreSQL schema, audit framework.</w:t>
            </w:r>
          </w:p>
        </w:tc>
      </w:tr>
      <w:tr>
        <w:tc>
          <w:tcPr>
            <w:tcW w:type="dxa" w:w="2448"/>
            <w:vAlign w:val="center"/>
          </w:tcPr>
          <w:p>
            <w:r/>
            <w:r>
              <w:rPr>
                <w:rFonts w:ascii="Arial" w:hAnsi="Arial"/>
                <w:b w:val="0"/>
                <w:sz w:val="15"/>
              </w:rPr>
              <w:t>1 - Partner Supply</w:t>
            </w:r>
          </w:p>
        </w:tc>
        <w:tc>
          <w:tcPr>
            <w:tcW w:type="dxa" w:w="7200"/>
            <w:vAlign w:val="center"/>
          </w:tcPr>
          <w:p>
            <w:r/>
            <w:r>
              <w:rPr>
                <w:rFonts w:ascii="Arial" w:hAnsi="Arial"/>
                <w:b w:val="0"/>
                <w:sz w:val="15"/>
              </w:rPr>
              <w:t>Partner profile, segment metadata CRUD, placement CRUD, Partner Agent registration/heartbeat.</w:t>
            </w:r>
          </w:p>
        </w:tc>
      </w:tr>
      <w:tr>
        <w:tc>
          <w:tcPr>
            <w:tcW w:type="dxa" w:w="2448"/>
            <w:vAlign w:val="center"/>
          </w:tcPr>
          <w:p>
            <w:r/>
            <w:r>
              <w:rPr>
                <w:rFonts w:ascii="Arial" w:hAnsi="Arial"/>
                <w:b w:val="0"/>
                <w:sz w:val="15"/>
              </w:rPr>
              <w:t>2 - Catalogue + Campaign Draft</w:t>
            </w:r>
          </w:p>
        </w:tc>
        <w:tc>
          <w:tcPr>
            <w:tcW w:type="dxa" w:w="7200"/>
            <w:vAlign w:val="center"/>
          </w:tcPr>
          <w:p>
            <w:r/>
            <w:r>
              <w:rPr>
                <w:rFonts w:ascii="Arial" w:hAnsi="Arial"/>
                <w:b w:val="0"/>
                <w:sz w:val="15"/>
              </w:rPr>
              <w:t>Audience discovery/filter API/UI, campaign builder steps 1-5, creative upload.</w:t>
            </w:r>
          </w:p>
        </w:tc>
      </w:tr>
      <w:tr>
        <w:tc>
          <w:tcPr>
            <w:tcW w:type="dxa" w:w="2448"/>
            <w:vAlign w:val="center"/>
          </w:tcPr>
          <w:p>
            <w:r/>
            <w:r>
              <w:rPr>
                <w:rFonts w:ascii="Arial" w:hAnsi="Arial"/>
                <w:b w:val="0"/>
                <w:sz w:val="15"/>
              </w:rPr>
              <w:t>3 - Approval + Manifests</w:t>
            </w:r>
          </w:p>
        </w:tc>
        <w:tc>
          <w:tcPr>
            <w:tcW w:type="dxa" w:w="7200"/>
            <w:vAlign w:val="center"/>
          </w:tcPr>
          <w:p>
            <w:r/>
            <w:r>
              <w:rPr>
                <w:rFonts w:ascii="Arial" w:hAnsi="Arial"/>
                <w:b w:val="0"/>
                <w:sz w:val="15"/>
              </w:rPr>
              <w:t>Partner request center, approve/change/reject, signed manifest generation/sync.</w:t>
            </w:r>
          </w:p>
        </w:tc>
      </w:tr>
      <w:tr>
        <w:tc>
          <w:tcPr>
            <w:tcW w:type="dxa" w:w="2448"/>
            <w:vAlign w:val="center"/>
          </w:tcPr>
          <w:p>
            <w:r/>
            <w:r>
              <w:rPr>
                <w:rFonts w:ascii="Arial" w:hAnsi="Arial"/>
                <w:b w:val="0"/>
                <w:sz w:val="15"/>
              </w:rPr>
              <w:t>4 - Owned Web MVP</w:t>
            </w:r>
          </w:p>
        </w:tc>
        <w:tc>
          <w:tcPr>
            <w:tcW w:type="dxa" w:w="7200"/>
            <w:vAlign w:val="center"/>
          </w:tcPr>
          <w:p>
            <w:r/>
            <w:r>
              <w:rPr>
                <w:rFonts w:ascii="Arial" w:hAnsi="Arial"/>
                <w:b w:val="0"/>
                <w:sz w:val="15"/>
              </w:rPr>
              <w:t>Partner Agent connector + local segment lookup + web AdSlot + decision API + NO_AD fallback.</w:t>
            </w:r>
          </w:p>
        </w:tc>
      </w:tr>
      <w:tr>
        <w:tc>
          <w:tcPr>
            <w:tcW w:type="dxa" w:w="2448"/>
            <w:vAlign w:val="center"/>
          </w:tcPr>
          <w:p>
            <w:r/>
            <w:r>
              <w:rPr>
                <w:rFonts w:ascii="Arial" w:hAnsi="Arial"/>
                <w:b w:val="0"/>
                <w:sz w:val="15"/>
              </w:rPr>
              <w:t>5 - Attribution + Reporting</w:t>
            </w:r>
          </w:p>
        </w:tc>
        <w:tc>
          <w:tcPr>
            <w:tcW w:type="dxa" w:w="7200"/>
            <w:vAlign w:val="center"/>
          </w:tcPr>
          <w:p>
            <w:r/>
            <w:r>
              <w:rPr>
                <w:rFonts w:ascii="Arial" w:hAnsi="Arial"/>
                <w:b w:val="0"/>
                <w:sz w:val="15"/>
              </w:rPr>
              <w:t>Click token, Buyer landing attribution, CRM lead events, aggregate reporting dashboards.</w:t>
            </w:r>
          </w:p>
        </w:tc>
      </w:tr>
      <w:tr>
        <w:tc>
          <w:tcPr>
            <w:tcW w:type="dxa" w:w="2448"/>
            <w:vAlign w:val="center"/>
          </w:tcPr>
          <w:p>
            <w:r/>
            <w:r>
              <w:rPr>
                <w:rFonts w:ascii="Arial" w:hAnsi="Arial"/>
                <w:b w:val="0"/>
                <w:sz w:val="15"/>
              </w:rPr>
              <w:t>6 - Billing/Payout Pilot</w:t>
            </w:r>
          </w:p>
        </w:tc>
        <w:tc>
          <w:tcPr>
            <w:tcW w:type="dxa" w:w="7200"/>
            <w:vAlign w:val="center"/>
          </w:tcPr>
          <w:p>
            <w:r/>
            <w:r>
              <w:rPr>
                <w:rFonts w:ascii="Arial" w:hAnsi="Arial"/>
                <w:b w:val="0"/>
                <w:sz w:val="15"/>
              </w:rPr>
              <w:t>Commercial terms, accrual, invoice/payout preview, reconciliation.</w:t>
            </w:r>
          </w:p>
        </w:tc>
      </w:tr>
      <w:tr>
        <w:tc>
          <w:tcPr>
            <w:tcW w:type="dxa" w:w="2448"/>
            <w:vAlign w:val="center"/>
          </w:tcPr>
          <w:p>
            <w:r/>
            <w:r>
              <w:rPr>
                <w:rFonts w:ascii="Arial" w:hAnsi="Arial"/>
                <w:b w:val="0"/>
                <w:sz w:val="15"/>
              </w:rPr>
              <w:t>7 - Multi-Partner Hardening</w:t>
            </w:r>
          </w:p>
        </w:tc>
        <w:tc>
          <w:tcPr>
            <w:tcW w:type="dxa" w:w="7200"/>
            <w:vAlign w:val="center"/>
          </w:tcPr>
          <w:p>
            <w:r/>
            <w:r>
              <w:rPr>
                <w:rFonts w:ascii="Arial" w:hAnsi="Arial"/>
                <w:b w:val="0"/>
                <w:sz w:val="15"/>
              </w:rPr>
              <w:t>Parent/activation state model, partial-live handling, partner comparisons, retries/idempotency.</w:t>
            </w:r>
          </w:p>
        </w:tc>
      </w:tr>
      <w:tr>
        <w:tc>
          <w:tcPr>
            <w:tcW w:type="dxa" w:w="2448"/>
            <w:vAlign w:val="center"/>
          </w:tcPr>
          <w:p>
            <w:r/>
            <w:r>
              <w:rPr>
                <w:rFonts w:ascii="Arial" w:hAnsi="Arial"/>
                <w:b w:val="0"/>
                <w:sz w:val="15"/>
              </w:rPr>
              <w:t>8 - Mobile SDK</w:t>
            </w:r>
          </w:p>
        </w:tc>
        <w:tc>
          <w:tcPr>
            <w:tcW w:type="dxa" w:w="7200"/>
            <w:vAlign w:val="center"/>
          </w:tcPr>
          <w:p>
            <w:r/>
            <w:r>
              <w:rPr>
                <w:rFonts w:ascii="Arial" w:hAnsi="Arial"/>
                <w:b w:val="0"/>
                <w:sz w:val="15"/>
              </w:rPr>
              <w:t>First required mobile platform based on design Partner.</w:t>
            </w:r>
          </w:p>
        </w:tc>
      </w:tr>
      <w:tr>
        <w:tc>
          <w:tcPr>
            <w:tcW w:type="dxa" w:w="2448"/>
            <w:vAlign w:val="center"/>
          </w:tcPr>
          <w:p>
            <w:r/>
            <w:r>
              <w:rPr>
                <w:rFonts w:ascii="Arial" w:hAnsi="Arial"/>
                <w:b w:val="0"/>
                <w:sz w:val="15"/>
              </w:rPr>
              <w:t>9 - Meta Pilot</w:t>
            </w:r>
          </w:p>
        </w:tc>
        <w:tc>
          <w:tcPr>
            <w:tcW w:type="dxa" w:w="7200"/>
            <w:vAlign w:val="center"/>
          </w:tcPr>
          <w:p>
            <w:r/>
            <w:r>
              <w:rPr>
                <w:rFonts w:ascii="Arial" w:hAnsi="Arial"/>
                <w:b w:val="0"/>
                <w:sz w:val="15"/>
              </w:rPr>
              <w:t>One Partner/Buyer/account topology; eligibility gate; local audience sync; reporting/cleanup.</w:t>
            </w:r>
          </w:p>
        </w:tc>
      </w:tr>
      <w:tr>
        <w:tc>
          <w:tcPr>
            <w:tcW w:type="dxa" w:w="2448"/>
            <w:vAlign w:val="center"/>
          </w:tcPr>
          <w:p>
            <w:r/>
            <w:r>
              <w:rPr>
                <w:rFonts w:ascii="Arial" w:hAnsi="Arial"/>
                <w:b w:val="0"/>
                <w:sz w:val="15"/>
              </w:rPr>
              <w:t>10 - Google Pilot</w:t>
            </w:r>
          </w:p>
        </w:tc>
        <w:tc>
          <w:tcPr>
            <w:tcW w:type="dxa" w:w="7200"/>
            <w:vAlign w:val="center"/>
          </w:tcPr>
          <w:p>
            <w:r/>
            <w:r>
              <w:rPr>
                <w:rFonts w:ascii="Arial" w:hAnsi="Arial"/>
                <w:b w:val="0"/>
                <w:sz w:val="15"/>
              </w:rPr>
              <w:t>Only after exact eligible relationship/account model is confirmed.</w:t>
            </w:r>
          </w:p>
        </w:tc>
      </w:tr>
      <w:tr>
        <w:tc>
          <w:tcPr>
            <w:tcW w:type="dxa" w:w="2448"/>
            <w:vAlign w:val="center"/>
          </w:tcPr>
          <w:p>
            <w:r/>
            <w:r>
              <w:rPr>
                <w:rFonts w:ascii="Arial" w:hAnsi="Arial"/>
                <w:b w:val="0"/>
                <w:sz w:val="15"/>
              </w:rPr>
              <w:t>Later - TEE</w:t>
            </w:r>
          </w:p>
        </w:tc>
        <w:tc>
          <w:tcPr>
            <w:tcW w:type="dxa" w:w="7200"/>
            <w:vAlign w:val="center"/>
          </w:tcPr>
          <w:p>
            <w:r/>
            <w:r>
              <w:rPr>
                <w:rFonts w:ascii="Arial" w:hAnsi="Arial"/>
                <w:b w:val="0"/>
                <w:sz w:val="15"/>
              </w:rPr>
              <w:t>Cross-partner dedupe/overlap/union only after real demand.</w:t>
            </w:r>
          </w:p>
        </w:tc>
      </w:tr>
    </w:tbl>
    <w:p/>
    <w:p>
      <w:pPr>
        <w:pStyle w:val="Heading1"/>
      </w:pPr>
      <w:r>
        <w:t>61. Suggested Repository and Service Layout</w:t>
      </w:r>
    </w:p>
    <w:p>
      <w:pPr>
        <w:spacing w:before="40" w:after="60"/>
      </w:pPr>
      <w:r>
        <w:rPr>
          <w:rFonts w:ascii="Courier New" w:hAnsi="Courier New"/>
          <w:sz w:val="15"/>
        </w:rPr>
        <w:t>oolix/</w:t>
        <w:br/>
        <w:t xml:space="preserve">  apps/</w:t>
        <w:br/>
        <w:t xml:space="preserve">    web-portal/</w:t>
        <w:br/>
        <w:t xml:space="preserve">    api-gateway/</w:t>
        <w:br/>
        <w:t xml:space="preserve">    worker/</w:t>
        <w:br/>
        <w:t xml:space="preserve">  services/</w:t>
        <w:br/>
        <w:t xml:space="preserve">    identity-org/</w:t>
        <w:br/>
        <w:t xml:space="preserve">    network/</w:t>
        <w:br/>
        <w:t xml:space="preserve">    catalogue/</w:t>
        <w:br/>
        <w:t xml:space="preserve">    campaign/</w:t>
        <w:br/>
        <w:t xml:space="preserve">    approval-activation/</w:t>
        <w:br/>
        <w:t xml:space="preserve">    reporting/</w:t>
        <w:br/>
        <w:t xml:space="preserve">    billing/</w:t>
        <w:br/>
        <w:t xml:space="preserve">    notifications/</w:t>
        <w:br/>
        <w:t xml:space="preserve">  packages/</w:t>
        <w:br/>
        <w:t xml:space="preserve">    contracts/</w:t>
        <w:br/>
        <w:t xml:space="preserve">    manifest-schema/</w:t>
        <w:br/>
        <w:t xml:space="preserve">    auth-rbac/</w:t>
        <w:br/>
        <w:t xml:space="preserve">    observability/</w:t>
        <w:br/>
        <w:br/>
        <w:t>partner-agent/</w:t>
        <w:br/>
        <w:t xml:space="preserve">  control-sync/</w:t>
        <w:br/>
        <w:t xml:space="preserve">  connectors/</w:t>
        <w:br/>
        <w:t xml:space="preserve">  audience/</w:t>
        <w:br/>
        <w:t xml:space="preserve">  policy/</w:t>
        <w:br/>
        <w:t xml:space="preserve">  ad-decision/</w:t>
        <w:br/>
        <w:t xml:space="preserve">  event-buffer/</w:t>
        <w:br/>
        <w:t xml:space="preserve">  channels/meta/</w:t>
        <w:br/>
        <w:t xml:space="preserve">  channels/google/</w:t>
        <w:br/>
        <w:t xml:space="preserve">  health-audit/</w:t>
        <w:br/>
        <w:br/>
        <w:t>sdks/</w:t>
        <w:br/>
        <w:t xml:space="preserve">  web/</w:t>
        <w:br/>
        <w:t xml:space="preserve">  ios/</w:t>
        <w:br/>
        <w:t xml:space="preserve">  android/</w:t>
        <w:br/>
        <w:t xml:space="preserve">  react-native/   # later if needed</w:t>
      </w:r>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MVP service architecture</w:t>
            </w:r>
          </w:p>
          <w:p>
            <w:r>
              <w:rPr>
                <w:rFonts w:ascii="Arial" w:hAnsi="Arial"/>
                <w:sz w:val="18"/>
              </w:rPr>
              <w:t>Start as a modular monolith or a small number of deployables in Oolix Cloud. Do not create dozens of microservices before traffic and team size justify them. Keep strong module/data ownership so services can be split later.</w:t>
            </w:r>
          </w:p>
        </w:tc>
      </w:tr>
    </w:tbl>
    <w:p/>
    <w:p>
      <w:pPr>
        <w:pStyle w:val="Heading1"/>
      </w:pPr>
      <w:r>
        <w:t>62. Decisions That Must Be Locked Before Coding Each Connector</w:t>
      </w:r>
    </w:p>
    <w:tbl>
      <w:tblPr>
        <w:tblStyle w:val="TableGrid"/>
        <w:tblW w:type="auto" w:w="0"/>
        <w:jc w:val="center"/>
        <w:tblLook w:firstColumn="1" w:firstRow="1" w:lastColumn="0" w:lastRow="0" w:noHBand="0" w:noVBand="1" w:val="04A0"/>
      </w:tblPr>
      <w:tblGrid>
        <w:gridCol w:w="5227"/>
        <w:gridCol w:w="5227"/>
      </w:tblGrid>
      <w:tr>
        <w:tc>
          <w:tcPr>
            <w:tcW w:type="dxa" w:w="3888"/>
            <w:vAlign w:val="center"/>
            <w:shd w:fill="1B4363"/>
          </w:tcPr>
          <w:p>
            <w:r/>
            <w:r>
              <w:rPr>
                <w:rFonts w:ascii="Arial" w:hAnsi="Arial"/>
                <w:b/>
                <w:color w:val="FFFFFF"/>
                <w:sz w:val="16"/>
              </w:rPr>
              <w:t>Decision</w:t>
            </w:r>
          </w:p>
        </w:tc>
        <w:tc>
          <w:tcPr>
            <w:tcW w:type="dxa" w:w="5760"/>
            <w:vAlign w:val="center"/>
            <w:shd w:fill="1B4363"/>
          </w:tcPr>
          <w:p>
            <w:r/>
            <w:r>
              <w:rPr>
                <w:rFonts w:ascii="Arial" w:hAnsi="Arial"/>
                <w:b/>
                <w:color w:val="FFFFFF"/>
                <w:sz w:val="16"/>
              </w:rPr>
              <w:t>When required</w:t>
            </w:r>
          </w:p>
        </w:tc>
      </w:tr>
      <w:tr>
        <w:tc>
          <w:tcPr>
            <w:tcW w:type="dxa" w:w="3888"/>
            <w:vAlign w:val="center"/>
          </w:tcPr>
          <w:p>
            <w:r/>
            <w:r>
              <w:rPr>
                <w:rFonts w:ascii="Arial" w:hAnsi="Arial"/>
                <w:b w:val="0"/>
                <w:sz w:val="15"/>
              </w:rPr>
              <w:t>First design Partner database/source type</w:t>
            </w:r>
          </w:p>
        </w:tc>
        <w:tc>
          <w:tcPr>
            <w:tcW w:type="dxa" w:w="5760"/>
            <w:vAlign w:val="center"/>
          </w:tcPr>
          <w:p>
            <w:r/>
            <w:r>
              <w:rPr>
                <w:rFonts w:ascii="Arial" w:hAnsi="Arial"/>
                <w:b w:val="0"/>
                <w:sz w:val="15"/>
              </w:rPr>
              <w:t>Before Partner connector implementation.</w:t>
            </w:r>
          </w:p>
        </w:tc>
      </w:tr>
      <w:tr>
        <w:tc>
          <w:tcPr>
            <w:tcW w:type="dxa" w:w="3888"/>
            <w:vAlign w:val="center"/>
          </w:tcPr>
          <w:p>
            <w:r/>
            <w:r>
              <w:rPr>
                <w:rFonts w:ascii="Arial" w:hAnsi="Arial"/>
                <w:b w:val="0"/>
                <w:sz w:val="15"/>
              </w:rPr>
              <w:t>First Partner web/app frontend stack</w:t>
            </w:r>
          </w:p>
        </w:tc>
        <w:tc>
          <w:tcPr>
            <w:tcW w:type="dxa" w:w="5760"/>
            <w:vAlign w:val="center"/>
          </w:tcPr>
          <w:p>
            <w:r/>
            <w:r>
              <w:rPr>
                <w:rFonts w:ascii="Arial" w:hAnsi="Arial"/>
                <w:b w:val="0"/>
                <w:sz w:val="15"/>
              </w:rPr>
              <w:t>Before SDK/component implementation.</w:t>
            </w:r>
          </w:p>
        </w:tc>
      </w:tr>
      <w:tr>
        <w:tc>
          <w:tcPr>
            <w:tcW w:type="dxa" w:w="3888"/>
            <w:vAlign w:val="center"/>
          </w:tcPr>
          <w:p>
            <w:r/>
            <w:r>
              <w:rPr>
                <w:rFonts w:ascii="Arial" w:hAnsi="Arial"/>
                <w:b w:val="0"/>
                <w:sz w:val="15"/>
              </w:rPr>
              <w:t>MVP pricing basis: CPL vs CPQL vs fixed/CPM</w:t>
            </w:r>
          </w:p>
        </w:tc>
        <w:tc>
          <w:tcPr>
            <w:tcW w:type="dxa" w:w="5760"/>
            <w:vAlign w:val="center"/>
          </w:tcPr>
          <w:p>
            <w:r/>
            <w:r>
              <w:rPr>
                <w:rFonts w:ascii="Arial" w:hAnsi="Arial"/>
                <w:b w:val="0"/>
                <w:sz w:val="15"/>
              </w:rPr>
              <w:t>Before billing schema is frozen.</w:t>
            </w:r>
          </w:p>
        </w:tc>
      </w:tr>
      <w:tr>
        <w:tc>
          <w:tcPr>
            <w:tcW w:type="dxa" w:w="3888"/>
            <w:vAlign w:val="center"/>
          </w:tcPr>
          <w:p>
            <w:r/>
            <w:r>
              <w:rPr>
                <w:rFonts w:ascii="Arial" w:hAnsi="Arial"/>
                <w:b w:val="0"/>
                <w:sz w:val="15"/>
              </w:rPr>
              <w:t>Who hosts creatives for Partner-owned media</w:t>
            </w:r>
          </w:p>
        </w:tc>
        <w:tc>
          <w:tcPr>
            <w:tcW w:type="dxa" w:w="5760"/>
            <w:vAlign w:val="center"/>
          </w:tcPr>
          <w:p>
            <w:r/>
            <w:r>
              <w:rPr>
                <w:rFonts w:ascii="Arial" w:hAnsi="Arial"/>
                <w:b w:val="0"/>
                <w:sz w:val="15"/>
              </w:rPr>
              <w:t>Before delivery/cache/CDN implementation.</w:t>
            </w:r>
          </w:p>
        </w:tc>
      </w:tr>
      <w:tr>
        <w:tc>
          <w:tcPr>
            <w:tcW w:type="dxa" w:w="3888"/>
            <w:vAlign w:val="center"/>
          </w:tcPr>
          <w:p>
            <w:r/>
            <w:r>
              <w:rPr>
                <w:rFonts w:ascii="Arial" w:hAnsi="Arial"/>
                <w:b w:val="0"/>
                <w:sz w:val="15"/>
              </w:rPr>
              <w:t>Meta ad account / Buyer identity / payment topology</w:t>
            </w:r>
          </w:p>
        </w:tc>
        <w:tc>
          <w:tcPr>
            <w:tcW w:type="dxa" w:w="5760"/>
            <w:vAlign w:val="center"/>
          </w:tcPr>
          <w:p>
            <w:r/>
            <w:r>
              <w:rPr>
                <w:rFonts w:ascii="Arial" w:hAnsi="Arial"/>
                <w:b w:val="0"/>
                <w:sz w:val="15"/>
              </w:rPr>
              <w:t>Before Meta pilot code.</w:t>
            </w:r>
          </w:p>
        </w:tc>
      </w:tr>
      <w:tr>
        <w:tc>
          <w:tcPr>
            <w:tcW w:type="dxa" w:w="3888"/>
            <w:vAlign w:val="center"/>
          </w:tcPr>
          <w:p>
            <w:r/>
            <w:r>
              <w:rPr>
                <w:rFonts w:ascii="Arial" w:hAnsi="Arial"/>
                <w:b w:val="0"/>
                <w:sz w:val="15"/>
              </w:rPr>
              <w:t>Google eligible business/account relationship</w:t>
            </w:r>
          </w:p>
        </w:tc>
        <w:tc>
          <w:tcPr>
            <w:tcW w:type="dxa" w:w="5760"/>
            <w:vAlign w:val="center"/>
          </w:tcPr>
          <w:p>
            <w:r/>
            <w:r>
              <w:rPr>
                <w:rFonts w:ascii="Arial" w:hAnsi="Arial"/>
                <w:b w:val="0"/>
                <w:sz w:val="15"/>
              </w:rPr>
              <w:t>Before Google pilot code.</w:t>
            </w:r>
          </w:p>
        </w:tc>
      </w:tr>
      <w:tr>
        <w:tc>
          <w:tcPr>
            <w:tcW w:type="dxa" w:w="3888"/>
            <w:vAlign w:val="center"/>
          </w:tcPr>
          <w:p>
            <w:r/>
            <w:r>
              <w:rPr>
                <w:rFonts w:ascii="Arial" w:hAnsi="Arial"/>
                <w:b w:val="0"/>
                <w:sz w:val="15"/>
              </w:rPr>
              <w:t>Consent/notice wording by launch jurisdiction</w:t>
            </w:r>
          </w:p>
        </w:tc>
        <w:tc>
          <w:tcPr>
            <w:tcW w:type="dxa" w:w="5760"/>
            <w:vAlign w:val="center"/>
          </w:tcPr>
          <w:p>
            <w:r/>
            <w:r>
              <w:rPr>
                <w:rFonts w:ascii="Arial" w:hAnsi="Arial"/>
                <w:b w:val="0"/>
                <w:sz w:val="15"/>
              </w:rPr>
              <w:t>Before production user traffic.</w:t>
            </w:r>
          </w:p>
        </w:tc>
      </w:tr>
      <w:tr>
        <w:tc>
          <w:tcPr>
            <w:tcW w:type="dxa" w:w="3888"/>
            <w:vAlign w:val="center"/>
          </w:tcPr>
          <w:p>
            <w:r/>
            <w:r>
              <w:rPr>
                <w:rFonts w:ascii="Arial" w:hAnsi="Arial"/>
                <w:b w:val="0"/>
                <w:sz w:val="15"/>
              </w:rPr>
              <w:t>How Partner reach is bucketed</w:t>
            </w:r>
          </w:p>
        </w:tc>
        <w:tc>
          <w:tcPr>
            <w:tcW w:type="dxa" w:w="5760"/>
            <w:vAlign w:val="center"/>
          </w:tcPr>
          <w:p>
            <w:r/>
            <w:r>
              <w:rPr>
                <w:rFonts w:ascii="Arial" w:hAnsi="Arial"/>
                <w:b w:val="0"/>
                <w:sz w:val="15"/>
              </w:rPr>
              <w:t>Before catalogue publication.</w:t>
            </w:r>
          </w:p>
        </w:tc>
      </w:tr>
      <w:tr>
        <w:tc>
          <w:tcPr>
            <w:tcW w:type="dxa" w:w="3888"/>
            <w:vAlign w:val="center"/>
          </w:tcPr>
          <w:p>
            <w:r/>
            <w:r>
              <w:rPr>
                <w:rFonts w:ascii="Arial" w:hAnsi="Arial"/>
                <w:b w:val="0"/>
                <w:sz w:val="15"/>
              </w:rPr>
              <w:t>CRM integration mode: webhook/API/manual CSV fallback</w:t>
            </w:r>
          </w:p>
        </w:tc>
        <w:tc>
          <w:tcPr>
            <w:tcW w:type="dxa" w:w="5760"/>
            <w:vAlign w:val="center"/>
          </w:tcPr>
          <w:p>
            <w:r/>
            <w:r>
              <w:rPr>
                <w:rFonts w:ascii="Arial" w:hAnsi="Arial"/>
                <w:b w:val="0"/>
                <w:sz w:val="15"/>
              </w:rPr>
              <w:t>Before lead-feedback implementation.</w:t>
            </w:r>
          </w:p>
        </w:tc>
      </w:tr>
      <w:tr>
        <w:tc>
          <w:tcPr>
            <w:tcW w:type="dxa" w:w="3888"/>
            <w:vAlign w:val="center"/>
          </w:tcPr>
          <w:p>
            <w:r/>
            <w:r>
              <w:rPr>
                <w:rFonts w:ascii="Arial" w:hAnsi="Arial"/>
                <w:b w:val="0"/>
                <w:sz w:val="15"/>
              </w:rPr>
              <w:t>Partner approval SLA and auto-expiry</w:t>
            </w:r>
          </w:p>
        </w:tc>
        <w:tc>
          <w:tcPr>
            <w:tcW w:type="dxa" w:w="5760"/>
            <w:vAlign w:val="center"/>
          </w:tcPr>
          <w:p>
            <w:r/>
            <w:r>
              <w:rPr>
                <w:rFonts w:ascii="Arial" w:hAnsi="Arial"/>
                <w:b w:val="0"/>
                <w:sz w:val="15"/>
              </w:rPr>
              <w:t>Before request workflow production rollout.</w:t>
            </w:r>
          </w:p>
        </w:tc>
      </w:tr>
    </w:tbl>
    <w:p/>
    <w:p>
      <w:pPr>
        <w:pStyle w:val="Heading1"/>
      </w:pPr>
      <w:r>
        <w:t>63. Current External-Channel Implementation References</w:t>
      </w:r>
    </w:p>
    <w:p>
      <w:r>
        <w:t>External APIs and policies change. The implementation team must re-check official documentation when enabling a connector. These URLs are implementation references, not static product guarantees.</w:t>
      </w:r>
    </w:p>
    <w:p>
      <w:pPr>
        <w:pStyle w:val="ListBullet"/>
        <w:spacing w:after="30"/>
      </w:pPr>
      <w:r>
        <w:t>Google Data Manager API: https://developers.google.com/data-manager/api</w:t>
      </w:r>
    </w:p>
    <w:p>
      <w:pPr>
        <w:pStyle w:val="ListBullet"/>
        <w:spacing w:after="30"/>
      </w:pPr>
      <w:r>
        <w:t>Google Customer Match policy: https://support.google.com/google-ads/answer/6299717</w:t>
      </w:r>
    </w:p>
    <w:p>
      <w:pPr>
        <w:pStyle w:val="ListBullet"/>
        <w:spacing w:after="30"/>
      </w:pPr>
      <w:r>
        <w:t>Google customer data policies: https://support.google.com/google-ads/answer/7475709</w:t>
      </w:r>
    </w:p>
    <w:p>
      <w:pPr>
        <w:pStyle w:val="ListBullet"/>
        <w:spacing w:after="30"/>
      </w:pPr>
      <w:r>
        <w:t>Google customer matching process: https://support.google.com/google-ads/answer/7474263</w:t>
      </w:r>
    </w:p>
    <w:p>
      <w:pPr>
        <w:pStyle w:val="ListBullet"/>
        <w:spacing w:after="30"/>
      </w:pPr>
      <w:r>
        <w:t>Meta Customer List Custom Audiences Terms: https://www.facebook.com/legal/terms/customaudience</w:t>
      </w:r>
    </w:p>
    <w:p>
      <w:pPr>
        <w:pStyle w:val="ListBullet"/>
        <w:spacing w:after="30"/>
      </w:pPr>
      <w:r>
        <w:t>Meta Advantage+ audience documentation: https://www.facebook.com/business/ads/meta-advantage-plus/audience</w:t>
      </w:r>
    </w:p>
    <w:tbl>
      <w:tblPr>
        <w:tblW w:type="auto" w:w="0"/>
        <w:jc w:val="center"/>
        <w:tblLook w:firstColumn="1" w:firstRow="1" w:lastColumn="0" w:lastRow="0" w:noHBand="0" w:noVBand="1" w:val="04A0"/>
      </w:tblPr>
      <w:tblGrid>
        <w:gridCol w:w="10454"/>
      </w:tblGrid>
      <w:tr>
        <w:tc>
          <w:tcPr>
            <w:tcW w:type="dxa" w:w="10454"/>
            <w:shd w:fill="FFF7ED"/>
          </w:tcPr>
          <w:p>
            <w:r>
              <w:rPr>
                <w:rFonts w:ascii="Arial" w:hAnsi="Arial"/>
                <w:b/>
                <w:color w:val="C2410C"/>
                <w:sz w:val="20"/>
              </w:rPr>
              <w:t>Implementation rule</w:t>
            </w:r>
          </w:p>
          <w:p>
            <w:r>
              <w:rPr>
                <w:rFonts w:ascii="Arial" w:hAnsi="Arial"/>
                <w:sz w:val="18"/>
              </w:rPr>
              <w:t>Partner-owned website/app activation is the dependable MVP path. Meta and Google are optional adapters with explicit eligibility gates. Do not let external-platform policy or account access become a dependency for the core MVP.</w:t>
            </w:r>
          </w:p>
        </w:tc>
      </w:tr>
    </w:tbl>
    <w:p/>
    <w:p>
      <w:r>
        <w:br w:type="page"/>
      </w:r>
    </w:p>
    <w:p>
      <w:pPr>
        <w:pStyle w:val="Heading1"/>
      </w:pPr>
      <w:r>
        <w:t>Developer Handoff Summary</w:t>
      </w:r>
    </w:p>
    <w:p>
      <w:r>
        <w:t>A developer starting the MVP should be able to trace every major action through four layers: UI action -&gt; Oolix control-plane API/state -&gt; Partner Agent/local data-plane action -&gt; outcome/reporting. The product must remain functional even when no external ad channel is connected.</w:t>
      </w:r>
    </w:p>
    <w:p>
      <w:pPr>
        <w:pStyle w:val="ListBullet"/>
        <w:spacing w:after="30"/>
      </w:pPr>
      <w:r>
        <w:t>Build Oolix Cloud, Partner Agent and Web AdSlot first.</w:t>
      </w:r>
    </w:p>
    <w:p>
      <w:pPr>
        <w:pStyle w:val="ListBullet"/>
        <w:spacing w:after="30"/>
      </w:pPr>
      <w:r>
        <w:t>Use Partner-published, pre-computed audiences rather than arbitrary raw Buyer filters.</w:t>
      </w:r>
    </w:p>
    <w:p>
      <w:pPr>
        <w:pStyle w:val="ListBullet"/>
        <w:spacing w:after="30"/>
      </w:pPr>
      <w:r>
        <w:t>Keep customer membership and user-level ad decisions inside the Data Partner.</w:t>
      </w:r>
    </w:p>
    <w:p>
      <w:pPr>
        <w:pStyle w:val="ListBullet"/>
        <w:spacing w:after="30"/>
      </w:pPr>
      <w:r>
        <w:t>Create one activation per Partner/channel; never hide multi-partner complexity in one status field.</w:t>
      </w:r>
    </w:p>
    <w:p>
      <w:pPr>
        <w:pStyle w:val="ListBullet"/>
        <w:spacing w:after="30"/>
      </w:pPr>
      <w:r>
        <w:t>Make Partner approval, signatures, policy and kill switches first-class architecture.</w:t>
      </w:r>
    </w:p>
    <w:p>
      <w:pPr>
        <w:pStyle w:val="ListBullet"/>
        <w:spacing w:after="30"/>
      </w:pPr>
      <w:r>
        <w:t>Use aggregate reporting and opaque attribution tokens.</w:t>
      </w:r>
    </w:p>
    <w:p>
      <w:pPr>
        <w:pStyle w:val="ListBullet"/>
        <w:spacing w:after="30"/>
      </w:pPr>
      <w:r>
        <w:t>Add Meta/Google only behind delegated account connection and eligibility checks.</w:t>
      </w:r>
    </w:p>
    <w:p>
      <w:pPr>
        <w:pStyle w:val="ListBullet"/>
        <w:spacing w:after="30"/>
      </w:pPr>
      <w:r>
        <w:t>Add TEE later for cross-partner computation, not normal single-Partner ad serving.</w:t>
      </w:r>
    </w:p>
    <w:p>
      <w:r>
        <w:br w:type="page"/>
      </w:r>
    </w:p>
    <w:p>
      <w:pPr>
        <w:pStyle w:val="Heading1"/>
      </w:pPr>
      <w:r>
        <w:t>PART III - Canonical Developer Implementation Contract</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Canonicality rule</w:t>
            </w:r>
          </w:p>
          <w:p>
            <w:pPr>
              <w:spacing w:after="0"/>
            </w:pPr>
            <w:r>
              <w:rPr>
                <w:rFonts w:ascii="Arial" w:hAnsi="Arial"/>
                <w:sz w:val="17"/>
              </w:rPr>
              <w:t>Sections 64 onward are the authoritative implementation contract and supersede earlier duplicate or conflicting details in Parts I-II. Where an endpoint path, role name, schema field, state, build order, retry policy or deployment choice differs earlier in this document, use Part III.</w:t>
            </w:r>
          </w:p>
        </w:tc>
      </w:tr>
    </w:tbl>
    <w:p/>
    <w:p>
      <w:r>
        <w:t>This Part closes the implementation gaps identified during developer review: local setup, exact API examples, SDK packaging, Partner Agent deployment, creative storage, attribution tokens, reach buckets, migration-ready database guidance, queue/DLQ behavior, workload authentication, testing/CI, monitoring, performance budgets, retention/compliance, network semantics, pacing, placement rules, logging, offboarding, disaster recovery and launch readiness.</w:t>
      </w:r>
    </w:p>
    <w:p>
      <w:pPr>
        <w:pStyle w:val="Heading1"/>
      </w:pPr>
      <w:r>
        <w:t>64. Canonical Technology Baseline and Repository Prerequisites</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shd w:fill="1B4363"/>
          </w:tcPr>
          <w:p>
            <w:pPr>
              <w:spacing w:after="0"/>
            </w:pPr>
            <w:r/>
            <w:r>
              <w:rPr>
                <w:rFonts w:ascii="Arial" w:hAnsi="Arial"/>
                <w:b/>
                <w:color w:val="FFFFFF"/>
                <w:sz w:val="16"/>
              </w:rPr>
              <w:t>Component</w:t>
            </w:r>
          </w:p>
        </w:tc>
        <w:tc>
          <w:tcPr>
            <w:tcW w:type="dxa" w:w="3456"/>
            <w:vAlign w:val="center"/>
            <w:shd w:fill="1B4363"/>
          </w:tcPr>
          <w:p>
            <w:pPr>
              <w:spacing w:after="0"/>
            </w:pPr>
            <w:r/>
            <w:r>
              <w:rPr>
                <w:rFonts w:ascii="Arial" w:hAnsi="Arial"/>
                <w:b/>
                <w:color w:val="FFFFFF"/>
                <w:sz w:val="16"/>
              </w:rPr>
              <w:t>Canonical MVP choice</w:t>
            </w:r>
          </w:p>
        </w:tc>
        <w:tc>
          <w:tcPr>
            <w:tcW w:type="dxa" w:w="4320"/>
            <w:vAlign w:val="center"/>
            <w:shd w:fill="1B4363"/>
          </w:tcPr>
          <w:p>
            <w:pPr>
              <w:spacing w:after="0"/>
            </w:pPr>
            <w:r/>
            <w:r>
              <w:rPr>
                <w:rFonts w:ascii="Arial" w:hAnsi="Arial"/>
                <w:b/>
                <w:color w:val="FFFFFF"/>
                <w:sz w:val="16"/>
              </w:rPr>
              <w:t>Minimum / policy</w:t>
            </w:r>
          </w:p>
        </w:tc>
      </w:tr>
      <w:tr>
        <w:tc>
          <w:tcPr>
            <w:tcW w:type="dxa" w:w="2160"/>
            <w:vAlign w:val="center"/>
          </w:tcPr>
          <w:p>
            <w:pPr>
              <w:spacing w:after="0"/>
            </w:pPr>
            <w:r/>
            <w:r>
              <w:rPr>
                <w:rFonts w:ascii="Arial" w:hAnsi="Arial"/>
                <w:b w:val="0"/>
                <w:sz w:val="15"/>
              </w:rPr>
              <w:t>Node.js</w:t>
            </w:r>
          </w:p>
        </w:tc>
        <w:tc>
          <w:tcPr>
            <w:tcW w:type="dxa" w:w="3456"/>
            <w:vAlign w:val="center"/>
          </w:tcPr>
          <w:p>
            <w:pPr>
              <w:spacing w:after="0"/>
            </w:pPr>
            <w:r/>
            <w:r>
              <w:rPr>
                <w:rFonts w:ascii="Arial" w:hAnsi="Arial"/>
                <w:b w:val="0"/>
                <w:sz w:val="15"/>
              </w:rPr>
              <w:t>24.x LTS</w:t>
            </w:r>
          </w:p>
        </w:tc>
        <w:tc>
          <w:tcPr>
            <w:tcW w:type="dxa" w:w="4320"/>
            <w:vAlign w:val="center"/>
          </w:tcPr>
          <w:p>
            <w:pPr>
              <w:spacing w:after="0"/>
            </w:pPr>
            <w:r/>
            <w:r>
              <w:rPr>
                <w:rFonts w:ascii="Arial" w:hAnsi="Arial"/>
                <w:b w:val="0"/>
                <w:sz w:val="15"/>
              </w:rPr>
              <w:t>Pin exact patch in .nvmrc and CI image.</w:t>
            </w:r>
          </w:p>
        </w:tc>
      </w:tr>
      <w:tr>
        <w:tc>
          <w:tcPr>
            <w:tcW w:type="dxa" w:w="2160"/>
            <w:vAlign w:val="center"/>
          </w:tcPr>
          <w:p>
            <w:pPr>
              <w:spacing w:after="0"/>
            </w:pPr>
            <w:r/>
            <w:r>
              <w:rPr>
                <w:rFonts w:ascii="Arial" w:hAnsi="Arial"/>
                <w:b w:val="0"/>
                <w:sz w:val="15"/>
              </w:rPr>
              <w:t>Package manager</w:t>
            </w:r>
          </w:p>
        </w:tc>
        <w:tc>
          <w:tcPr>
            <w:tcW w:type="dxa" w:w="3456"/>
            <w:vAlign w:val="center"/>
          </w:tcPr>
          <w:p>
            <w:pPr>
              <w:spacing w:after="0"/>
            </w:pPr>
            <w:r/>
            <w:r>
              <w:rPr>
                <w:rFonts w:ascii="Arial" w:hAnsi="Arial"/>
                <w:b w:val="0"/>
                <w:sz w:val="15"/>
              </w:rPr>
              <w:t>pnpm 10.x</w:t>
            </w:r>
          </w:p>
        </w:tc>
        <w:tc>
          <w:tcPr>
            <w:tcW w:type="dxa" w:w="4320"/>
            <w:vAlign w:val="center"/>
          </w:tcPr>
          <w:p>
            <w:pPr>
              <w:spacing w:after="0"/>
            </w:pPr>
            <w:r/>
            <w:r>
              <w:rPr>
                <w:rFonts w:ascii="Arial" w:hAnsi="Arial"/>
                <w:b w:val="0"/>
                <w:sz w:val="15"/>
              </w:rPr>
              <w:t>Use workspace lockfile; no floating dependencies.</w:t>
            </w:r>
          </w:p>
        </w:tc>
      </w:tr>
      <w:tr>
        <w:tc>
          <w:tcPr>
            <w:tcW w:type="dxa" w:w="2160"/>
            <w:vAlign w:val="center"/>
          </w:tcPr>
          <w:p>
            <w:pPr>
              <w:spacing w:after="0"/>
            </w:pPr>
            <w:r/>
            <w:r>
              <w:rPr>
                <w:rFonts w:ascii="Arial" w:hAnsi="Arial"/>
                <w:b w:val="0"/>
                <w:sz w:val="15"/>
              </w:rPr>
              <w:t>Frontend</w:t>
            </w:r>
          </w:p>
        </w:tc>
        <w:tc>
          <w:tcPr>
            <w:tcW w:type="dxa" w:w="3456"/>
            <w:vAlign w:val="center"/>
          </w:tcPr>
          <w:p>
            <w:pPr>
              <w:spacing w:after="0"/>
            </w:pPr>
            <w:r/>
            <w:r>
              <w:rPr>
                <w:rFonts w:ascii="Arial" w:hAnsi="Arial"/>
                <w:b w:val="0"/>
                <w:sz w:val="15"/>
              </w:rPr>
              <w:t>Next.js + React + TypeScript</w:t>
            </w:r>
          </w:p>
        </w:tc>
        <w:tc>
          <w:tcPr>
            <w:tcW w:type="dxa" w:w="4320"/>
            <w:vAlign w:val="center"/>
          </w:tcPr>
          <w:p>
            <w:pPr>
              <w:spacing w:after="0"/>
            </w:pPr>
            <w:r/>
            <w:r>
              <w:rPr>
                <w:rFonts w:ascii="Arial" w:hAnsi="Arial"/>
                <w:b w:val="0"/>
                <w:sz w:val="15"/>
              </w:rPr>
              <w:t>Strict TypeScript; server-side auth checks remain in API.</w:t>
            </w:r>
          </w:p>
        </w:tc>
      </w:tr>
      <w:tr>
        <w:tc>
          <w:tcPr>
            <w:tcW w:type="dxa" w:w="2160"/>
            <w:vAlign w:val="center"/>
          </w:tcPr>
          <w:p>
            <w:pPr>
              <w:spacing w:after="0"/>
            </w:pPr>
            <w:r/>
            <w:r>
              <w:rPr>
                <w:rFonts w:ascii="Arial" w:hAnsi="Arial"/>
                <w:b w:val="0"/>
                <w:sz w:val="15"/>
              </w:rPr>
              <w:t>Cloud backend</w:t>
            </w:r>
          </w:p>
        </w:tc>
        <w:tc>
          <w:tcPr>
            <w:tcW w:type="dxa" w:w="3456"/>
            <w:vAlign w:val="center"/>
          </w:tcPr>
          <w:p>
            <w:pPr>
              <w:spacing w:after="0"/>
            </w:pPr>
            <w:r/>
            <w:r>
              <w:rPr>
                <w:rFonts w:ascii="Arial" w:hAnsi="Arial"/>
                <w:b w:val="0"/>
                <w:sz w:val="15"/>
              </w:rPr>
              <w:t>NestJS + TypeScript</w:t>
            </w:r>
          </w:p>
        </w:tc>
        <w:tc>
          <w:tcPr>
            <w:tcW w:type="dxa" w:w="4320"/>
            <w:vAlign w:val="center"/>
          </w:tcPr>
          <w:p>
            <w:pPr>
              <w:spacing w:after="0"/>
            </w:pPr>
            <w:r/>
            <w:r>
              <w:rPr>
                <w:rFonts w:ascii="Arial" w:hAnsi="Arial"/>
                <w:b w:val="0"/>
                <w:sz w:val="15"/>
              </w:rPr>
              <w:t>Start modular monolith + worker process.</w:t>
            </w:r>
          </w:p>
        </w:tc>
      </w:tr>
      <w:tr>
        <w:tc>
          <w:tcPr>
            <w:tcW w:type="dxa" w:w="2160"/>
            <w:vAlign w:val="center"/>
          </w:tcPr>
          <w:p>
            <w:pPr>
              <w:spacing w:after="0"/>
            </w:pPr>
            <w:r/>
            <w:r>
              <w:rPr>
                <w:rFonts w:ascii="Arial" w:hAnsi="Arial"/>
                <w:b w:val="0"/>
                <w:sz w:val="15"/>
              </w:rPr>
              <w:t>PostgreSQL</w:t>
            </w:r>
          </w:p>
        </w:tc>
        <w:tc>
          <w:tcPr>
            <w:tcW w:type="dxa" w:w="3456"/>
            <w:vAlign w:val="center"/>
          </w:tcPr>
          <w:p>
            <w:pPr>
              <w:spacing w:after="0"/>
            </w:pPr>
            <w:r/>
            <w:r>
              <w:rPr>
                <w:rFonts w:ascii="Arial" w:hAnsi="Arial"/>
                <w:b w:val="0"/>
                <w:sz w:val="15"/>
              </w:rPr>
              <w:t>16.x</w:t>
            </w:r>
          </w:p>
        </w:tc>
        <w:tc>
          <w:tcPr>
            <w:tcW w:type="dxa" w:w="4320"/>
            <w:vAlign w:val="center"/>
          </w:tcPr>
          <w:p>
            <w:pPr>
              <w:spacing w:after="0"/>
            </w:pPr>
            <w:r/>
            <w:r>
              <w:rPr>
                <w:rFonts w:ascii="Arial" w:hAnsi="Arial"/>
                <w:b w:val="0"/>
                <w:sz w:val="15"/>
              </w:rPr>
              <w:t>Managed production DB with PITR.</w:t>
            </w:r>
          </w:p>
        </w:tc>
      </w:tr>
      <w:tr>
        <w:tc>
          <w:tcPr>
            <w:tcW w:type="dxa" w:w="2160"/>
            <w:vAlign w:val="center"/>
          </w:tcPr>
          <w:p>
            <w:pPr>
              <w:spacing w:after="0"/>
            </w:pPr>
            <w:r/>
            <w:r>
              <w:rPr>
                <w:rFonts w:ascii="Arial" w:hAnsi="Arial"/>
                <w:b w:val="0"/>
                <w:sz w:val="15"/>
              </w:rPr>
              <w:t>Redis</w:t>
            </w:r>
          </w:p>
        </w:tc>
        <w:tc>
          <w:tcPr>
            <w:tcW w:type="dxa" w:w="3456"/>
            <w:vAlign w:val="center"/>
          </w:tcPr>
          <w:p>
            <w:pPr>
              <w:spacing w:after="0"/>
            </w:pPr>
            <w:r/>
            <w:r>
              <w:rPr>
                <w:rFonts w:ascii="Arial" w:hAnsi="Arial"/>
                <w:b w:val="0"/>
                <w:sz w:val="15"/>
              </w:rPr>
              <w:t>7.x</w:t>
            </w:r>
          </w:p>
        </w:tc>
        <w:tc>
          <w:tcPr>
            <w:tcW w:type="dxa" w:w="4320"/>
            <w:vAlign w:val="center"/>
          </w:tcPr>
          <w:p>
            <w:pPr>
              <w:spacing w:after="0"/>
            </w:pPr>
            <w:r/>
            <w:r>
              <w:rPr>
                <w:rFonts w:ascii="Arial" w:hAnsi="Arial"/>
                <w:b w:val="0"/>
                <w:sz w:val="15"/>
              </w:rPr>
              <w:t>Cloud cache/rate-limit store; Partner-local Redis required only for multi-replica Agent state.</w:t>
            </w:r>
          </w:p>
        </w:tc>
      </w:tr>
      <w:tr>
        <w:tc>
          <w:tcPr>
            <w:tcW w:type="dxa" w:w="2160"/>
            <w:vAlign w:val="center"/>
          </w:tcPr>
          <w:p>
            <w:pPr>
              <w:spacing w:after="0"/>
            </w:pPr>
            <w:r/>
            <w:r>
              <w:rPr>
                <w:rFonts w:ascii="Arial" w:hAnsi="Arial"/>
                <w:b w:val="0"/>
                <w:sz w:val="15"/>
              </w:rPr>
              <w:t>Partner Agent</w:t>
            </w:r>
          </w:p>
        </w:tc>
        <w:tc>
          <w:tcPr>
            <w:tcW w:type="dxa" w:w="3456"/>
            <w:vAlign w:val="center"/>
          </w:tcPr>
          <w:p>
            <w:pPr>
              <w:spacing w:after="0"/>
            </w:pPr>
            <w:r/>
            <w:r>
              <w:rPr>
                <w:rFonts w:ascii="Arial" w:hAnsi="Arial"/>
                <w:b w:val="0"/>
                <w:sz w:val="15"/>
              </w:rPr>
              <w:t>Go 1.24+</w:t>
            </w:r>
          </w:p>
        </w:tc>
        <w:tc>
          <w:tcPr>
            <w:tcW w:type="dxa" w:w="4320"/>
            <w:vAlign w:val="center"/>
          </w:tcPr>
          <w:p>
            <w:pPr>
              <w:spacing w:after="0"/>
            </w:pPr>
            <w:r/>
            <w:r>
              <w:rPr>
                <w:rFonts w:ascii="Arial" w:hAnsi="Arial"/>
                <w:b w:val="0"/>
                <w:sz w:val="15"/>
              </w:rPr>
              <w:t>Single container/binary; exact patch pinned in go.mod/toolchain.</w:t>
            </w:r>
          </w:p>
        </w:tc>
      </w:tr>
      <w:tr>
        <w:tc>
          <w:tcPr>
            <w:tcW w:type="dxa" w:w="2160"/>
            <w:vAlign w:val="center"/>
          </w:tcPr>
          <w:p>
            <w:pPr>
              <w:spacing w:after="0"/>
            </w:pPr>
            <w:r/>
            <w:r>
              <w:rPr>
                <w:rFonts w:ascii="Arial" w:hAnsi="Arial"/>
                <w:b w:val="0"/>
                <w:sz w:val="15"/>
              </w:rPr>
              <w:t>Queue</w:t>
            </w:r>
          </w:p>
        </w:tc>
        <w:tc>
          <w:tcPr>
            <w:tcW w:type="dxa" w:w="3456"/>
            <w:vAlign w:val="center"/>
          </w:tcPr>
          <w:p>
            <w:pPr>
              <w:spacing w:after="0"/>
            </w:pPr>
            <w:r/>
            <w:r>
              <w:rPr>
                <w:rFonts w:ascii="Arial" w:hAnsi="Arial"/>
                <w:b w:val="0"/>
                <w:sz w:val="15"/>
              </w:rPr>
              <w:t>AWS SQS Standard + DLQ</w:t>
            </w:r>
          </w:p>
        </w:tc>
        <w:tc>
          <w:tcPr>
            <w:tcW w:type="dxa" w:w="4320"/>
            <w:vAlign w:val="center"/>
          </w:tcPr>
          <w:p>
            <w:pPr>
              <w:spacing w:after="0"/>
            </w:pPr>
            <w:r/>
            <w:r>
              <w:rPr>
                <w:rFonts w:ascii="Arial" w:hAnsi="Arial"/>
                <w:b w:val="0"/>
                <w:sz w:val="15"/>
              </w:rPr>
              <w:t>LocalStack for local development.</w:t>
            </w:r>
          </w:p>
        </w:tc>
      </w:tr>
      <w:tr>
        <w:tc>
          <w:tcPr>
            <w:tcW w:type="dxa" w:w="2160"/>
            <w:vAlign w:val="center"/>
          </w:tcPr>
          <w:p>
            <w:pPr>
              <w:spacing w:after="0"/>
            </w:pPr>
            <w:r/>
            <w:r>
              <w:rPr>
                <w:rFonts w:ascii="Arial" w:hAnsi="Arial"/>
                <w:b w:val="0"/>
                <w:sz w:val="15"/>
              </w:rPr>
              <w:t>Object storage</w:t>
            </w:r>
          </w:p>
        </w:tc>
        <w:tc>
          <w:tcPr>
            <w:tcW w:type="dxa" w:w="3456"/>
            <w:vAlign w:val="center"/>
          </w:tcPr>
          <w:p>
            <w:pPr>
              <w:spacing w:after="0"/>
            </w:pPr>
            <w:r/>
            <w:r>
              <w:rPr>
                <w:rFonts w:ascii="Arial" w:hAnsi="Arial"/>
                <w:b w:val="0"/>
                <w:sz w:val="15"/>
              </w:rPr>
              <w:t>S3-compatible + CDN</w:t>
            </w:r>
          </w:p>
        </w:tc>
        <w:tc>
          <w:tcPr>
            <w:tcW w:type="dxa" w:w="4320"/>
            <w:vAlign w:val="center"/>
          </w:tcPr>
          <w:p>
            <w:pPr>
              <w:spacing w:after="0"/>
            </w:pPr>
            <w:r/>
            <w:r>
              <w:rPr>
                <w:rFonts w:ascii="Arial" w:hAnsi="Arial"/>
                <w:b w:val="0"/>
                <w:sz w:val="15"/>
              </w:rPr>
              <w:t>LocalStack S3 locally.</w:t>
            </w:r>
          </w:p>
        </w:tc>
      </w:tr>
      <w:tr>
        <w:tc>
          <w:tcPr>
            <w:tcW w:type="dxa" w:w="2160"/>
            <w:vAlign w:val="center"/>
          </w:tcPr>
          <w:p>
            <w:pPr>
              <w:spacing w:after="0"/>
            </w:pPr>
            <w:r/>
            <w:r>
              <w:rPr>
                <w:rFonts w:ascii="Arial" w:hAnsi="Arial"/>
                <w:b w:val="0"/>
                <w:sz w:val="15"/>
              </w:rPr>
              <w:t>Migrations</w:t>
            </w:r>
          </w:p>
        </w:tc>
        <w:tc>
          <w:tcPr>
            <w:tcW w:type="dxa" w:w="3456"/>
            <w:vAlign w:val="center"/>
          </w:tcPr>
          <w:p>
            <w:pPr>
              <w:spacing w:after="0"/>
            </w:pPr>
            <w:r/>
            <w:r>
              <w:rPr>
                <w:rFonts w:ascii="Arial" w:hAnsi="Arial"/>
                <w:b w:val="0"/>
                <w:sz w:val="15"/>
              </w:rPr>
              <w:t>Prisma Migrate</w:t>
            </w:r>
          </w:p>
        </w:tc>
        <w:tc>
          <w:tcPr>
            <w:tcW w:type="dxa" w:w="4320"/>
            <w:vAlign w:val="center"/>
          </w:tcPr>
          <w:p>
            <w:pPr>
              <w:spacing w:after="0"/>
            </w:pPr>
            <w:r/>
            <w:r>
              <w:rPr>
                <w:rFonts w:ascii="Arial" w:hAnsi="Arial"/>
                <w:b w:val="0"/>
                <w:sz w:val="15"/>
              </w:rPr>
              <w:t>SQL-reviewed migrations checked into repository.</w:t>
            </w:r>
          </w:p>
        </w:tc>
      </w:tr>
      <w:tr>
        <w:tc>
          <w:tcPr>
            <w:tcW w:type="dxa" w:w="2160"/>
            <w:vAlign w:val="center"/>
          </w:tcPr>
          <w:p>
            <w:pPr>
              <w:spacing w:after="0"/>
            </w:pPr>
            <w:r/>
            <w:r>
              <w:rPr>
                <w:rFonts w:ascii="Arial" w:hAnsi="Arial"/>
                <w:b w:val="0"/>
                <w:sz w:val="15"/>
              </w:rPr>
              <w:t>Auth</w:t>
            </w:r>
          </w:p>
        </w:tc>
        <w:tc>
          <w:tcPr>
            <w:tcW w:type="dxa" w:w="3456"/>
            <w:vAlign w:val="center"/>
          </w:tcPr>
          <w:p>
            <w:pPr>
              <w:spacing w:after="0"/>
            </w:pPr>
            <w:r/>
            <w:r>
              <w:rPr>
                <w:rFonts w:ascii="Arial" w:hAnsi="Arial"/>
                <w:b w:val="0"/>
                <w:sz w:val="15"/>
              </w:rPr>
              <w:t>OIDC</w:t>
            </w:r>
          </w:p>
        </w:tc>
        <w:tc>
          <w:tcPr>
            <w:tcW w:type="dxa" w:w="4320"/>
            <w:vAlign w:val="center"/>
          </w:tcPr>
          <w:p>
            <w:pPr>
              <w:spacing w:after="0"/>
            </w:pPr>
            <w:r/>
            <w:r>
              <w:rPr>
                <w:rFonts w:ascii="Arial" w:hAnsi="Arial"/>
                <w:b w:val="0"/>
                <w:sz w:val="15"/>
              </w:rPr>
              <w:t>Keycloak locally; managed OIDC provider in hosted environments.</w:t>
            </w:r>
          </w:p>
        </w:tc>
      </w:tr>
      <w:tr>
        <w:tc>
          <w:tcPr>
            <w:tcW w:type="dxa" w:w="2160"/>
            <w:vAlign w:val="center"/>
          </w:tcPr>
          <w:p>
            <w:pPr>
              <w:spacing w:after="0"/>
            </w:pPr>
            <w:r/>
            <w:r>
              <w:rPr>
                <w:rFonts w:ascii="Arial" w:hAnsi="Arial"/>
                <w:b w:val="0"/>
                <w:sz w:val="15"/>
              </w:rPr>
              <w:t>Observability</w:t>
            </w:r>
          </w:p>
        </w:tc>
        <w:tc>
          <w:tcPr>
            <w:tcW w:type="dxa" w:w="3456"/>
            <w:vAlign w:val="center"/>
          </w:tcPr>
          <w:p>
            <w:pPr>
              <w:spacing w:after="0"/>
            </w:pPr>
            <w:r/>
            <w:r>
              <w:rPr>
                <w:rFonts w:ascii="Arial" w:hAnsi="Arial"/>
                <w:b w:val="0"/>
                <w:sz w:val="15"/>
              </w:rPr>
              <w:t>OpenTelemetry</w:t>
            </w:r>
          </w:p>
        </w:tc>
        <w:tc>
          <w:tcPr>
            <w:tcW w:type="dxa" w:w="4320"/>
            <w:vAlign w:val="center"/>
          </w:tcPr>
          <w:p>
            <w:pPr>
              <w:spacing w:after="0"/>
            </w:pPr>
            <w:r/>
            <w:r>
              <w:rPr>
                <w:rFonts w:ascii="Arial" w:hAnsi="Arial"/>
                <w:b w:val="0"/>
                <w:sz w:val="15"/>
              </w:rPr>
              <w:t>Structured JSON logs + metrics + traces.</w:t>
            </w:r>
          </w:p>
        </w:tc>
      </w:tr>
    </w:tbl>
    <w:p/>
    <w:p>
      <w:pPr>
        <w:pStyle w:val="ListBullet"/>
        <w:spacing w:after="40"/>
      </w:pPr>
      <w:r>
        <w:t>No Lambda/serverless cold-start dependency in the initial ad-control path; use long-running API/worker containers.</w:t>
      </w:r>
    </w:p>
    <w:p>
      <w:pPr>
        <w:pStyle w:val="ListBullet"/>
        <w:spacing w:after="40"/>
      </w:pPr>
      <w:r>
        <w:t>All versions are pinned in source control. Production upgrades occur through normal dependency/Agent rollout procedures.</w:t>
      </w:r>
    </w:p>
    <w:p>
      <w:pPr>
        <w:pStyle w:val="ListBullet"/>
        <w:spacing w:after="40"/>
      </w:pPr>
      <w:r>
        <w:t>The Partner-owned real-time decision path remains inside Partner infrastructure and is not dependent on the Oolix Cloud request latency.</w:t>
      </w:r>
    </w:p>
    <w:p>
      <w:pPr>
        <w:pStyle w:val="Heading1"/>
      </w:pPr>
      <w:r>
        <w:t>65. Developer Quickstart - Local Stack</w:t>
      </w:r>
    </w:p>
    <w:p>
      <w:pPr>
        <w:jc w:val="center"/>
      </w:pPr>
      <w:r>
        <w:drawing>
          <wp:inline xmlns:a="http://schemas.openxmlformats.org/drawingml/2006/main" xmlns:pic="http://schemas.openxmlformats.org/drawingml/2006/picture">
            <wp:extent cx="6126480" cy="2565382"/>
            <wp:docPr id="24" name="Picture 24"/>
            <wp:cNvGraphicFramePr>
              <a:graphicFrameLocks noChangeAspect="1"/>
            </wp:cNvGraphicFramePr>
            <a:graphic>
              <a:graphicData uri="http://schemas.openxmlformats.org/drawingml/2006/picture">
                <pic:pic>
                  <pic:nvPicPr>
                    <pic:cNvPr id="0" name="local_dev.png"/>
                    <pic:cNvPicPr/>
                  </pic:nvPicPr>
                  <pic:blipFill>
                    <a:blip r:embed="rId31"/>
                    <a:stretch>
                      <a:fillRect/>
                    </a:stretch>
                  </pic:blipFill>
                  <pic:spPr>
                    <a:xfrm>
                      <a:off x="0" y="0"/>
                      <a:ext cx="6126480" cy="2565382"/>
                    </a:xfrm>
                    <a:prstGeom prst="rect"/>
                  </pic:spPr>
                </pic:pic>
              </a:graphicData>
            </a:graphic>
          </wp:inline>
        </w:drawing>
      </w:r>
    </w:p>
    <w:p>
      <w:pPr>
        <w:jc w:val="center"/>
      </w:pPr>
      <w:r>
        <w:rPr>
          <w:i/>
          <w:color w:val="4B5563"/>
          <w:sz w:val="15"/>
        </w:rPr>
        <w:t>Figure 24. Canonical local development topology.</w:t>
      </w:r>
    </w:p>
    <w:p>
      <w:pPr>
        <w:spacing w:before="40" w:after="80"/>
        <w:ind w:left="259" w:right="144"/>
        <w:shd w:fill="F3F4F6"/>
      </w:pPr>
      <w:r>
        <w:rPr>
          <w:rFonts w:ascii="Courier New" w:hAnsi="Courier New"/>
          <w:sz w:val="14"/>
        </w:rPr>
        <w:t># 1. Clone</w:t>
        <w:br/>
        <w:t>git clone &lt;repo&gt;</w:t>
        <w:br/>
        <w:t>cd oolix</w:t>
        <w:br/>
        <w:br/>
        <w:t># 2. Install toolchains</w:t>
        <w:br/>
        <w:t>corepack enable</w:t>
        <w:br/>
        <w:t>pnpm install</w:t>
        <w:br/>
        <w:br/>
        <w:t># 3. Create configuration</w:t>
        <w:br/>
        <w:t>cp .env.example .env</w:t>
        <w:br/>
        <w:t>cp partner-agent/config.example.yaml partner-agent/config.local.yaml</w:t>
        <w:br/>
        <w:br/>
        <w:t># 4. Start dependencies</w:t>
        <w:br/>
        <w:t>docker compose up -d postgres redis localstack keycloak</w:t>
        <w:br/>
        <w:br/>
        <w:t># 5. Database</w:t>
        <w:br/>
        <w:t>pnpm db:migrate</w:t>
        <w:br/>
        <w:t>pnpm db:seed</w:t>
        <w:br/>
        <w:br/>
        <w:t># 6. Start Oolix services</w:t>
        <w:br/>
        <w:t>pnpm dev:web</w:t>
        <w:br/>
        <w:t>pnpm dev:api</w:t>
        <w:br/>
        <w:t>pnpm dev:worker</w:t>
        <w:br/>
        <w:br/>
        <w:t># 7. Start mock Partner stack</w:t>
        <w:br/>
        <w:t>pnpm dev:mock-partner</w:t>
        <w:br/>
        <w:t>go run ./partner-agent/cmd/agent --config ./partner-agent/config.local.yaml</w:t>
        <w:br/>
        <w:br/>
        <w:t># 8. Open</w:t>
        <w:br/>
        <w:t># Oolix portal: http://localhost:3000</w:t>
        <w:br/>
        <w:t># API health:   http://localhost:4000/health</w:t>
        <w:br/>
        <w:t># Agent health: http://localhost:8082/healthz</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Seed users</w:t>
            </w:r>
          </w:p>
          <w:p>
            <w:pPr>
              <w:spacing w:after="0"/>
            </w:pPr>
            <w:r>
              <w:rPr>
                <w:rFonts w:ascii="Arial" w:hAnsi="Arial"/>
                <w:sz w:val="17"/>
              </w:rPr>
              <w:t>Local-only seed credentials must never exist in shared/staging/production. Example dev identities: buyer.admin@example.test, partner.admin@example.test, partner.approver@example.test, network.admin@example.test. Authentication is provided by local Keycloak; seed script creates matching Oolix org/membership rows.</w:t>
            </w:r>
          </w:p>
        </w:tc>
      </w:tr>
    </w:tbl>
    <w:p/>
    <w:p>
      <w:pPr>
        <w:pStyle w:val="Heading2"/>
      </w:pPr>
      <w:r>
        <w:t>65.1 Environment variables</w:t>
      </w:r>
    </w:p>
    <w:tbl>
      <w:tblPr>
        <w:tblStyle w:val="TableGrid"/>
        <w:tblW w:type="auto" w:w="0"/>
        <w:jc w:val="center"/>
        <w:tblLook w:firstColumn="1" w:firstRow="1" w:lastColumn="0" w:lastRow="0" w:noHBand="0" w:noVBand="1" w:val="04A0"/>
      </w:tblPr>
      <w:tblGrid>
        <w:gridCol w:w="3485"/>
        <w:gridCol w:w="3485"/>
        <w:gridCol w:w="3485"/>
      </w:tblGrid>
      <w:tr>
        <w:tc>
          <w:tcPr>
            <w:tcW w:type="dxa" w:w="2880"/>
            <w:vAlign w:val="center"/>
            <w:shd w:fill="1B4363"/>
          </w:tcPr>
          <w:p>
            <w:pPr>
              <w:spacing w:after="0"/>
            </w:pPr>
            <w:r/>
            <w:r>
              <w:rPr>
                <w:rFonts w:ascii="Arial" w:hAnsi="Arial"/>
                <w:b/>
                <w:color w:val="FFFFFF"/>
                <w:sz w:val="16"/>
              </w:rPr>
              <w:t>Variable</w:t>
            </w:r>
          </w:p>
        </w:tc>
        <w:tc>
          <w:tcPr>
            <w:tcW w:type="dxa" w:w="4608"/>
            <w:vAlign w:val="center"/>
            <w:shd w:fill="1B4363"/>
          </w:tcPr>
          <w:p>
            <w:pPr>
              <w:spacing w:after="0"/>
            </w:pPr>
            <w:r/>
            <w:r>
              <w:rPr>
                <w:rFonts w:ascii="Arial" w:hAnsi="Arial"/>
                <w:b/>
                <w:color w:val="FFFFFF"/>
                <w:sz w:val="16"/>
              </w:rPr>
              <w:t>Example</w:t>
            </w:r>
          </w:p>
        </w:tc>
        <w:tc>
          <w:tcPr>
            <w:tcW w:type="dxa" w:w="2592"/>
            <w:vAlign w:val="center"/>
            <w:shd w:fill="1B4363"/>
          </w:tcPr>
          <w:p>
            <w:pPr>
              <w:spacing w:after="0"/>
            </w:pPr>
            <w:r/>
            <w:r>
              <w:rPr>
                <w:rFonts w:ascii="Arial" w:hAnsi="Arial"/>
                <w:b/>
                <w:color w:val="FFFFFF"/>
                <w:sz w:val="16"/>
              </w:rPr>
              <w:t>Required by</w:t>
            </w:r>
          </w:p>
        </w:tc>
      </w:tr>
      <w:tr>
        <w:tc>
          <w:tcPr>
            <w:tcW w:type="dxa" w:w="2880"/>
            <w:vAlign w:val="center"/>
          </w:tcPr>
          <w:p>
            <w:pPr>
              <w:spacing w:after="0"/>
            </w:pPr>
            <w:r/>
            <w:r>
              <w:rPr>
                <w:rFonts w:ascii="Arial" w:hAnsi="Arial"/>
                <w:b w:val="0"/>
                <w:sz w:val="15"/>
              </w:rPr>
              <w:t>APP_ENV</w:t>
            </w:r>
          </w:p>
        </w:tc>
        <w:tc>
          <w:tcPr>
            <w:tcW w:type="dxa" w:w="4608"/>
            <w:vAlign w:val="center"/>
          </w:tcPr>
          <w:p>
            <w:pPr>
              <w:spacing w:after="0"/>
            </w:pPr>
            <w:r/>
            <w:r>
              <w:rPr>
                <w:rFonts w:ascii="Arial" w:hAnsi="Arial"/>
                <w:b w:val="0"/>
                <w:sz w:val="15"/>
              </w:rPr>
              <w:t>local</w:t>
            </w:r>
          </w:p>
        </w:tc>
        <w:tc>
          <w:tcPr>
            <w:tcW w:type="dxa" w:w="2592"/>
            <w:vAlign w:val="center"/>
          </w:tcPr>
          <w:p>
            <w:pPr>
              <w:spacing w:after="0"/>
            </w:pPr>
            <w:r/>
            <w:r>
              <w:rPr>
                <w:rFonts w:ascii="Arial" w:hAnsi="Arial"/>
                <w:b w:val="0"/>
                <w:sz w:val="15"/>
              </w:rPr>
              <w:t>all cloud services</w:t>
            </w:r>
          </w:p>
        </w:tc>
      </w:tr>
      <w:tr>
        <w:tc>
          <w:tcPr>
            <w:tcW w:type="dxa" w:w="2880"/>
            <w:vAlign w:val="center"/>
          </w:tcPr>
          <w:p>
            <w:pPr>
              <w:spacing w:after="0"/>
            </w:pPr>
            <w:r/>
            <w:r>
              <w:rPr>
                <w:rFonts w:ascii="Arial" w:hAnsi="Arial"/>
                <w:b w:val="0"/>
                <w:sz w:val="15"/>
              </w:rPr>
              <w:t>DATABASE_URL</w:t>
            </w:r>
          </w:p>
        </w:tc>
        <w:tc>
          <w:tcPr>
            <w:tcW w:type="dxa" w:w="4608"/>
            <w:vAlign w:val="center"/>
          </w:tcPr>
          <w:p>
            <w:pPr>
              <w:spacing w:after="0"/>
            </w:pPr>
            <w:r/>
            <w:r>
              <w:rPr>
                <w:rFonts w:ascii="Arial" w:hAnsi="Arial"/>
                <w:b w:val="0"/>
                <w:sz w:val="15"/>
              </w:rPr>
              <w:t>postgresql://oolix:oolix@localhost:5432/oolix</w:t>
            </w:r>
          </w:p>
        </w:tc>
        <w:tc>
          <w:tcPr>
            <w:tcW w:type="dxa" w:w="2592"/>
            <w:vAlign w:val="center"/>
          </w:tcPr>
          <w:p>
            <w:pPr>
              <w:spacing w:after="0"/>
            </w:pPr>
            <w:r/>
            <w:r>
              <w:rPr>
                <w:rFonts w:ascii="Arial" w:hAnsi="Arial"/>
                <w:b w:val="0"/>
                <w:sz w:val="15"/>
              </w:rPr>
              <w:t>API/worker</w:t>
            </w:r>
          </w:p>
        </w:tc>
      </w:tr>
      <w:tr>
        <w:tc>
          <w:tcPr>
            <w:tcW w:type="dxa" w:w="2880"/>
            <w:vAlign w:val="center"/>
          </w:tcPr>
          <w:p>
            <w:pPr>
              <w:spacing w:after="0"/>
            </w:pPr>
            <w:r/>
            <w:r>
              <w:rPr>
                <w:rFonts w:ascii="Arial" w:hAnsi="Arial"/>
                <w:b w:val="0"/>
                <w:sz w:val="15"/>
              </w:rPr>
              <w:t>REDIS_URL</w:t>
            </w:r>
          </w:p>
        </w:tc>
        <w:tc>
          <w:tcPr>
            <w:tcW w:type="dxa" w:w="4608"/>
            <w:vAlign w:val="center"/>
          </w:tcPr>
          <w:p>
            <w:pPr>
              <w:spacing w:after="0"/>
            </w:pPr>
            <w:r/>
            <w:r>
              <w:rPr>
                <w:rFonts w:ascii="Arial" w:hAnsi="Arial"/>
                <w:b w:val="0"/>
                <w:sz w:val="15"/>
              </w:rPr>
              <w:t>redis://localhost:6379</w:t>
            </w:r>
          </w:p>
        </w:tc>
        <w:tc>
          <w:tcPr>
            <w:tcW w:type="dxa" w:w="2592"/>
            <w:vAlign w:val="center"/>
          </w:tcPr>
          <w:p>
            <w:pPr>
              <w:spacing w:after="0"/>
            </w:pPr>
            <w:r/>
            <w:r>
              <w:rPr>
                <w:rFonts w:ascii="Arial" w:hAnsi="Arial"/>
                <w:b w:val="0"/>
                <w:sz w:val="15"/>
              </w:rPr>
              <w:t>API/worker</w:t>
            </w:r>
          </w:p>
        </w:tc>
      </w:tr>
      <w:tr>
        <w:tc>
          <w:tcPr>
            <w:tcW w:type="dxa" w:w="2880"/>
            <w:vAlign w:val="center"/>
          </w:tcPr>
          <w:p>
            <w:pPr>
              <w:spacing w:after="0"/>
            </w:pPr>
            <w:r/>
            <w:r>
              <w:rPr>
                <w:rFonts w:ascii="Arial" w:hAnsi="Arial"/>
                <w:b w:val="0"/>
                <w:sz w:val="15"/>
              </w:rPr>
              <w:t>OIDC_ISSUER_URL</w:t>
            </w:r>
          </w:p>
        </w:tc>
        <w:tc>
          <w:tcPr>
            <w:tcW w:type="dxa" w:w="4608"/>
            <w:vAlign w:val="center"/>
          </w:tcPr>
          <w:p>
            <w:pPr>
              <w:spacing w:after="0"/>
            </w:pPr>
            <w:r/>
            <w:r>
              <w:rPr>
                <w:rFonts w:ascii="Arial" w:hAnsi="Arial"/>
                <w:b w:val="0"/>
                <w:sz w:val="15"/>
              </w:rPr>
              <w:t>http://localhost:8081/realms/oolix</w:t>
            </w:r>
          </w:p>
        </w:tc>
        <w:tc>
          <w:tcPr>
            <w:tcW w:type="dxa" w:w="2592"/>
            <w:vAlign w:val="center"/>
          </w:tcPr>
          <w:p>
            <w:pPr>
              <w:spacing w:after="0"/>
            </w:pPr>
            <w:r/>
            <w:r>
              <w:rPr>
                <w:rFonts w:ascii="Arial" w:hAnsi="Arial"/>
                <w:b w:val="0"/>
                <w:sz w:val="15"/>
              </w:rPr>
              <w:t>web/API</w:t>
            </w:r>
          </w:p>
        </w:tc>
      </w:tr>
      <w:tr>
        <w:tc>
          <w:tcPr>
            <w:tcW w:type="dxa" w:w="2880"/>
            <w:vAlign w:val="center"/>
          </w:tcPr>
          <w:p>
            <w:pPr>
              <w:spacing w:after="0"/>
            </w:pPr>
            <w:r/>
            <w:r>
              <w:rPr>
                <w:rFonts w:ascii="Arial" w:hAnsi="Arial"/>
                <w:b w:val="0"/>
                <w:sz w:val="15"/>
              </w:rPr>
              <w:t>OIDC_CLIENT_ID</w:t>
            </w:r>
          </w:p>
        </w:tc>
        <w:tc>
          <w:tcPr>
            <w:tcW w:type="dxa" w:w="4608"/>
            <w:vAlign w:val="center"/>
          </w:tcPr>
          <w:p>
            <w:pPr>
              <w:spacing w:after="0"/>
            </w:pPr>
            <w:r/>
            <w:r>
              <w:rPr>
                <w:rFonts w:ascii="Arial" w:hAnsi="Arial"/>
                <w:b w:val="0"/>
                <w:sz w:val="15"/>
              </w:rPr>
              <w:t>oolix-web</w:t>
            </w:r>
          </w:p>
        </w:tc>
        <w:tc>
          <w:tcPr>
            <w:tcW w:type="dxa" w:w="2592"/>
            <w:vAlign w:val="center"/>
          </w:tcPr>
          <w:p>
            <w:pPr>
              <w:spacing w:after="0"/>
            </w:pPr>
            <w:r/>
            <w:r>
              <w:rPr>
                <w:rFonts w:ascii="Arial" w:hAnsi="Arial"/>
                <w:b w:val="0"/>
                <w:sz w:val="15"/>
              </w:rPr>
              <w:t>web/API</w:t>
            </w:r>
          </w:p>
        </w:tc>
      </w:tr>
      <w:tr>
        <w:tc>
          <w:tcPr>
            <w:tcW w:type="dxa" w:w="2880"/>
            <w:vAlign w:val="center"/>
          </w:tcPr>
          <w:p>
            <w:pPr>
              <w:spacing w:after="0"/>
            </w:pPr>
            <w:r/>
            <w:r>
              <w:rPr>
                <w:rFonts w:ascii="Arial" w:hAnsi="Arial"/>
                <w:b w:val="0"/>
                <w:sz w:val="15"/>
              </w:rPr>
              <w:t>OIDC_CLIENT_SECRET</w:t>
            </w:r>
          </w:p>
        </w:tc>
        <w:tc>
          <w:tcPr>
            <w:tcW w:type="dxa" w:w="4608"/>
            <w:vAlign w:val="center"/>
          </w:tcPr>
          <w:p>
            <w:pPr>
              <w:spacing w:after="0"/>
            </w:pPr>
            <w:r/>
            <w:r>
              <w:rPr>
                <w:rFonts w:ascii="Arial" w:hAnsi="Arial"/>
                <w:b w:val="0"/>
                <w:sz w:val="15"/>
              </w:rPr>
              <w:t>local-only-secret</w:t>
            </w:r>
          </w:p>
        </w:tc>
        <w:tc>
          <w:tcPr>
            <w:tcW w:type="dxa" w:w="2592"/>
            <w:vAlign w:val="center"/>
          </w:tcPr>
          <w:p>
            <w:pPr>
              <w:spacing w:after="0"/>
            </w:pPr>
            <w:r/>
            <w:r>
              <w:rPr>
                <w:rFonts w:ascii="Arial" w:hAnsi="Arial"/>
                <w:b w:val="0"/>
                <w:sz w:val="15"/>
              </w:rPr>
              <w:t>server only</w:t>
            </w:r>
          </w:p>
        </w:tc>
      </w:tr>
      <w:tr>
        <w:tc>
          <w:tcPr>
            <w:tcW w:type="dxa" w:w="2880"/>
            <w:vAlign w:val="center"/>
          </w:tcPr>
          <w:p>
            <w:pPr>
              <w:spacing w:after="0"/>
            </w:pPr>
            <w:r/>
            <w:r>
              <w:rPr>
                <w:rFonts w:ascii="Arial" w:hAnsi="Arial"/>
                <w:b w:val="0"/>
                <w:sz w:val="15"/>
              </w:rPr>
              <w:t>AWS_REGION</w:t>
            </w:r>
          </w:p>
        </w:tc>
        <w:tc>
          <w:tcPr>
            <w:tcW w:type="dxa" w:w="4608"/>
            <w:vAlign w:val="center"/>
          </w:tcPr>
          <w:p>
            <w:pPr>
              <w:spacing w:after="0"/>
            </w:pPr>
            <w:r/>
            <w:r>
              <w:rPr>
                <w:rFonts w:ascii="Arial" w:hAnsi="Arial"/>
                <w:b w:val="0"/>
                <w:sz w:val="15"/>
              </w:rPr>
              <w:t>ap-south-1</w:t>
            </w:r>
          </w:p>
        </w:tc>
        <w:tc>
          <w:tcPr>
            <w:tcW w:type="dxa" w:w="2592"/>
            <w:vAlign w:val="center"/>
          </w:tcPr>
          <w:p>
            <w:pPr>
              <w:spacing w:after="0"/>
            </w:pPr>
            <w:r/>
            <w:r>
              <w:rPr>
                <w:rFonts w:ascii="Arial" w:hAnsi="Arial"/>
                <w:b w:val="0"/>
                <w:sz w:val="15"/>
              </w:rPr>
              <w:t>worker/storage</w:t>
            </w:r>
          </w:p>
        </w:tc>
      </w:tr>
      <w:tr>
        <w:tc>
          <w:tcPr>
            <w:tcW w:type="dxa" w:w="2880"/>
            <w:vAlign w:val="center"/>
          </w:tcPr>
          <w:p>
            <w:pPr>
              <w:spacing w:after="0"/>
            </w:pPr>
            <w:r/>
            <w:r>
              <w:rPr>
                <w:rFonts w:ascii="Arial" w:hAnsi="Arial"/>
                <w:b w:val="0"/>
                <w:sz w:val="15"/>
              </w:rPr>
              <w:t>AWS_ENDPOINT_URL</w:t>
            </w:r>
          </w:p>
        </w:tc>
        <w:tc>
          <w:tcPr>
            <w:tcW w:type="dxa" w:w="4608"/>
            <w:vAlign w:val="center"/>
          </w:tcPr>
          <w:p>
            <w:pPr>
              <w:spacing w:after="0"/>
            </w:pPr>
            <w:r/>
            <w:r>
              <w:rPr>
                <w:rFonts w:ascii="Arial" w:hAnsi="Arial"/>
                <w:b w:val="0"/>
                <w:sz w:val="15"/>
              </w:rPr>
              <w:t>http://localhost:4566</w:t>
            </w:r>
          </w:p>
        </w:tc>
        <w:tc>
          <w:tcPr>
            <w:tcW w:type="dxa" w:w="2592"/>
            <w:vAlign w:val="center"/>
          </w:tcPr>
          <w:p>
            <w:pPr>
              <w:spacing w:after="0"/>
            </w:pPr>
            <w:r/>
            <w:r>
              <w:rPr>
                <w:rFonts w:ascii="Arial" w:hAnsi="Arial"/>
                <w:b w:val="0"/>
                <w:sz w:val="15"/>
              </w:rPr>
              <w:t>local only</w:t>
            </w:r>
          </w:p>
        </w:tc>
      </w:tr>
      <w:tr>
        <w:tc>
          <w:tcPr>
            <w:tcW w:type="dxa" w:w="2880"/>
            <w:vAlign w:val="center"/>
          </w:tcPr>
          <w:p>
            <w:pPr>
              <w:spacing w:after="0"/>
            </w:pPr>
            <w:r/>
            <w:r>
              <w:rPr>
                <w:rFonts w:ascii="Arial" w:hAnsi="Arial"/>
                <w:b w:val="0"/>
                <w:sz w:val="15"/>
              </w:rPr>
              <w:t>S3_CREATIVE_BUCKET</w:t>
            </w:r>
          </w:p>
        </w:tc>
        <w:tc>
          <w:tcPr>
            <w:tcW w:type="dxa" w:w="4608"/>
            <w:vAlign w:val="center"/>
          </w:tcPr>
          <w:p>
            <w:pPr>
              <w:spacing w:after="0"/>
            </w:pPr>
            <w:r/>
            <w:r>
              <w:rPr>
                <w:rFonts w:ascii="Arial" w:hAnsi="Arial"/>
                <w:b w:val="0"/>
                <w:sz w:val="15"/>
              </w:rPr>
              <w:t>oolix-creatives-local</w:t>
            </w:r>
          </w:p>
        </w:tc>
        <w:tc>
          <w:tcPr>
            <w:tcW w:type="dxa" w:w="2592"/>
            <w:vAlign w:val="center"/>
          </w:tcPr>
          <w:p>
            <w:pPr>
              <w:spacing w:after="0"/>
            </w:pPr>
            <w:r/>
            <w:r>
              <w:rPr>
                <w:rFonts w:ascii="Arial" w:hAnsi="Arial"/>
                <w:b w:val="0"/>
                <w:sz w:val="15"/>
              </w:rPr>
              <w:t>API/worker</w:t>
            </w:r>
          </w:p>
        </w:tc>
      </w:tr>
      <w:tr>
        <w:tc>
          <w:tcPr>
            <w:tcW w:type="dxa" w:w="2880"/>
            <w:vAlign w:val="center"/>
          </w:tcPr>
          <w:p>
            <w:pPr>
              <w:spacing w:after="0"/>
            </w:pPr>
            <w:r/>
            <w:r>
              <w:rPr>
                <w:rFonts w:ascii="Arial" w:hAnsi="Arial"/>
                <w:b w:val="0"/>
                <w:sz w:val="15"/>
              </w:rPr>
              <w:t>SQS_DOMAIN_EVENTS_URL</w:t>
            </w:r>
          </w:p>
        </w:tc>
        <w:tc>
          <w:tcPr>
            <w:tcW w:type="dxa" w:w="4608"/>
            <w:vAlign w:val="center"/>
          </w:tcPr>
          <w:p>
            <w:pPr>
              <w:spacing w:after="0"/>
            </w:pPr>
            <w:r/>
            <w:r>
              <w:rPr>
                <w:rFonts w:ascii="Arial" w:hAnsi="Arial"/>
                <w:b w:val="0"/>
                <w:sz w:val="15"/>
              </w:rPr>
              <w:t>http://localhost:4566/000000000000/oolix-domain-events</w:t>
            </w:r>
          </w:p>
        </w:tc>
        <w:tc>
          <w:tcPr>
            <w:tcW w:type="dxa" w:w="2592"/>
            <w:vAlign w:val="center"/>
          </w:tcPr>
          <w:p>
            <w:pPr>
              <w:spacing w:after="0"/>
            </w:pPr>
            <w:r/>
            <w:r>
              <w:rPr>
                <w:rFonts w:ascii="Arial" w:hAnsi="Arial"/>
                <w:b w:val="0"/>
                <w:sz w:val="15"/>
              </w:rPr>
              <w:t>worker</w:t>
            </w:r>
          </w:p>
        </w:tc>
      </w:tr>
      <w:tr>
        <w:tc>
          <w:tcPr>
            <w:tcW w:type="dxa" w:w="2880"/>
            <w:vAlign w:val="center"/>
          </w:tcPr>
          <w:p>
            <w:pPr>
              <w:spacing w:after="0"/>
            </w:pPr>
            <w:r/>
            <w:r>
              <w:rPr>
                <w:rFonts w:ascii="Arial" w:hAnsi="Arial"/>
                <w:b w:val="0"/>
                <w:sz w:val="15"/>
              </w:rPr>
              <w:t>MANIFEST_SIGNING_KEY_ID</w:t>
            </w:r>
          </w:p>
        </w:tc>
        <w:tc>
          <w:tcPr>
            <w:tcW w:type="dxa" w:w="4608"/>
            <w:vAlign w:val="center"/>
          </w:tcPr>
          <w:p>
            <w:pPr>
              <w:spacing w:after="0"/>
            </w:pPr>
            <w:r/>
            <w:r>
              <w:rPr>
                <w:rFonts w:ascii="Arial" w:hAnsi="Arial"/>
                <w:b w:val="0"/>
                <w:sz w:val="15"/>
              </w:rPr>
              <w:t>local-es256-key-1</w:t>
            </w:r>
          </w:p>
        </w:tc>
        <w:tc>
          <w:tcPr>
            <w:tcW w:type="dxa" w:w="2592"/>
            <w:vAlign w:val="center"/>
          </w:tcPr>
          <w:p>
            <w:pPr>
              <w:spacing w:after="0"/>
            </w:pPr>
            <w:r/>
            <w:r>
              <w:rPr>
                <w:rFonts w:ascii="Arial" w:hAnsi="Arial"/>
                <w:b w:val="0"/>
                <w:sz w:val="15"/>
              </w:rPr>
              <w:t>activation service</w:t>
            </w:r>
          </w:p>
        </w:tc>
      </w:tr>
      <w:tr>
        <w:tc>
          <w:tcPr>
            <w:tcW w:type="dxa" w:w="2880"/>
            <w:vAlign w:val="center"/>
          </w:tcPr>
          <w:p>
            <w:pPr>
              <w:spacing w:after="0"/>
            </w:pPr>
            <w:r/>
            <w:r>
              <w:rPr>
                <w:rFonts w:ascii="Arial" w:hAnsi="Arial"/>
                <w:b w:val="0"/>
                <w:sz w:val="15"/>
              </w:rPr>
              <w:t>CLICK_TOKEN_TTL_DAYS</w:t>
            </w:r>
          </w:p>
        </w:tc>
        <w:tc>
          <w:tcPr>
            <w:tcW w:type="dxa" w:w="4608"/>
            <w:vAlign w:val="center"/>
          </w:tcPr>
          <w:p>
            <w:pPr>
              <w:spacing w:after="0"/>
            </w:pPr>
            <w:r/>
            <w:r>
              <w:rPr>
                <w:rFonts w:ascii="Arial" w:hAnsi="Arial"/>
                <w:b w:val="0"/>
                <w:sz w:val="15"/>
              </w:rPr>
              <w:t>7</w:t>
            </w:r>
          </w:p>
        </w:tc>
        <w:tc>
          <w:tcPr>
            <w:tcW w:type="dxa" w:w="2592"/>
            <w:vAlign w:val="center"/>
          </w:tcPr>
          <w:p>
            <w:pPr>
              <w:spacing w:after="0"/>
            </w:pPr>
            <w:r/>
            <w:r>
              <w:rPr>
                <w:rFonts w:ascii="Arial" w:hAnsi="Arial"/>
                <w:b w:val="0"/>
                <w:sz w:val="15"/>
              </w:rPr>
              <w:t>attribution</w:t>
            </w:r>
          </w:p>
        </w:tc>
      </w:tr>
      <w:tr>
        <w:tc>
          <w:tcPr>
            <w:tcW w:type="dxa" w:w="2880"/>
            <w:vAlign w:val="center"/>
          </w:tcPr>
          <w:p>
            <w:pPr>
              <w:spacing w:after="0"/>
            </w:pPr>
            <w:r/>
            <w:r>
              <w:rPr>
                <w:rFonts w:ascii="Arial" w:hAnsi="Arial"/>
                <w:b w:val="0"/>
                <w:sz w:val="15"/>
              </w:rPr>
              <w:t>CATALOG_MIN_REACH</w:t>
            </w:r>
          </w:p>
        </w:tc>
        <w:tc>
          <w:tcPr>
            <w:tcW w:type="dxa" w:w="4608"/>
            <w:vAlign w:val="center"/>
          </w:tcPr>
          <w:p>
            <w:pPr>
              <w:spacing w:after="0"/>
            </w:pPr>
            <w:r/>
            <w:r>
              <w:rPr>
                <w:rFonts w:ascii="Arial" w:hAnsi="Arial"/>
                <w:b w:val="0"/>
                <w:sz w:val="15"/>
              </w:rPr>
              <w:t>1000</w:t>
            </w:r>
          </w:p>
        </w:tc>
        <w:tc>
          <w:tcPr>
            <w:tcW w:type="dxa" w:w="2592"/>
            <w:vAlign w:val="center"/>
          </w:tcPr>
          <w:p>
            <w:pPr>
              <w:spacing w:after="0"/>
            </w:pPr>
            <w:r/>
            <w:r>
              <w:rPr>
                <w:rFonts w:ascii="Arial" w:hAnsi="Arial"/>
                <w:b w:val="0"/>
                <w:sz w:val="15"/>
              </w:rPr>
              <w:t>catalogue</w:t>
            </w:r>
          </w:p>
        </w:tc>
      </w:tr>
      <w:tr>
        <w:tc>
          <w:tcPr>
            <w:tcW w:type="dxa" w:w="2880"/>
            <w:vAlign w:val="center"/>
          </w:tcPr>
          <w:p>
            <w:pPr>
              <w:spacing w:after="0"/>
            </w:pPr>
            <w:r/>
            <w:r>
              <w:rPr>
                <w:rFonts w:ascii="Arial" w:hAnsi="Arial"/>
                <w:b w:val="0"/>
                <w:sz w:val="15"/>
              </w:rPr>
              <w:t>CONTROL_SYNC_INTERVAL_SEC</w:t>
            </w:r>
          </w:p>
        </w:tc>
        <w:tc>
          <w:tcPr>
            <w:tcW w:type="dxa" w:w="4608"/>
            <w:vAlign w:val="center"/>
          </w:tcPr>
          <w:p>
            <w:pPr>
              <w:spacing w:after="0"/>
            </w:pPr>
            <w:r/>
            <w:r>
              <w:rPr>
                <w:rFonts w:ascii="Arial" w:hAnsi="Arial"/>
                <w:b w:val="0"/>
                <w:sz w:val="15"/>
              </w:rPr>
              <w:t>30</w:t>
            </w:r>
          </w:p>
        </w:tc>
        <w:tc>
          <w:tcPr>
            <w:tcW w:type="dxa" w:w="2592"/>
            <w:vAlign w:val="center"/>
          </w:tcPr>
          <w:p>
            <w:pPr>
              <w:spacing w:after="0"/>
            </w:pPr>
            <w:r/>
            <w:r>
              <w:rPr>
                <w:rFonts w:ascii="Arial" w:hAnsi="Arial"/>
                <w:b w:val="0"/>
                <w:sz w:val="15"/>
              </w:rPr>
              <w:t>Partner Agent</w:t>
            </w:r>
          </w:p>
        </w:tc>
      </w:tr>
      <w:tr>
        <w:tc>
          <w:tcPr>
            <w:tcW w:type="dxa" w:w="2880"/>
            <w:vAlign w:val="center"/>
          </w:tcPr>
          <w:p>
            <w:pPr>
              <w:spacing w:after="0"/>
            </w:pPr>
            <w:r/>
            <w:r>
              <w:rPr>
                <w:rFonts w:ascii="Arial" w:hAnsi="Arial"/>
                <w:b w:val="0"/>
                <w:sz w:val="15"/>
              </w:rPr>
              <w:t>CONTROL_STALE_GRACE_SEC</w:t>
            </w:r>
          </w:p>
        </w:tc>
        <w:tc>
          <w:tcPr>
            <w:tcW w:type="dxa" w:w="4608"/>
            <w:vAlign w:val="center"/>
          </w:tcPr>
          <w:p>
            <w:pPr>
              <w:spacing w:after="0"/>
            </w:pPr>
            <w:r/>
            <w:r>
              <w:rPr>
                <w:rFonts w:ascii="Arial" w:hAnsi="Arial"/>
                <w:b w:val="0"/>
                <w:sz w:val="15"/>
              </w:rPr>
              <w:t>900</w:t>
            </w:r>
          </w:p>
        </w:tc>
        <w:tc>
          <w:tcPr>
            <w:tcW w:type="dxa" w:w="2592"/>
            <w:vAlign w:val="center"/>
          </w:tcPr>
          <w:p>
            <w:pPr>
              <w:spacing w:after="0"/>
            </w:pPr>
            <w:r/>
            <w:r>
              <w:rPr>
                <w:rFonts w:ascii="Arial" w:hAnsi="Arial"/>
                <w:b w:val="0"/>
                <w:sz w:val="15"/>
              </w:rPr>
              <w:t>Partner Agent</w:t>
            </w:r>
          </w:p>
        </w:tc>
      </w:tr>
    </w:tbl>
    <w:p/>
    <w:p>
      <w:pPr>
        <w:pStyle w:val="Heading1"/>
      </w:pPr>
      <w:r>
        <w:t>66. Canonical RBAC, Network and Verification Model</w:t>
      </w:r>
    </w:p>
    <w:p>
      <w:pPr>
        <w:pStyle w:val="Heading2"/>
      </w:pPr>
      <w:r>
        <w:t>66.1 Canonical role enum</w:t>
      </w:r>
    </w:p>
    <w:p>
      <w:pPr>
        <w:spacing w:before="40" w:after="80"/>
        <w:ind w:left="259" w:right="144"/>
        <w:shd w:fill="F3F4F6"/>
      </w:pPr>
      <w:r>
        <w:rPr>
          <w:rFonts w:ascii="Courier New" w:hAnsi="Courier New"/>
          <w:sz w:val="14"/>
        </w:rPr>
        <w:t>BUYER_ADMIN</w:t>
        <w:br/>
        <w:t>BUYER_OPERATOR</w:t>
        <w:br/>
        <w:t>PARTNER_ADMIN</w:t>
        <w:br/>
        <w:t>PARTNER_SECURITY_ADMIN</w:t>
        <w:br/>
        <w:t>PARTNER_CAMPAIGN_APPROVER</w:t>
        <w:br/>
        <w:t>NETWORK_ADMIN</w:t>
        <w:br/>
        <w:t>FINANCE</w:t>
        <w:br/>
        <w:t>ANALYST</w:t>
        <w:br/>
        <w:t>OOLIX_ADMIN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Role</w:t>
            </w:r>
          </w:p>
        </w:tc>
        <w:tc>
          <w:tcPr>
            <w:tcW w:type="dxa" w:w="6912"/>
            <w:vAlign w:val="center"/>
            <w:shd w:fill="1B4363"/>
          </w:tcPr>
          <w:p>
            <w:pPr>
              <w:spacing w:after="0"/>
            </w:pPr>
            <w:r/>
            <w:r>
              <w:rPr>
                <w:rFonts w:ascii="Arial" w:hAnsi="Arial"/>
                <w:b/>
                <w:color w:val="FFFFFF"/>
                <w:sz w:val="16"/>
              </w:rPr>
              <w:t>Canonical permission boundary</w:t>
            </w:r>
          </w:p>
        </w:tc>
      </w:tr>
      <w:tr>
        <w:tc>
          <w:tcPr>
            <w:tcW w:type="dxa" w:w="2880"/>
            <w:vAlign w:val="center"/>
          </w:tcPr>
          <w:p>
            <w:pPr>
              <w:spacing w:after="0"/>
            </w:pPr>
            <w:r/>
            <w:r>
              <w:rPr>
                <w:rFonts w:ascii="Arial" w:hAnsi="Arial"/>
                <w:b w:val="0"/>
                <w:sz w:val="15"/>
              </w:rPr>
              <w:t>BUYER_ADMIN</w:t>
            </w:r>
          </w:p>
        </w:tc>
        <w:tc>
          <w:tcPr>
            <w:tcW w:type="dxa" w:w="6912"/>
            <w:vAlign w:val="center"/>
          </w:tcPr>
          <w:p>
            <w:pPr>
              <w:spacing w:after="0"/>
            </w:pPr>
            <w:r/>
            <w:r>
              <w:rPr>
                <w:rFonts w:ascii="Arial" w:hAnsi="Arial"/>
                <w:b w:val="0"/>
                <w:sz w:val="15"/>
              </w:rPr>
              <w:t>Campaign submit, billing, CRM/channel asset connection, team management.</w:t>
            </w:r>
          </w:p>
        </w:tc>
      </w:tr>
      <w:tr>
        <w:tc>
          <w:tcPr>
            <w:tcW w:type="dxa" w:w="2880"/>
            <w:vAlign w:val="center"/>
          </w:tcPr>
          <w:p>
            <w:pPr>
              <w:spacing w:after="0"/>
            </w:pPr>
            <w:r/>
            <w:r>
              <w:rPr>
                <w:rFonts w:ascii="Arial" w:hAnsi="Arial"/>
                <w:b w:val="0"/>
                <w:sz w:val="15"/>
              </w:rPr>
              <w:t>BUYER_OPERATOR</w:t>
            </w:r>
          </w:p>
        </w:tc>
        <w:tc>
          <w:tcPr>
            <w:tcW w:type="dxa" w:w="6912"/>
            <w:vAlign w:val="center"/>
          </w:tcPr>
          <w:p>
            <w:pPr>
              <w:spacing w:after="0"/>
            </w:pPr>
            <w:r/>
            <w:r>
              <w:rPr>
                <w:rFonts w:ascii="Arial" w:hAnsi="Arial"/>
                <w:b w:val="0"/>
                <w:sz w:val="15"/>
              </w:rPr>
              <w:t>Campaign draft/edit, creative upload, reporting; cannot change billing ownership.</w:t>
            </w:r>
          </w:p>
        </w:tc>
      </w:tr>
      <w:tr>
        <w:tc>
          <w:tcPr>
            <w:tcW w:type="dxa" w:w="2880"/>
            <w:vAlign w:val="center"/>
          </w:tcPr>
          <w:p>
            <w:pPr>
              <w:spacing w:after="0"/>
            </w:pPr>
            <w:r/>
            <w:r>
              <w:rPr>
                <w:rFonts w:ascii="Arial" w:hAnsi="Arial"/>
                <w:b w:val="0"/>
                <w:sz w:val="15"/>
              </w:rPr>
              <w:t>PARTNER_ADMIN</w:t>
            </w:r>
          </w:p>
        </w:tc>
        <w:tc>
          <w:tcPr>
            <w:tcW w:type="dxa" w:w="6912"/>
            <w:vAlign w:val="center"/>
          </w:tcPr>
          <w:p>
            <w:pPr>
              <w:spacing w:after="0"/>
            </w:pPr>
            <w:r/>
            <w:r>
              <w:rPr>
                <w:rFonts w:ascii="Arial" w:hAnsi="Arial"/>
                <w:b w:val="0"/>
                <w:sz w:val="15"/>
              </w:rPr>
              <w:t>Partner policy, segment/placement publication, payout settings.</w:t>
            </w:r>
          </w:p>
        </w:tc>
      </w:tr>
      <w:tr>
        <w:tc>
          <w:tcPr>
            <w:tcW w:type="dxa" w:w="2880"/>
            <w:vAlign w:val="center"/>
          </w:tcPr>
          <w:p>
            <w:pPr>
              <w:spacing w:after="0"/>
            </w:pPr>
            <w:r/>
            <w:r>
              <w:rPr>
                <w:rFonts w:ascii="Arial" w:hAnsi="Arial"/>
                <w:b w:val="0"/>
                <w:sz w:val="15"/>
              </w:rPr>
              <w:t>PARTNER_SECURITY_ADMIN</w:t>
            </w:r>
          </w:p>
        </w:tc>
        <w:tc>
          <w:tcPr>
            <w:tcW w:type="dxa" w:w="6912"/>
            <w:vAlign w:val="center"/>
          </w:tcPr>
          <w:p>
            <w:pPr>
              <w:spacing w:after="0"/>
            </w:pPr>
            <w:r/>
            <w:r>
              <w:rPr>
                <w:rFonts w:ascii="Arial" w:hAnsi="Arial"/>
                <w:b w:val="0"/>
                <w:sz w:val="15"/>
              </w:rPr>
              <w:t>Agent registration/revocation, connector and external-channel security.</w:t>
            </w:r>
          </w:p>
        </w:tc>
      </w:tr>
      <w:tr>
        <w:tc>
          <w:tcPr>
            <w:tcW w:type="dxa" w:w="2880"/>
            <w:vAlign w:val="center"/>
          </w:tcPr>
          <w:p>
            <w:pPr>
              <w:spacing w:after="0"/>
            </w:pPr>
            <w:r/>
            <w:r>
              <w:rPr>
                <w:rFonts w:ascii="Arial" w:hAnsi="Arial"/>
                <w:b w:val="0"/>
                <w:sz w:val="15"/>
              </w:rPr>
              <w:t>PARTNER_CAMPAIGN_APPROVER</w:t>
            </w:r>
          </w:p>
        </w:tc>
        <w:tc>
          <w:tcPr>
            <w:tcW w:type="dxa" w:w="6912"/>
            <w:vAlign w:val="center"/>
          </w:tcPr>
          <w:p>
            <w:pPr>
              <w:spacing w:after="0"/>
            </w:pPr>
            <w:r/>
            <w:r>
              <w:rPr>
                <w:rFonts w:ascii="Arial" w:hAnsi="Arial"/>
                <w:b w:val="0"/>
                <w:sz w:val="15"/>
              </w:rPr>
              <w:t>Approve/change/reject/revoke campaign requests.</w:t>
            </w:r>
          </w:p>
        </w:tc>
      </w:tr>
      <w:tr>
        <w:tc>
          <w:tcPr>
            <w:tcW w:type="dxa" w:w="2880"/>
            <w:vAlign w:val="center"/>
          </w:tcPr>
          <w:p>
            <w:pPr>
              <w:spacing w:after="0"/>
            </w:pPr>
            <w:r/>
            <w:r>
              <w:rPr>
                <w:rFonts w:ascii="Arial" w:hAnsi="Arial"/>
                <w:b w:val="0"/>
                <w:sz w:val="15"/>
              </w:rPr>
              <w:t>NETWORK_ADMIN</w:t>
            </w:r>
          </w:p>
        </w:tc>
        <w:tc>
          <w:tcPr>
            <w:tcW w:type="dxa" w:w="6912"/>
            <w:vAlign w:val="center"/>
          </w:tcPr>
          <w:p>
            <w:pPr>
              <w:spacing w:after="0"/>
            </w:pPr>
            <w:r/>
            <w:r>
              <w:rPr>
                <w:rFonts w:ascii="Arial" w:hAnsi="Arial"/>
                <w:b w:val="0"/>
                <w:sz w:val="15"/>
              </w:rPr>
              <w:t>Invite/admit organizations, network policy and aggregate network reports.</w:t>
            </w:r>
          </w:p>
        </w:tc>
      </w:tr>
      <w:tr>
        <w:tc>
          <w:tcPr>
            <w:tcW w:type="dxa" w:w="2880"/>
            <w:vAlign w:val="center"/>
          </w:tcPr>
          <w:p>
            <w:pPr>
              <w:spacing w:after="0"/>
            </w:pPr>
            <w:r/>
            <w:r>
              <w:rPr>
                <w:rFonts w:ascii="Arial" w:hAnsi="Arial"/>
                <w:b w:val="0"/>
                <w:sz w:val="15"/>
              </w:rPr>
              <w:t>FINANCE</w:t>
            </w:r>
          </w:p>
        </w:tc>
        <w:tc>
          <w:tcPr>
            <w:tcW w:type="dxa" w:w="6912"/>
            <w:vAlign w:val="center"/>
          </w:tcPr>
          <w:p>
            <w:pPr>
              <w:spacing w:after="0"/>
            </w:pPr>
            <w:r/>
            <w:r>
              <w:rPr>
                <w:rFonts w:ascii="Arial" w:hAnsi="Arial"/>
                <w:b w:val="0"/>
                <w:sz w:val="15"/>
              </w:rPr>
              <w:t>Invoice/payout/reconciliation only.</w:t>
            </w:r>
          </w:p>
        </w:tc>
      </w:tr>
      <w:tr>
        <w:tc>
          <w:tcPr>
            <w:tcW w:type="dxa" w:w="2880"/>
            <w:vAlign w:val="center"/>
          </w:tcPr>
          <w:p>
            <w:pPr>
              <w:spacing w:after="0"/>
            </w:pPr>
            <w:r/>
            <w:r>
              <w:rPr>
                <w:rFonts w:ascii="Arial" w:hAnsi="Arial"/>
                <w:b w:val="0"/>
                <w:sz w:val="15"/>
              </w:rPr>
              <w:t>ANALYST</w:t>
            </w:r>
          </w:p>
        </w:tc>
        <w:tc>
          <w:tcPr>
            <w:tcW w:type="dxa" w:w="6912"/>
            <w:vAlign w:val="center"/>
          </w:tcPr>
          <w:p>
            <w:pPr>
              <w:spacing w:after="0"/>
            </w:pPr>
            <w:r/>
            <w:r>
              <w:rPr>
                <w:rFonts w:ascii="Arial" w:hAnsi="Arial"/>
                <w:b w:val="0"/>
                <w:sz w:val="15"/>
              </w:rPr>
              <w:t>Read-only organization-scoped reports.</w:t>
            </w:r>
          </w:p>
        </w:tc>
      </w:tr>
      <w:tr>
        <w:tc>
          <w:tcPr>
            <w:tcW w:type="dxa" w:w="2880"/>
            <w:vAlign w:val="center"/>
          </w:tcPr>
          <w:p>
            <w:pPr>
              <w:spacing w:after="0"/>
            </w:pPr>
            <w:r/>
            <w:r>
              <w:rPr>
                <w:rFonts w:ascii="Arial" w:hAnsi="Arial"/>
                <w:b w:val="0"/>
                <w:sz w:val="15"/>
              </w:rPr>
              <w:t>OOLIX_ADMIN</w:t>
            </w:r>
          </w:p>
        </w:tc>
        <w:tc>
          <w:tcPr>
            <w:tcW w:type="dxa" w:w="6912"/>
            <w:vAlign w:val="center"/>
          </w:tcPr>
          <w:p>
            <w:pPr>
              <w:spacing w:after="0"/>
            </w:pPr>
            <w:r/>
            <w:r>
              <w:rPr>
                <w:rFonts w:ascii="Arial" w:hAnsi="Arial"/>
                <w:b w:val="0"/>
                <w:sz w:val="15"/>
              </w:rPr>
              <w:t>Platform operations; cannot bypass Partner approval or access Partner raw DB.</w:t>
            </w:r>
          </w:p>
        </w:tc>
      </w:tr>
    </w:tbl>
    <w:p/>
    <w:p>
      <w:pPr>
        <w:pStyle w:val="Heading2"/>
      </w:pPr>
      <w:r>
        <w:t>66.2 Network semantics</w:t>
      </w:r>
    </w:p>
    <w:p>
      <w:pPr>
        <w:pStyle w:val="ListBullet"/>
        <w:spacing w:after="40"/>
      </w:pPr>
      <w:r>
        <w:t>Network is an access-control and commercial boundary. Canonical modes: PRIVATE, CURATED, MARKETPLACE.</w:t>
      </w:r>
    </w:p>
    <w:p>
      <w:pPr>
        <w:pStyle w:val="ListBullet"/>
        <w:spacing w:after="40"/>
      </w:pPr>
      <w:r>
        <w:t>A Partner may belong to multiple Networks. A Buyer may belong to multiple Networks.</w:t>
      </w:r>
    </w:p>
    <w:p>
      <w:pPr>
        <w:pStyle w:val="ListBullet"/>
        <w:spacing w:after="40"/>
      </w:pPr>
      <w:r>
        <w:t>A Buyer sees a segment only when listing_visibility and shared Network membership permit it; MARKETPLACE listings may be discoverable outside private Networks.</w:t>
      </w:r>
    </w:p>
    <w:p>
      <w:pPr>
        <w:pStyle w:val="ListBullet"/>
        <w:spacing w:after="40"/>
      </w:pPr>
      <w:r>
        <w:t>Network-specific price overrides are stored as SegmentOffer/PlacementOffer records; the base Partner listing is not duplicated.</w:t>
      </w:r>
    </w:p>
    <w:p>
      <w:pPr>
        <w:pStyle w:val="ListBullet"/>
        <w:spacing w:after="40"/>
      </w:pPr>
      <w:r>
        <w:t>A same organization may be both Buyer and Data Partner, but self-dealing does not auto-approve. A different user with PARTNER_CAMPAIGN_APPROVER permission must approve.</w:t>
      </w:r>
    </w:p>
    <w:p>
      <w:pPr>
        <w:pStyle w:val="Heading2"/>
      </w:pPr>
      <w:r>
        <w:t>66.3 Business verification</w:t>
      </w:r>
    </w:p>
    <w:p>
      <w:pPr>
        <w:pStyle w:val="ListBullet"/>
        <w:spacing w:after="40"/>
      </w:pPr>
      <w:r>
        <w:t>MVP uses manual Oolix Operations verification: company domain, legal name, registration/tax identifiers where needed, website, business category and authorized admin.</w:t>
      </w:r>
    </w:p>
    <w:p>
      <w:pPr>
        <w:pStyle w:val="ListBullet"/>
        <w:spacing w:after="40"/>
      </w:pPr>
      <w:r>
        <w:t>Verification evidence is stored as metadata/reference, not sensitive identity-document copies unless a later KYB provider requires it.</w:t>
      </w:r>
    </w:p>
    <w:p>
      <w:pPr>
        <w:pStyle w:val="ListBullet"/>
        <w:spacing w:after="40"/>
      </w:pPr>
      <w:r>
        <w:t>Campaign submission and Partner publication require BUSINESS_VERIFIED. Drafting/browsing is allowed while pending.</w:t>
      </w:r>
    </w:p>
    <w:p>
      <w:pPr>
        <w:pStyle w:val="Heading1"/>
      </w:pPr>
      <w:r>
        <w:t>67. Canonical API Path Conventions and Full Example Contracts</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Canonical API rule</w:t>
            </w:r>
          </w:p>
          <w:p>
            <w:pPr>
              <w:spacing w:after="0"/>
            </w:pPr>
            <w:r>
              <w:t>Use organization identity from the authenticated context for self-service Partner routes. Do not place partner_org_id in a path when the current organization is implied. OOLIX_ADMIN cross-org endpoints, if later added, live under /v1/admin/... and require explicit OOLIX_ADMIN permission.</w:t>
            </w:r>
          </w:p>
        </w:tc>
      </w:tr>
    </w:tbl>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pPr>
              <w:spacing w:after="0"/>
            </w:pPr>
            <w:r/>
            <w:r>
              <w:rPr>
                <w:rFonts w:ascii="Arial" w:hAnsi="Arial"/>
                <w:b/>
                <w:color w:val="FFFFFF"/>
                <w:sz w:val="16"/>
              </w:rPr>
              <w:t>Surface</w:t>
            </w:r>
          </w:p>
        </w:tc>
        <w:tc>
          <w:tcPr>
            <w:tcW w:type="dxa" w:w="6624"/>
            <w:vAlign w:val="center"/>
            <w:shd w:fill="1B4363"/>
          </w:tcPr>
          <w:p>
            <w:pPr>
              <w:spacing w:after="0"/>
            </w:pPr>
            <w:r/>
            <w:r>
              <w:rPr>
                <w:rFonts w:ascii="Arial" w:hAnsi="Arial"/>
                <w:b/>
                <w:color w:val="FFFFFF"/>
                <w:sz w:val="16"/>
              </w:rPr>
              <w:t>Canonical base</w:t>
            </w:r>
          </w:p>
        </w:tc>
      </w:tr>
      <w:tr>
        <w:tc>
          <w:tcPr>
            <w:tcW w:type="dxa" w:w="3168"/>
            <w:vAlign w:val="center"/>
          </w:tcPr>
          <w:p>
            <w:pPr>
              <w:spacing w:after="0"/>
            </w:pPr>
            <w:r/>
            <w:r>
              <w:rPr>
                <w:rFonts w:ascii="Arial" w:hAnsi="Arial"/>
                <w:b w:val="0"/>
                <w:sz w:val="15"/>
              </w:rPr>
              <w:t>Oolix user API</w:t>
            </w:r>
          </w:p>
        </w:tc>
        <w:tc>
          <w:tcPr>
            <w:tcW w:type="dxa" w:w="6624"/>
            <w:vAlign w:val="center"/>
          </w:tcPr>
          <w:p>
            <w:pPr>
              <w:spacing w:after="0"/>
            </w:pPr>
            <w:r/>
            <w:r>
              <w:rPr>
                <w:rFonts w:ascii="Arial" w:hAnsi="Arial"/>
                <w:b w:val="0"/>
                <w:sz w:val="15"/>
              </w:rPr>
              <w:t>/v1/...</w:t>
            </w:r>
          </w:p>
        </w:tc>
      </w:tr>
      <w:tr>
        <w:tc>
          <w:tcPr>
            <w:tcW w:type="dxa" w:w="3168"/>
            <w:vAlign w:val="center"/>
          </w:tcPr>
          <w:p>
            <w:pPr>
              <w:spacing w:after="0"/>
            </w:pPr>
            <w:r/>
            <w:r>
              <w:rPr>
                <w:rFonts w:ascii="Arial" w:hAnsi="Arial"/>
                <w:b w:val="0"/>
                <w:sz w:val="15"/>
              </w:rPr>
              <w:t>Oolix Agent-facing API</w:t>
            </w:r>
          </w:p>
        </w:tc>
        <w:tc>
          <w:tcPr>
            <w:tcW w:type="dxa" w:w="6624"/>
            <w:vAlign w:val="center"/>
          </w:tcPr>
          <w:p>
            <w:pPr>
              <w:spacing w:after="0"/>
            </w:pPr>
            <w:r/>
            <w:r>
              <w:rPr>
                <w:rFonts w:ascii="Arial" w:hAnsi="Arial"/>
                <w:b w:val="0"/>
                <w:sz w:val="15"/>
              </w:rPr>
              <w:t>/agent/v1/...</w:t>
            </w:r>
          </w:p>
        </w:tc>
      </w:tr>
      <w:tr>
        <w:tc>
          <w:tcPr>
            <w:tcW w:type="dxa" w:w="3168"/>
            <w:vAlign w:val="center"/>
          </w:tcPr>
          <w:p>
            <w:pPr>
              <w:spacing w:after="0"/>
            </w:pPr>
            <w:r/>
            <w:r>
              <w:rPr>
                <w:rFonts w:ascii="Arial" w:hAnsi="Arial"/>
                <w:b w:val="0"/>
                <w:sz w:val="15"/>
              </w:rPr>
              <w:t>Partner Agent private/local API</w:t>
            </w:r>
          </w:p>
        </w:tc>
        <w:tc>
          <w:tcPr>
            <w:tcW w:type="dxa" w:w="6624"/>
            <w:vAlign w:val="center"/>
          </w:tcPr>
          <w:p>
            <w:pPr>
              <w:spacing w:after="0"/>
            </w:pPr>
            <w:r/>
            <w:r>
              <w:rPr>
                <w:rFonts w:ascii="Arial" w:hAnsi="Arial"/>
                <w:b w:val="0"/>
                <w:sz w:val="15"/>
              </w:rPr>
              <w:t>/private/v1/...</w:t>
            </w:r>
          </w:p>
        </w:tc>
      </w:tr>
      <w:tr>
        <w:tc>
          <w:tcPr>
            <w:tcW w:type="dxa" w:w="3168"/>
            <w:vAlign w:val="center"/>
          </w:tcPr>
          <w:p>
            <w:pPr>
              <w:spacing w:after="0"/>
            </w:pPr>
            <w:r/>
            <w:r>
              <w:rPr>
                <w:rFonts w:ascii="Arial" w:hAnsi="Arial"/>
                <w:b w:val="0"/>
                <w:sz w:val="15"/>
              </w:rPr>
              <w:t>Health probes</w:t>
            </w:r>
          </w:p>
        </w:tc>
        <w:tc>
          <w:tcPr>
            <w:tcW w:type="dxa" w:w="6624"/>
            <w:vAlign w:val="center"/>
          </w:tcPr>
          <w:p>
            <w:pPr>
              <w:spacing w:after="0"/>
            </w:pPr>
            <w:r/>
            <w:r>
              <w:rPr>
                <w:rFonts w:ascii="Arial" w:hAnsi="Arial"/>
                <w:b w:val="0"/>
                <w:sz w:val="15"/>
              </w:rPr>
              <w:t>/healthz and /readyz</w:t>
            </w:r>
          </w:p>
        </w:tc>
      </w:tr>
    </w:tbl>
    <w:p/>
    <w:p>
      <w:pPr>
        <w:pStyle w:val="Heading2"/>
      </w:pPr>
      <w:r>
        <w:t>67.1 Create campaign</w:t>
      </w:r>
    </w:p>
    <w:p>
      <w:pPr>
        <w:spacing w:before="40" w:after="80"/>
        <w:ind w:left="259" w:right="144"/>
        <w:shd w:fill="F3F4F6"/>
      </w:pPr>
      <w:r>
        <w:rPr>
          <w:rFonts w:ascii="Courier New" w:hAnsi="Courier New"/>
          <w:sz w:val="14"/>
        </w:rPr>
        <w:t>POST /v1/campaigns</w:t>
        <w:br/>
        <w:t>Idempotency-Key: 62ed0d5c-...</w:t>
        <w:br/>
        <w:br/>
        <w:t>{</w:t>
        <w:br/>
        <w:t xml:space="preserve">  "name": "Summer Travel Insurance Campaign",</w:t>
        <w:br/>
        <w:t xml:space="preserve">  "objective": "QUALIFIED_LEADS",</w:t>
        <w:br/>
        <w:t xml:space="preserve">  "brand_id": "br_123",</w:t>
        <w:br/>
        <w:t xml:space="preserve">  "category": "insurance",</w:t>
        <w:br/>
        <w:t xml:space="preserve">  "purpose_id": "travel_insurance_offer",</w:t>
        <w:br/>
        <w:t xml:space="preserve">  "budget": {"amount_minor": 50000000, "currency": "INR"},</w:t>
        <w:br/>
        <w:t xml:space="preserve">  "start_at": "2026-09-01T00:00:00Z",</w:t>
        <w:br/>
        <w:t xml:space="preserve">  "end_at": "2026-10-31T23:59:59Z",</w:t>
        <w:br/>
        <w:t xml:space="preserve">  "geographies": ["IN"],</w:t>
        <w:br/>
        <w:t xml:space="preserve">  "landing_url": "https://insurance.example/quote",</w:t>
        <w:br/>
        <w:t xml:space="preserve">  "lead_definition": {</w:t>
        <w:br/>
        <w:t xml:space="preserve">    "qualified_statuses": ["QUALIFIED"],</w:t>
        <w:br/>
        <w:t xml:space="preserve">    "duplicate_window_days": 30</w:t>
        <w:br/>
        <w:t xml:space="preserve">  }</w:t>
        <w:br/>
        <w:t>}</w:t>
        <w:br/>
        <w:br/>
        <w:t>201</w:t>
        <w:br/>
        <w:t>{</w:t>
        <w:br/>
        <w:t xml:space="preserve">  "id": "cmp_100",</w:t>
        <w:br/>
        <w:t xml:space="preserve">  "status": "DRAFT",</w:t>
        <w:br/>
        <w:t xml:space="preserve">  "version": 1,</w:t>
        <w:br/>
        <w:t xml:space="preserve">  "created_at": "2026-08-22T10:00:00Z"</w:t>
        <w:br/>
        <w:t>}</w:t>
      </w:r>
    </w:p>
    <w:p>
      <w:pPr>
        <w:pStyle w:val="Heading2"/>
      </w:pPr>
      <w:r>
        <w:t>67.2 Add Partner request</w:t>
      </w:r>
    </w:p>
    <w:p>
      <w:pPr>
        <w:spacing w:before="40" w:after="80"/>
        <w:ind w:left="259" w:right="144"/>
        <w:shd w:fill="F3F4F6"/>
      </w:pPr>
      <w:r>
        <w:rPr>
          <w:rFonts w:ascii="Courier New" w:hAnsi="Courier New"/>
          <w:sz w:val="14"/>
        </w:rPr>
        <w:t>POST /v1/campaigns/cmp_100/partner-requests</w:t>
        <w:br/>
        <w:t>Idempotency-Key: ...</w:t>
        <w:br/>
        <w:br/>
        <w:t>{</w:t>
        <w:br/>
        <w:t xml:space="preserve">  "partner_org_id": "org_partner_a",</w:t>
        <w:br/>
        <w:t xml:space="preserve">  "segment_id": "seg_recent_travellers",</w:t>
        <w:br/>
        <w:t xml:space="preserve">  "channels": [</w:t>
        <w:br/>
        <w:t xml:space="preserve">    {</w:t>
        <w:br/>
        <w:t xml:space="preserve">      "channel": "PARTNER_WEB",</w:t>
        <w:br/>
        <w:t xml:space="preserve">      "placement_ids": ["pl_booking_success"],</w:t>
        <w:br/>
        <w:t xml:space="preserve">      "allocation_minor": 30000000,</w:t>
        <w:br/>
        <w:t xml:space="preserve">      "frequency_cap": {"max_impressions": 2, "window": "P1D"}</w:t>
        <w:br/>
        <w:t xml:space="preserve">    }</w:t>
        <w:br/>
        <w:t xml:space="preserve">  ],</w:t>
        <w:br/>
        <w:t xml:space="preserve">  "creative_version_ids": ["crv_10"],</w:t>
        <w:br/>
        <w:t xml:space="preserve">  "audience_expansion_allowed": false</w:t>
        <w:br/>
        <w:t>}</w:t>
        <w:br/>
        <w:br/>
        <w:t>201</w:t>
        <w:br/>
        <w:t>{</w:t>
        <w:br/>
        <w:t xml:space="preserve">  "request_id": "req_a",</w:t>
        <w:br/>
        <w:t xml:space="preserve">  "status": "DRAFT",</w:t>
        <w:br/>
        <w:t xml:space="preserve">  "request_version": 1,</w:t>
        <w:br/>
        <w:t xml:space="preserve">  "channel_requests": [</w:t>
        <w:br/>
        <w:t xml:space="preserve">    {"channel": "PARTNER_WEB", "provisional_activation_id": "act_a_web"}</w:t>
        <w:br/>
        <w:t xml:space="preserve">  ]</w:t>
        <w:br/>
        <w:t>}</w:t>
      </w:r>
    </w:p>
    <w:p>
      <w:pPr>
        <w:pStyle w:val="Heading2"/>
      </w:pPr>
      <w:r>
        <w:t>67.3 Submit campaign</w:t>
      </w:r>
    </w:p>
    <w:p>
      <w:pPr>
        <w:spacing w:before="40" w:after="80"/>
        <w:ind w:left="259" w:right="144"/>
        <w:shd w:fill="F3F4F6"/>
      </w:pPr>
      <w:r>
        <w:rPr>
          <w:rFonts w:ascii="Courier New" w:hAnsi="Courier New"/>
          <w:sz w:val="14"/>
        </w:rPr>
        <w:t>POST /v1/campaigns/cmp_100/submit</w:t>
        <w:br/>
        <w:t>Idempotency-Key: ...</w:t>
        <w:br/>
        <w:br/>
        <w:t>200</w:t>
        <w:br/>
        <w:t>{</w:t>
        <w:br/>
        <w:t xml:space="preserve">  "campaign_id": "cmp_100",</w:t>
        <w:br/>
        <w:t xml:space="preserve">  "status": "SUBMITTED",</w:t>
        <w:br/>
        <w:t xml:space="preserve">  "requests": [</w:t>
        <w:br/>
        <w:t xml:space="preserve">    {"request_id":"req_a","status":"PARTNER_REVIEW"},</w:t>
        <w:br/>
        <w:t xml:space="preserve">    {"request_id":"req_b","status":"PARTNER_REVIEW"}</w:t>
        <w:br/>
        <w:t xml:space="preserve">  ]</w:t>
        <w:br/>
        <w:t>}</w:t>
      </w:r>
    </w:p>
    <w:p>
      <w:pPr>
        <w:pStyle w:val="Heading2"/>
      </w:pPr>
      <w:r>
        <w:t>67.4 Partner decision</w:t>
      </w:r>
    </w:p>
    <w:p>
      <w:pPr>
        <w:spacing w:before="40" w:after="80"/>
        <w:ind w:left="259" w:right="144"/>
        <w:shd w:fill="F3F4F6"/>
      </w:pPr>
      <w:r>
        <w:rPr>
          <w:rFonts w:ascii="Courier New" w:hAnsi="Courier New"/>
          <w:sz w:val="14"/>
        </w:rPr>
        <w:t>POST /v1/partner-requests/req_a/approve</w:t>
        <w:br/>
        <w:t>Idempotency-Key: ...</w:t>
        <w:br/>
        <w:br/>
        <w:t>{</w:t>
        <w:br/>
        <w:t xml:space="preserve">  "decision_version": 1,</w:t>
        <w:br/>
        <w:t xml:space="preserve">  "approved_channels": ["PARTNER_WEB"],</w:t>
        <w:br/>
        <w:t xml:space="preserve">  "approved_placement_ids": ["pl_booking_success"],</w:t>
        <w:br/>
        <w:t xml:space="preserve">  "approved_budget_minor": 30000000,</w:t>
        <w:br/>
        <w:t xml:space="preserve">  "partner_payout": {"model":"CPQL","unit_price_minor":45000},</w:t>
        <w:br/>
        <w:t xml:space="preserve">  "approval_note": "Approved for travel-insurance offer only."</w:t>
        <w:br/>
        <w:t>}</w:t>
        <w:br/>
        <w:br/>
        <w:t>200</w:t>
        <w:br/>
        <w:t>{</w:t>
        <w:br/>
        <w:t xml:space="preserve">  "request_id":"req_a",</w:t>
        <w:br/>
        <w:t xml:space="preserve">  "status":"APPROVED",</w:t>
        <w:br/>
        <w:t xml:space="preserve">  "activation_ids":["act_a_web"],</w:t>
        <w:br/>
        <w:t xml:space="preserve">  "manifest_version":1</w:t>
        <w:br/>
        <w:t>}</w:t>
      </w:r>
    </w:p>
    <w:p>
      <w:pPr>
        <w:pStyle w:val="Heading2"/>
      </w:pPr>
      <w:r>
        <w:t>67.5 Catalogue search</w:t>
      </w:r>
    </w:p>
    <w:p>
      <w:pPr>
        <w:spacing w:before="40" w:after="80"/>
        <w:ind w:left="259" w:right="144"/>
        <w:shd w:fill="F3F4F6"/>
      </w:pPr>
      <w:r>
        <w:rPr>
          <w:rFonts w:ascii="Courier New" w:hAnsi="Courier New"/>
          <w:sz w:val="14"/>
        </w:rPr>
        <w:t>GET /v1/catalogue/segments?query=traveller&amp;geo=IN&amp;freshness_max_hours=24&amp;reach_min=50000&amp;channel=PARTNER_WEB&amp;pricing_model=CPQL&amp;cursor=...</w:t>
        <w:br/>
        <w:br/>
        <w:t>200</w:t>
        <w:br/>
        <w:t>{</w:t>
        <w:br/>
        <w:t xml:space="preserve">  "items":[</w:t>
        <w:br/>
        <w:t xml:space="preserve">    {</w:t>
        <w:br/>
        <w:t xml:space="preserve">      "segment_id":"seg_recent_travellers",</w:t>
        <w:br/>
        <w:t xml:space="preserve">      "partner":{"id":"org_partner_a","display_name":"Travel A","trust_status":"VERIFIED"},</w:t>
        <w:br/>
        <w:t xml:space="preserve">      "display_name":"Recent Travellers",</w:t>
        <w:br/>
        <w:t xml:space="preserve">      "reach_bucket":"100K_250K",</w:t>
        <w:br/>
        <w:t xml:space="preserve">      "freshness_at":"2026-08-22T04:00:00Z",</w:t>
        <w:br/>
        <w:t xml:space="preserve">      "channels":[{"type":"PARTNER_WEB","status":"AVAILABLE"},{"type":"META","status":"CONDITIONAL"}],</w:t>
        <w:br/>
        <w:t xml:space="preserve">      "pricing":{"model":"CPQL","indicative_unit_price_minor":45000,"currency":"INR"}</w:t>
        <w:br/>
        <w:t xml:space="preserve">    }</w:t>
        <w:br/>
        <w:t xml:space="preserve">  ],</w:t>
        <w:br/>
        <w:t xml:space="preserve">  "next_cursor":null</w:t>
        <w:br/>
        <w:t>}</w:t>
      </w:r>
    </w:p>
    <w:p>
      <w:pPr>
        <w:pStyle w:val="Heading2"/>
      </w:pPr>
      <w:r>
        <w:t>67.6 Local ad decision</w:t>
      </w:r>
    </w:p>
    <w:p>
      <w:pPr>
        <w:spacing w:before="40" w:after="80"/>
        <w:ind w:left="259" w:right="144"/>
        <w:shd w:fill="F3F4F6"/>
      </w:pPr>
      <w:r>
        <w:rPr>
          <w:rFonts w:ascii="Courier New" w:hAnsi="Courier New"/>
          <w:sz w:val="14"/>
        </w:rPr>
        <w:t>POST http://partner-agent.local/private/v1/ad-decision</w:t>
        <w:br/>
        <w:t>Content-Type: application/json</w:t>
        <w:br/>
        <w:br/>
        <w:t>{</w:t>
        <w:br/>
        <w:t xml:space="preserve">  "partner_user_id":"U123",</w:t>
        <w:br/>
        <w:t xml:space="preserve">  "placement_id":"booking_success_offer",</w:t>
        <w:br/>
        <w:t xml:space="preserve">  "context":{"page_type":"booking_success","locale":"en-IN"}</w:t>
        <w:br/>
        <w:t>}</w:t>
        <w:br/>
        <w:br/>
        <w:t>200</w:t>
        <w:br/>
        <w:t>{</w:t>
        <w:br/>
        <w:t xml:space="preserve">  "decision":"SHOW",</w:t>
        <w:br/>
        <w:t xml:space="preserve">  "activation_id":"act_a_web",</w:t>
        <w:br/>
        <w:t xml:space="preserve">  "creative":{</w:t>
        <w:br/>
        <w:t xml:space="preserve">    "creative_version_id":"crv_10",</w:t>
        <w:br/>
        <w:t xml:space="preserve">    "format":"NATIVE_CARD",</w:t>
        <w:br/>
        <w:t xml:space="preserve">    "headline":"Protect your trip",</w:t>
        <w:br/>
        <w:t xml:space="preserve">    "body":"Get travel insurance in minutes.",</w:t>
        <w:br/>
        <w:t xml:space="preserve">    "cta":"GET_QUOTE",</w:t>
        <w:br/>
        <w:t xml:space="preserve">    "asset_url":"https://cdn.example/...",</w:t>
        <w:br/>
        <w:t xml:space="preserve">    "destination_url":"https://insurance.example/quote?t=&lt;opaque-token&gt;"</w:t>
        <w:br/>
        <w:t xml:space="preserve">  },</w:t>
        <w:br/>
        <w:t xml:space="preserve">  "cache_ttl_ms":30000</w:t>
        <w:br/>
        <w:t>}</w:t>
      </w:r>
    </w:p>
    <w:p>
      <w:pPr>
        <w:pStyle w:val="Heading1"/>
      </w:pPr>
      <w:r>
        <w:t>68. Web SDK / Ad Component Implementation Contract</w:t>
      </w:r>
    </w:p>
    <w:p>
      <w:pPr>
        <w:spacing w:before="40" w:after="80"/>
        <w:ind w:left="259" w:right="144"/>
        <w:shd w:fill="F3F4F6"/>
      </w:pPr>
      <w:r>
        <w:rPr>
          <w:rFonts w:ascii="Courier New" w:hAnsi="Courier New"/>
          <w:sz w:val="14"/>
        </w:rPr>
        <w:t>// packages/sdk-web/package.json</w:t>
        <w:br/>
        <w:t>{</w:t>
        <w:br/>
        <w:t xml:space="preserve">  "name": "@oolix/ad-sdk-web",</w:t>
        <w:br/>
        <w:t xml:space="preserve">  "version": "0.1.0",</w:t>
        <w:br/>
        <w:t xml:space="preserve">  "type": "module",</w:t>
        <w:br/>
        <w:t xml:space="preserve">  "main": "dist/index.js",</w:t>
        <w:br/>
        <w:t xml:space="preserve">  "types": "dist/index.d.ts",</w:t>
        <w:br/>
        <w:t xml:space="preserve">  "exports": {".": {"import":"./dist/index.js","types":"./dist/index.d.ts"}}</w:t>
        <w:br/>
        <w:t>}</w:t>
      </w:r>
    </w:p>
    <w:p>
      <w:pPr>
        <w:pStyle w:val="ListBullet"/>
        <w:spacing w:after="40"/>
      </w:pPr>
      <w:r>
        <w:t>Semantic Versioning. Breaking API changes increment major version; Partner integration pins a compatible range.</w:t>
      </w:r>
    </w:p>
    <w:p>
      <w:pPr>
        <w:pStyle w:val="ListBullet"/>
        <w:spacing w:after="40"/>
      </w:pPr>
      <w:r>
        <w:t>SDK contains rendering, timeout/fallback, visibility measurement hooks and click handling only. It contains no Partner customer targeting rules.</w:t>
      </w:r>
    </w:p>
    <w:p>
      <w:pPr>
        <w:pStyle w:val="ListBullet"/>
        <w:spacing w:after="40"/>
      </w:pPr>
      <w:r>
        <w:t>SDK sends no customer ID to Oolix. It calls the Partner's backend endpoint or an approved same-network gateway.</w:t>
      </w:r>
    </w:p>
    <w:p>
      <w:pPr>
        <w:pStyle w:val="ListBullet"/>
        <w:spacing w:after="40"/>
      </w:pPr>
      <w:r>
        <w:t>Default decision timeout: 150 ms. On timeout/error, render NO_AD or Partner-provided fallback and never block the core page.</w:t>
      </w:r>
    </w:p>
    <w:p>
      <w:pPr>
        <w:spacing w:before="40" w:after="80"/>
        <w:ind w:left="259" w:right="144"/>
        <w:shd w:fill="F3F4F6"/>
      </w:pPr>
      <w:r>
        <w:rPr>
          <w:rFonts w:ascii="Courier New" w:hAnsi="Courier New"/>
          <w:sz w:val="14"/>
        </w:rPr>
        <w:t>import { OolixProvider, OolixAdSlot } from "@oolix/ad-sdk-web";</w:t>
        <w:br/>
        <w:br/>
        <w:t>export function BookingSuccessOffer() {</w:t>
        <w:br/>
        <w:t xml:space="preserve">  return (</w:t>
        <w:br/>
        <w:t xml:space="preserve">    &lt;OolixProvider</w:t>
        <w:br/>
        <w:t xml:space="preserve">      decisionEndpoint="/internal/ads/decision"</w:t>
        <w:br/>
        <w:t xml:space="preserve">      requestTimeoutMs={150}</w:t>
        <w:br/>
        <w:t xml:space="preserve">    &gt;</w:t>
        <w:br/>
        <w:t xml:space="preserve">      &lt;OolixAdSlot</w:t>
        <w:br/>
        <w:t xml:space="preserve">        placementId="booking_success_offer"</w:t>
        <w:br/>
        <w:t xml:space="preserve">        fallback={&lt;PartnerHouseOffer /&gt;}</w:t>
        <w:br/>
        <w:t xml:space="preserve">        onError={(e) =&gt; console.warn("ad-slot", e.code)}</w:t>
        <w:br/>
        <w:t xml:space="preserve">      /&gt;</w:t>
        <w:br/>
        <w:t xml:space="preserve">    &lt;/OolixProvider&gt;</w:t>
        <w:br/>
        <w:t xml:space="preserve">  );</w:t>
        <w:br/>
        <w:t>}</w:t>
      </w:r>
    </w:p>
    <w:p>
      <w:pPr>
        <w:pStyle w:val="Heading2"/>
      </w:pPr>
      <w:r>
        <w:t>68.1 Partner backend integration</w:t>
      </w:r>
    </w:p>
    <w:p>
      <w:pPr>
        <w:spacing w:before="40" w:after="80"/>
        <w:ind w:left="259" w:right="144"/>
        <w:shd w:fill="F3F4F6"/>
      </w:pPr>
      <w:r>
        <w:rPr>
          <w:rFonts w:ascii="Courier New" w:hAnsi="Courier New"/>
          <w:sz w:val="14"/>
        </w:rPr>
        <w:t>// Partner backend pseudocode</w:t>
        <w:br/>
        <w:t>POST /internal/ads/decision</w:t>
        <w:br/>
        <w:t>1. authenticate existing Partner session</w:t>
        <w:br/>
        <w:t>2. obtain internal partner_user_id server-side</w:t>
        <w:br/>
        <w:t>3. call http://partner-agent.local/private/v1/ad-decision</w:t>
        <w:br/>
        <w:t>4. return sanitized ad payload to browser</w:t>
        <w:br/>
        <w:t>5. never return partner_user_id to Oolix or place it in click URLs</w:t>
      </w:r>
    </w:p>
    <w:p>
      <w:pPr>
        <w:pStyle w:val="Heading1"/>
      </w:pPr>
      <w:r>
        <w:t>69. Partner Agent Deployment, Configuration and Workload Authentication</w:t>
      </w:r>
    </w:p>
    <w:p>
      <w:pPr>
        <w:jc w:val="center"/>
      </w:pPr>
      <w:r>
        <w:drawing>
          <wp:inline xmlns:a="http://schemas.openxmlformats.org/drawingml/2006/main" xmlns:pic="http://schemas.openxmlformats.org/drawingml/2006/picture">
            <wp:extent cx="6126480" cy="834916"/>
            <wp:docPr id="25" name="Picture 25"/>
            <wp:cNvGraphicFramePr>
              <a:graphicFrameLocks noChangeAspect="1"/>
            </wp:cNvGraphicFramePr>
            <a:graphic>
              <a:graphicData uri="http://schemas.openxmlformats.org/drawingml/2006/picture">
                <pic:pic>
                  <pic:nvPicPr>
                    <pic:cNvPr id="0" name="agent_auth.png"/>
                    <pic:cNvPicPr/>
                  </pic:nvPicPr>
                  <pic:blipFill>
                    <a:blip r:embed="rId32"/>
                    <a:stretch>
                      <a:fillRect/>
                    </a:stretch>
                  </pic:blipFill>
                  <pic:spPr>
                    <a:xfrm>
                      <a:off x="0" y="0"/>
                      <a:ext cx="6126480" cy="834916"/>
                    </a:xfrm>
                    <a:prstGeom prst="rect"/>
                  </pic:spPr>
                </pic:pic>
              </a:graphicData>
            </a:graphic>
          </wp:inline>
        </w:drawing>
      </w:r>
    </w:p>
    <w:p>
      <w:pPr>
        <w:jc w:val="center"/>
      </w:pPr>
      <w:r>
        <w:rPr>
          <w:i/>
          <w:color w:val="4B5563"/>
          <w:sz w:val="15"/>
        </w:rPr>
        <w:t>Figure 25. Canonical Partner Agent bootstrap and workload-authentication flow.</w:t>
      </w:r>
    </w:p>
    <w:p>
      <w:pPr>
        <w:pStyle w:val="Heading2"/>
      </w:pPr>
      <w:r>
        <w:t>69.1 Configuration file</w:t>
      </w:r>
    </w:p>
    <w:p>
      <w:pPr>
        <w:spacing w:before="40" w:after="80"/>
        <w:ind w:left="259" w:right="144"/>
        <w:shd w:fill="F3F4F6"/>
      </w:pPr>
      <w:r>
        <w:rPr>
          <w:rFonts w:ascii="Courier New" w:hAnsi="Courier New"/>
          <w:sz w:val="14"/>
        </w:rPr>
        <w:t>agent:</w:t>
        <w:br/>
        <w:t xml:space="preserve">  partner_id: "org_partner_a"</w:t>
        <w:br/>
        <w:t xml:space="preserve">  listen_addr: "0.0.0.0:8080"</w:t>
        <w:br/>
        <w:t xml:space="preserve">  control_sync_interval: "30s"</w:t>
        <w:br/>
        <w:t xml:space="preserve">  stale_grace: "15m"</w:t>
        <w:br/>
        <w:br/>
        <w:t>oolix:</w:t>
        <w:br/>
        <w:t xml:space="preserve">  api_base_url: "https://api.oolix.example"</w:t>
        <w:br/>
        <w:t xml:space="preserve">  oidc_token_url: "https://api.oolix.example/agent/v1/token"</w:t>
        <w:br/>
        <w:br/>
        <w:t>connector:</w:t>
        <w:br/>
        <w:t xml:space="preserve">  type: "postgres_view"</w:t>
        <w:br/>
        <w:t xml:space="preserve">  dsn_secret_ref: "secret://partner/oolix/audience-dsn"</w:t>
        <w:br/>
        <w:t xml:space="preserve">  membership_query: "SELECT 1 FROM oolix_segment_membership WHERE user_id=$1 AND segment_id=$2 AND expires_at&gt;NOW()"</w:t>
        <w:br/>
        <w:br/>
        <w:t>state:</w:t>
        <w:br/>
        <w:t xml:space="preserve">  mode: "embedded"   # embedded for one replica; redis for multi-replica</w:t>
        <w:br/>
        <w:t xml:space="preserve">  path: "/var/lib/oolix-agent"</w:t>
        <w:br/>
        <w:t xml:space="preserve">  redis_url_secret_ref: null</w:t>
        <w:br/>
        <w:br/>
        <w:t>channels:</w:t>
        <w:br/>
        <w:t xml:space="preserve">  meta:</w:t>
        <w:br/>
        <w:t xml:space="preserve">    enabled: false</w:t>
        <w:br/>
        <w:t xml:space="preserve">  google:</w:t>
        <w:br/>
        <w:t xml:space="preserve">    enabled: false</w:t>
        <w:br/>
        <w:br/>
        <w:t>logging:</w:t>
        <w:br/>
        <w:t xml:space="preserve">  level: "info"</w:t>
        <w:br/>
        <w:t xml:space="preserve">  format: "json"</w:t>
        <w:br/>
        <w:t xml:space="preserve">  redact_fields: ["partner_user_id","email","phone","mobile_id"]</w:t>
      </w:r>
    </w:p>
    <w:p>
      <w:pPr>
        <w:pStyle w:val="Heading2"/>
      </w:pPr>
      <w:r>
        <w:t>69.2 Health probes and resources</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Item</w:t>
            </w:r>
          </w:p>
        </w:tc>
        <w:tc>
          <w:tcPr>
            <w:tcW w:type="dxa" w:w="6912"/>
            <w:vAlign w:val="center"/>
            <w:shd w:fill="1B4363"/>
          </w:tcPr>
          <w:p>
            <w:pPr>
              <w:spacing w:after="0"/>
            </w:pPr>
            <w:r/>
            <w:r>
              <w:rPr>
                <w:rFonts w:ascii="Arial" w:hAnsi="Arial"/>
                <w:b/>
                <w:color w:val="FFFFFF"/>
                <w:sz w:val="16"/>
              </w:rPr>
              <w:t>MVP default</w:t>
            </w:r>
          </w:p>
        </w:tc>
      </w:tr>
      <w:tr>
        <w:tc>
          <w:tcPr>
            <w:tcW w:type="dxa" w:w="2880"/>
            <w:vAlign w:val="center"/>
          </w:tcPr>
          <w:p>
            <w:pPr>
              <w:spacing w:after="0"/>
            </w:pPr>
            <w:r/>
            <w:r>
              <w:rPr>
                <w:rFonts w:ascii="Arial" w:hAnsi="Arial"/>
                <w:b w:val="0"/>
                <w:sz w:val="15"/>
              </w:rPr>
              <w:t>GET /healthz</w:t>
            </w:r>
          </w:p>
        </w:tc>
        <w:tc>
          <w:tcPr>
            <w:tcW w:type="dxa" w:w="6912"/>
            <w:vAlign w:val="center"/>
          </w:tcPr>
          <w:p>
            <w:pPr>
              <w:spacing w:after="0"/>
            </w:pPr>
            <w:r/>
            <w:r>
              <w:rPr>
                <w:rFonts w:ascii="Arial" w:hAnsi="Arial"/>
                <w:b w:val="0"/>
                <w:sz w:val="15"/>
              </w:rPr>
              <w:t>Process alive; no dependency checks.</w:t>
            </w:r>
          </w:p>
        </w:tc>
      </w:tr>
      <w:tr>
        <w:tc>
          <w:tcPr>
            <w:tcW w:type="dxa" w:w="2880"/>
            <w:vAlign w:val="center"/>
          </w:tcPr>
          <w:p>
            <w:pPr>
              <w:spacing w:after="0"/>
            </w:pPr>
            <w:r/>
            <w:r>
              <w:rPr>
                <w:rFonts w:ascii="Arial" w:hAnsi="Arial"/>
                <w:b w:val="0"/>
                <w:sz w:val="15"/>
              </w:rPr>
              <w:t>GET /readyz</w:t>
            </w:r>
          </w:p>
        </w:tc>
        <w:tc>
          <w:tcPr>
            <w:tcW w:type="dxa" w:w="6912"/>
            <w:vAlign w:val="center"/>
          </w:tcPr>
          <w:p>
            <w:pPr>
              <w:spacing w:after="0"/>
            </w:pPr>
            <w:r/>
            <w:r>
              <w:rPr>
                <w:rFonts w:ascii="Arial" w:hAnsi="Arial"/>
                <w:b w:val="0"/>
                <w:sz w:val="15"/>
              </w:rPr>
              <w:t>Control config loaded + connector healthy enough to decide.</w:t>
            </w:r>
          </w:p>
        </w:tc>
      </w:tr>
      <w:tr>
        <w:tc>
          <w:tcPr>
            <w:tcW w:type="dxa" w:w="2880"/>
            <w:vAlign w:val="center"/>
          </w:tcPr>
          <w:p>
            <w:pPr>
              <w:spacing w:after="0"/>
            </w:pPr>
            <w:r/>
            <w:r>
              <w:rPr>
                <w:rFonts w:ascii="Arial" w:hAnsi="Arial"/>
                <w:b w:val="0"/>
                <w:sz w:val="15"/>
              </w:rPr>
              <w:t>CPU request/limit</w:t>
            </w:r>
          </w:p>
        </w:tc>
        <w:tc>
          <w:tcPr>
            <w:tcW w:type="dxa" w:w="6912"/>
            <w:vAlign w:val="center"/>
          </w:tcPr>
          <w:p>
            <w:pPr>
              <w:spacing w:after="0"/>
            </w:pPr>
            <w:r/>
            <w:r>
              <w:rPr>
                <w:rFonts w:ascii="Arial" w:hAnsi="Arial"/>
                <w:b w:val="0"/>
                <w:sz w:val="15"/>
              </w:rPr>
              <w:t>250m / 1000m initial baseline.</w:t>
            </w:r>
          </w:p>
        </w:tc>
      </w:tr>
      <w:tr>
        <w:tc>
          <w:tcPr>
            <w:tcW w:type="dxa" w:w="2880"/>
            <w:vAlign w:val="center"/>
          </w:tcPr>
          <w:p>
            <w:pPr>
              <w:spacing w:after="0"/>
            </w:pPr>
            <w:r/>
            <w:r>
              <w:rPr>
                <w:rFonts w:ascii="Arial" w:hAnsi="Arial"/>
                <w:b w:val="0"/>
                <w:sz w:val="15"/>
              </w:rPr>
              <w:t>Memory request/limit</w:t>
            </w:r>
          </w:p>
        </w:tc>
        <w:tc>
          <w:tcPr>
            <w:tcW w:type="dxa" w:w="6912"/>
            <w:vAlign w:val="center"/>
          </w:tcPr>
          <w:p>
            <w:pPr>
              <w:spacing w:after="0"/>
            </w:pPr>
            <w:r/>
            <w:r>
              <w:rPr>
                <w:rFonts w:ascii="Arial" w:hAnsi="Arial"/>
                <w:b w:val="0"/>
                <w:sz w:val="15"/>
              </w:rPr>
              <w:t>256 MiB / 1 GiB initial baseline.</w:t>
            </w:r>
          </w:p>
        </w:tc>
      </w:tr>
      <w:tr>
        <w:tc>
          <w:tcPr>
            <w:tcW w:type="dxa" w:w="2880"/>
            <w:vAlign w:val="center"/>
          </w:tcPr>
          <w:p>
            <w:pPr>
              <w:spacing w:after="0"/>
            </w:pPr>
            <w:r/>
            <w:r>
              <w:rPr>
                <w:rFonts w:ascii="Arial" w:hAnsi="Arial"/>
                <w:b w:val="0"/>
                <w:sz w:val="15"/>
              </w:rPr>
              <w:t>Persistent disk</w:t>
            </w:r>
          </w:p>
        </w:tc>
        <w:tc>
          <w:tcPr>
            <w:tcW w:type="dxa" w:w="6912"/>
            <w:vAlign w:val="center"/>
          </w:tcPr>
          <w:p>
            <w:pPr>
              <w:spacing w:after="0"/>
            </w:pPr>
            <w:r/>
            <w:r>
              <w:rPr>
                <w:rFonts w:ascii="Arial" w:hAnsi="Arial"/>
                <w:b w:val="0"/>
                <w:sz w:val="15"/>
              </w:rPr>
              <w:t>1-5 GiB for local cache/buffer in single-replica mode.</w:t>
            </w:r>
          </w:p>
        </w:tc>
      </w:tr>
      <w:tr>
        <w:tc>
          <w:tcPr>
            <w:tcW w:type="dxa" w:w="2880"/>
            <w:vAlign w:val="center"/>
          </w:tcPr>
          <w:p>
            <w:pPr>
              <w:spacing w:after="0"/>
            </w:pPr>
            <w:r/>
            <w:r>
              <w:rPr>
                <w:rFonts w:ascii="Arial" w:hAnsi="Arial"/>
                <w:b w:val="0"/>
                <w:sz w:val="15"/>
              </w:rPr>
              <w:t>Replicas</w:t>
            </w:r>
          </w:p>
        </w:tc>
        <w:tc>
          <w:tcPr>
            <w:tcW w:type="dxa" w:w="6912"/>
            <w:vAlign w:val="center"/>
          </w:tcPr>
          <w:p>
            <w:pPr>
              <w:spacing w:after="0"/>
            </w:pPr>
            <w:r/>
            <w:r>
              <w:rPr>
                <w:rFonts w:ascii="Arial" w:hAnsi="Arial"/>
                <w:b w:val="0"/>
                <w:sz w:val="15"/>
              </w:rPr>
              <w:t>1 for pilot; 2+ only with shared Partner-local Redis for frequency/pacing.</w:t>
            </w:r>
          </w:p>
        </w:tc>
      </w:tr>
      <w:tr>
        <w:tc>
          <w:tcPr>
            <w:tcW w:type="dxa" w:w="2880"/>
            <w:vAlign w:val="center"/>
          </w:tcPr>
          <w:p>
            <w:pPr>
              <w:spacing w:after="0"/>
            </w:pPr>
            <w:r/>
            <w:r>
              <w:rPr>
                <w:rFonts w:ascii="Arial" w:hAnsi="Arial"/>
                <w:b w:val="0"/>
                <w:sz w:val="15"/>
              </w:rPr>
              <w:t>Graceful shutdown</w:t>
            </w:r>
          </w:p>
        </w:tc>
        <w:tc>
          <w:tcPr>
            <w:tcW w:type="dxa" w:w="6912"/>
            <w:vAlign w:val="center"/>
          </w:tcPr>
          <w:p>
            <w:pPr>
              <w:spacing w:after="0"/>
            </w:pPr>
            <w:r/>
            <w:r>
              <w:rPr>
                <w:rFonts w:ascii="Arial" w:hAnsi="Arial"/>
                <w:b w:val="0"/>
                <w:sz w:val="15"/>
              </w:rPr>
              <w:t>30 seconds; flush event buffer, stop new decisions before exit.</w:t>
            </w:r>
          </w:p>
        </w:tc>
      </w:tr>
    </w:tbl>
    <w:p/>
    <w:p>
      <w:pPr>
        <w:pStyle w:val="Heading2"/>
      </w:pPr>
      <w:r>
        <w:t>69.3 Authentication details</w:t>
      </w:r>
    </w:p>
    <w:p>
      <w:pPr>
        <w:pStyle w:val="ListNumber"/>
        <w:spacing w:after="40"/>
      </w:pPr>
      <w:r>
        <w:t>PARTNER_SECURITY_ADMIN generates a one-time bootstrap token in Oolix; token expires after 15 minutes and is single-use.</w:t>
      </w:r>
    </w:p>
    <w:p>
      <w:pPr>
        <w:pStyle w:val="ListNumber"/>
        <w:spacing w:after="40"/>
      </w:pPr>
      <w:r>
        <w:t>Agent generates a local P-256 keypair. Private key stays in the Partner secret store/filesystem permission boundary.</w:t>
      </w:r>
    </w:p>
    <w:p>
      <w:pPr>
        <w:pStyle w:val="ListNumber"/>
        <w:spacing w:after="40"/>
      </w:pPr>
      <w:r>
        <w:t>Agent registers with bootstrap token + public key. Oolix returns agent_id/client_id and revokes the bootstrap token.</w:t>
      </w:r>
    </w:p>
    <w:p>
      <w:pPr>
        <w:pStyle w:val="ListNumber"/>
        <w:spacing w:after="40"/>
      </w:pPr>
      <w:r>
        <w:t>Agent authenticates with short-lived 15-minute access tokens obtained using an ES256 signed client assertion.</w:t>
      </w:r>
    </w:p>
    <w:p>
      <w:pPr>
        <w:pStyle w:val="ListNumber"/>
        <w:spacing w:after="40"/>
      </w:pPr>
      <w:r>
        <w:t>Reporting/config acknowledgements carry correlation_id. Signed batch payloads use the Agent private key for tamper evidence.</w:t>
      </w:r>
    </w:p>
    <w:p>
      <w:pPr>
        <w:pStyle w:val="ListNumber"/>
        <w:spacing w:after="40"/>
      </w:pPr>
      <w:r>
        <w:t>Key rotation uses an authenticated rotate-key flow with maximum 24-hour dual-key overlap. Oolix may revoke an Agent immediately during incident response.</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mTLS mode</w:t>
            </w:r>
          </w:p>
          <w:p>
            <w:pPr>
              <w:spacing w:after="0"/>
            </w:pPr>
            <w:r>
              <w:rPr>
                <w:rFonts w:ascii="Arial" w:hAnsi="Arial"/>
                <w:sz w:val="17"/>
              </w:rPr>
              <w:t>Enterprise Partners may additionally require mTLS. In that mode the Partner or Oolix-approved CA issues a client certificate, rotation occurs before expiry, and certificate identity must map to the registered agent_id. The application-level workload identity remains authoritative for authorization.</w:t>
            </w:r>
          </w:p>
        </w:tc>
      </w:tr>
    </w:tbl>
    <w:p/>
    <w:p>
      <w:pPr>
        <w:pStyle w:val="Heading1"/>
      </w:pPr>
      <w:r>
        <w:t>70. Creative Storage, Compatibility, Approval and Versioning</w:t>
      </w:r>
    </w:p>
    <w:p>
      <w:pPr>
        <w:pStyle w:val="ListBullet"/>
        <w:spacing w:after="40"/>
      </w:pPr>
      <w:r>
        <w:t>Canonical MVP storage: private S3 bucket + CDN. Upload uses short-lived pre-signed PUT URL; download/render uses CDN URL or signed CDN URL according to Partner policy.</w:t>
      </w:r>
    </w:p>
    <w:p>
      <w:pPr>
        <w:pStyle w:val="ListBullet"/>
        <w:spacing w:after="40"/>
      </w:pPr>
      <w:r>
        <w:t>MVP supported creative types: IMAGE and NATIVE_CARD. Video/HTML5 are deferred unless required by first design Partner.</w:t>
      </w:r>
    </w:p>
    <w:p>
      <w:pPr>
        <w:pStyle w:val="ListBullet"/>
        <w:spacing w:after="40"/>
      </w:pPr>
      <w:r>
        <w:t>IMAGE: PNG/JPEG/WebP; maximum 5 MiB; dimensions validated against selected placement compatibility.</w:t>
      </w:r>
    </w:p>
    <w:p>
      <w:pPr>
        <w:pStyle w:val="ListBullet"/>
        <w:spacing w:after="40"/>
      </w:pPr>
      <w:r>
        <w:t>NATIVE_CARD: headline, body, CTA, optional image, destination URL and legal disclaimer fields.</w:t>
      </w:r>
    </w:p>
    <w:p>
      <w:pPr>
        <w:pStyle w:val="ListBullet"/>
        <w:spacing w:after="40"/>
      </w:pPr>
      <w:r>
        <w:t>Every edit creates an immutable CreativeVersion. Partner approval binds to a specific version.</w:t>
      </w:r>
    </w:p>
    <w:p>
      <w:pPr>
        <w:pStyle w:val="ListBullet"/>
        <w:spacing w:after="40"/>
      </w:pPr>
      <w:r>
        <w:t>Rollback means selecting a previously approved version and generating a new request/manifest version - never mutating the approved object in place.</w:t>
      </w:r>
    </w:p>
    <w:p>
      <w:pPr>
        <w:spacing w:before="40" w:after="80"/>
        <w:ind w:left="259" w:right="144"/>
        <w:shd w:fill="F3F4F6"/>
      </w:pPr>
      <w:r>
        <w:rPr>
          <w:rFonts w:ascii="Courier New" w:hAnsi="Courier New"/>
          <w:sz w:val="14"/>
        </w:rPr>
        <w:t>CreativeVersion {</w:t>
        <w:br/>
        <w:t xml:space="preserve">  id,</w:t>
        <w:br/>
        <w:t xml:space="preserve">  creative_id,</w:t>
        <w:br/>
        <w:t xml:space="preserve">  version,</w:t>
        <w:br/>
        <w:t xml:space="preserve">  type: "IMAGE" | "NATIVE_CARD",</w:t>
        <w:br/>
        <w:t xml:space="preserve">  asset_uri,</w:t>
        <w:br/>
        <w:t xml:space="preserve">  thumbnail_uri,</w:t>
        <w:br/>
        <w:t xml:space="preserve">  mime_type,</w:t>
        <w:br/>
        <w:t xml:space="preserve">  width,</w:t>
        <w:br/>
        <w:t xml:space="preserve">  height,</w:t>
        <w:br/>
        <w:t xml:space="preserve">  file_size_bytes,</w:t>
        <w:br/>
        <w:t xml:space="preserve">  headline,</w:t>
        <w:br/>
        <w:t xml:space="preserve">  body,</w:t>
        <w:br/>
        <w:t xml:space="preserve">  cta,</w:t>
        <w:br/>
        <w:t xml:space="preserve">  destination_url,</w:t>
        <w:br/>
        <w:t xml:space="preserve">  legal_disclaimer,</w:t>
        <w:br/>
        <w:t xml:space="preserve">  status: "UPLOADING" | "READY" | "REJECTED",</w:t>
        <w:br/>
        <w:t xml:space="preserve">  content_sha256,</w:t>
        <w:br/>
        <w:t xml:space="preserve">  created_at</w:t>
        <w:br/>
        <w:t>}</w:t>
        <w:br/>
        <w:br/>
        <w:t>PartnerCreativeDecision {</w:t>
        <w:br/>
        <w:t xml:space="preserve">  partner_request_id,</w:t>
        <w:br/>
        <w:t xml:space="preserve">  creative_version_id,</w:t>
        <w:br/>
        <w:t xml:space="preserve">  status: "PENDING" | "APPROVED" | "REJECTED",</w:t>
        <w:br/>
        <w:t xml:space="preserve">  reason,</w:t>
        <w:br/>
        <w:t xml:space="preserve">  reviewed_at</w:t>
        <w:br/>
        <w:t>}</w:t>
      </w:r>
    </w:p>
    <w:p>
      <w:pPr>
        <w:pStyle w:val="ListNumber"/>
        <w:spacing w:after="40"/>
      </w:pPr>
      <w:r>
        <w:t>Buyer requests upload session.</w:t>
      </w:r>
    </w:p>
    <w:p>
      <w:pPr>
        <w:pStyle w:val="ListNumber"/>
        <w:spacing w:after="40"/>
      </w:pPr>
      <w:r>
        <w:t>API validates type/size intent and returns pre-signed upload URL.</w:t>
      </w:r>
    </w:p>
    <w:p>
      <w:pPr>
        <w:pStyle w:val="ListNumber"/>
        <w:spacing w:after="40"/>
      </w:pPr>
      <w:r>
        <w:t>Buyer uploads directly to object storage.</w:t>
      </w:r>
    </w:p>
    <w:p>
      <w:pPr>
        <w:pStyle w:val="ListNumber"/>
        <w:spacing w:after="40"/>
      </w:pPr>
      <w:r>
        <w:t>Finalize endpoint verifies object size, MIME, hash and basic image metadata.</w:t>
      </w:r>
    </w:p>
    <w:p>
      <w:pPr>
        <w:pStyle w:val="ListNumber"/>
        <w:spacing w:after="40"/>
      </w:pPr>
      <w:r>
        <w:t>CreativeVersion moves to READY.</w:t>
      </w:r>
    </w:p>
    <w:p>
      <w:pPr>
        <w:pStyle w:val="ListNumber"/>
        <w:spacing w:after="40"/>
      </w:pPr>
      <w:r>
        <w:t>Campaign request references CreativeVersion.</w:t>
      </w:r>
    </w:p>
    <w:p>
      <w:pPr>
        <w:pStyle w:val="ListNumber"/>
        <w:spacing w:after="40"/>
      </w:pPr>
      <w:r>
        <w:t>Partner approval includes creative decision.</w:t>
      </w:r>
    </w:p>
    <w:p>
      <w:pPr>
        <w:pStyle w:val="ListNumber"/>
        <w:spacing w:after="40"/>
      </w:pPr>
      <w:r>
        <w:t>Activation manifest contains only approved CreativeVersion IDs.</w:t>
      </w:r>
    </w:p>
    <w:p>
      <w:pPr>
        <w:pStyle w:val="Heading1"/>
      </w:pPr>
      <w:r>
        <w:t>71. Attribution Token, CRM Authentication and Fraud/Replay Controls</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Canonical token choice</w:t>
            </w:r>
          </w:p>
          <w:p>
            <w:pPr>
              <w:spacing w:after="0"/>
            </w:pPr>
            <w:r>
              <w:rPr>
                <w:rFonts w:ascii="Arial" w:hAnsi="Arial"/>
                <w:sz w:val="17"/>
              </w:rPr>
              <w:t>Use a random opaque token for MVP, not a self-describing JWT. Generate 32 cryptographically secure random bytes, base64url encode them, store only SHA-256(token) centrally with activation metadata and expiry. The token itself contains no readable Partner/campaign data.</w:t>
            </w:r>
          </w:p>
        </w:tc>
      </w:tr>
    </w:tbl>
    <w:p/>
    <w:p>
      <w:pPr>
        <w:spacing w:before="40" w:after="80"/>
        <w:ind w:left="259" w:right="144"/>
        <w:shd w:fill="F3F4F6"/>
      </w:pPr>
      <w:r>
        <w:rPr>
          <w:rFonts w:ascii="Courier New" w:hAnsi="Courier New"/>
          <w:sz w:val="14"/>
        </w:rPr>
        <w:t>token = base64url(random_bytes(32))</w:t>
        <w:br/>
        <w:t>token_hash = SHA256(token)</w:t>
        <w:br/>
        <w:br/>
        <w:t>attribution_tokens:</w:t>
        <w:br/>
        <w:t xml:space="preserve">  token_hash</w:t>
        <w:br/>
        <w:t xml:space="preserve">  activation_id</w:t>
        <w:br/>
        <w:t xml:space="preserve">  creative_version_id</w:t>
        <w:br/>
        <w:t xml:space="preserve">  placement_id</w:t>
        <w:br/>
        <w:t xml:space="preserve">  issued_at</w:t>
        <w:br/>
        <w:t xml:space="preserve">  expires_at</w:t>
        <w:br/>
        <w:t xml:space="preserve">  first_clicked_at</w:t>
        <w:br/>
        <w:t xml:space="preserve">  lead_state</w:t>
        <w:br/>
        <w:t xml:space="preserve">  revoked_at</w:t>
      </w:r>
    </w:p>
    <w:p>
      <w:pPr>
        <w:pStyle w:val="ListBullet"/>
        <w:spacing w:after="40"/>
      </w:pPr>
      <w:r>
        <w:t>Default token expiry: 7 days; campaign may configure a shorter attribution window.</w:t>
      </w:r>
    </w:p>
    <w:p>
      <w:pPr>
        <w:pStyle w:val="ListBullet"/>
        <w:spacing w:after="40"/>
      </w:pPr>
      <w:r>
        <w:t>A click token may produce one logical lead record. Subsequent CRM events are allowed only as valid state transitions for that lead.</w:t>
      </w:r>
    </w:p>
    <w:p>
      <w:pPr>
        <w:pStyle w:val="ListBullet"/>
        <w:spacing w:after="40"/>
      </w:pPr>
      <w:r>
        <w:t>CRM event idempotency key = buyer_org_id + crm_event_id. Reject contradictory or backward transitions unless privileged correction workflow is used.</w:t>
      </w:r>
    </w:p>
    <w:p>
      <w:pPr>
        <w:pStyle w:val="ListBullet"/>
        <w:spacing w:after="40"/>
      </w:pPr>
      <w:r>
        <w:t>Buyer CRM authentication: OAuth2 client credentials or signed webhook/API key stored in secret manager. API keys are hashed at rest and can be rotated.</w:t>
      </w:r>
    </w:p>
    <w:p>
      <w:pPr>
        <w:pStyle w:val="ListBullet"/>
        <w:spacing w:after="40"/>
      </w:pPr>
      <w:r>
        <w:t>Rate-limit lead events by Buyer organization and token. Log only token_hash prefix, never the raw token.</w:t>
      </w:r>
    </w:p>
    <w:p>
      <w:pPr>
        <w:spacing w:before="40" w:after="80"/>
        <w:ind w:left="259" w:right="144"/>
        <w:shd w:fill="F3F4F6"/>
      </w:pPr>
      <w:r>
        <w:rPr>
          <w:rFonts w:ascii="Courier New" w:hAnsi="Courier New"/>
          <w:sz w:val="14"/>
        </w:rPr>
        <w:t>POST /v1/leads/events</w:t>
        <w:br/>
        <w:t>Authorization: Bearer &lt;buyer-crm-token&gt;</w:t>
        <w:br/>
        <w:t>Idempotency-Key: crm_evt_123</w:t>
        <w:br/>
        <w:br/>
        <w:t>{</w:t>
        <w:br/>
        <w:t xml:space="preserve">  "click_token": "&lt;opaque-token&gt;",</w:t>
        <w:br/>
        <w:t xml:space="preserve">  "crm_event_id": "evt_123",</w:t>
        <w:br/>
        <w:t xml:space="preserve">  "status": "QUALIFIED",</w:t>
        <w:br/>
        <w:t xml:space="preserve">  "event_time": "2026-09-01T10:00:00Z",</w:t>
        <w:br/>
        <w:t xml:space="preserve">  "lead_reference": "lead_123",</w:t>
        <w:br/>
        <w:t xml:space="preserve">  "metadata": {</w:t>
        <w:br/>
        <w:t xml:space="preserve">    "qualification_reason": "confirmed_interest"</w:t>
        <w:br/>
        <w:t xml:space="preserve">  }</w:t>
        <w:br/>
        <w:t>}</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Allowed transition</w:t>
            </w:r>
          </w:p>
        </w:tc>
        <w:tc>
          <w:tcPr>
            <w:tcW w:type="dxa" w:w="6912"/>
            <w:vAlign w:val="center"/>
            <w:shd w:fill="1B4363"/>
          </w:tcPr>
          <w:p>
            <w:pPr>
              <w:spacing w:after="0"/>
            </w:pPr>
            <w:r/>
            <w:r>
              <w:rPr>
                <w:rFonts w:ascii="Arial" w:hAnsi="Arial"/>
                <w:b/>
                <w:color w:val="FFFFFF"/>
                <w:sz w:val="16"/>
              </w:rPr>
              <w:t>Example</w:t>
            </w:r>
          </w:p>
        </w:tc>
      </w:tr>
      <w:tr>
        <w:tc>
          <w:tcPr>
            <w:tcW w:type="dxa" w:w="2880"/>
            <w:vAlign w:val="center"/>
          </w:tcPr>
          <w:p>
            <w:pPr>
              <w:spacing w:after="0"/>
            </w:pPr>
            <w:r/>
            <w:r>
              <w:rPr>
                <w:rFonts w:ascii="Arial" w:hAnsi="Arial"/>
                <w:b w:val="0"/>
                <w:sz w:val="15"/>
              </w:rPr>
              <w:t>RECEIVED -&gt; VALID</w:t>
            </w:r>
          </w:p>
        </w:tc>
        <w:tc>
          <w:tcPr>
            <w:tcW w:type="dxa" w:w="6912"/>
            <w:vAlign w:val="center"/>
          </w:tcPr>
          <w:p>
            <w:pPr>
              <w:spacing w:after="0"/>
            </w:pPr>
            <w:r/>
            <w:r>
              <w:rPr>
                <w:rFonts w:ascii="Arial" w:hAnsi="Arial"/>
                <w:b w:val="0"/>
                <w:sz w:val="15"/>
              </w:rPr>
              <w:t>Contact passed basic validation.</w:t>
            </w:r>
          </w:p>
        </w:tc>
      </w:tr>
      <w:tr>
        <w:tc>
          <w:tcPr>
            <w:tcW w:type="dxa" w:w="2880"/>
            <w:vAlign w:val="center"/>
          </w:tcPr>
          <w:p>
            <w:pPr>
              <w:spacing w:after="0"/>
            </w:pPr>
            <w:r/>
            <w:r>
              <w:rPr>
                <w:rFonts w:ascii="Arial" w:hAnsi="Arial"/>
                <w:b w:val="0"/>
                <w:sz w:val="15"/>
              </w:rPr>
              <w:t>VALID -&gt; QUALIFIED</w:t>
            </w:r>
          </w:p>
        </w:tc>
        <w:tc>
          <w:tcPr>
            <w:tcW w:type="dxa" w:w="6912"/>
            <w:vAlign w:val="center"/>
          </w:tcPr>
          <w:p>
            <w:pPr>
              <w:spacing w:after="0"/>
            </w:pPr>
            <w:r/>
            <w:r>
              <w:rPr>
                <w:rFonts w:ascii="Arial" w:hAnsi="Arial"/>
                <w:b w:val="0"/>
                <w:sz w:val="15"/>
              </w:rPr>
              <w:t>Buyer qualification passed.</w:t>
            </w:r>
          </w:p>
        </w:tc>
      </w:tr>
      <w:tr>
        <w:tc>
          <w:tcPr>
            <w:tcW w:type="dxa" w:w="2880"/>
            <w:vAlign w:val="center"/>
          </w:tcPr>
          <w:p>
            <w:pPr>
              <w:spacing w:after="0"/>
            </w:pPr>
            <w:r/>
            <w:r>
              <w:rPr>
                <w:rFonts w:ascii="Arial" w:hAnsi="Arial"/>
                <w:b w:val="0"/>
                <w:sz w:val="15"/>
              </w:rPr>
              <w:t>QUALIFIED -&gt; CONVERTED</w:t>
            </w:r>
          </w:p>
        </w:tc>
        <w:tc>
          <w:tcPr>
            <w:tcW w:type="dxa" w:w="6912"/>
            <w:vAlign w:val="center"/>
          </w:tcPr>
          <w:p>
            <w:pPr>
              <w:spacing w:after="0"/>
            </w:pPr>
            <w:r/>
            <w:r>
              <w:rPr>
                <w:rFonts w:ascii="Arial" w:hAnsi="Arial"/>
                <w:b w:val="0"/>
                <w:sz w:val="15"/>
              </w:rPr>
              <w:t>Business outcome recorded.</w:t>
            </w:r>
          </w:p>
        </w:tc>
      </w:tr>
      <w:tr>
        <w:tc>
          <w:tcPr>
            <w:tcW w:type="dxa" w:w="2880"/>
            <w:vAlign w:val="center"/>
          </w:tcPr>
          <w:p>
            <w:pPr>
              <w:spacing w:after="0"/>
            </w:pPr>
            <w:r/>
            <w:r>
              <w:rPr>
                <w:rFonts w:ascii="Arial" w:hAnsi="Arial"/>
                <w:b w:val="0"/>
                <w:sz w:val="15"/>
              </w:rPr>
              <w:t>RECEIVED/VALID -&gt; REJECTED</w:t>
            </w:r>
          </w:p>
        </w:tc>
        <w:tc>
          <w:tcPr>
            <w:tcW w:type="dxa" w:w="6912"/>
            <w:vAlign w:val="center"/>
          </w:tcPr>
          <w:p>
            <w:pPr>
              <w:spacing w:after="0"/>
            </w:pPr>
            <w:r/>
            <w:r>
              <w:rPr>
                <w:rFonts w:ascii="Arial" w:hAnsi="Arial"/>
                <w:b w:val="0"/>
                <w:sz w:val="15"/>
              </w:rPr>
              <w:t>Duplicate/invalid/unreachable with reason.</w:t>
            </w:r>
          </w:p>
        </w:tc>
      </w:tr>
      <w:tr>
        <w:tc>
          <w:tcPr>
            <w:tcW w:type="dxa" w:w="2880"/>
            <w:vAlign w:val="center"/>
          </w:tcPr>
          <w:p>
            <w:pPr>
              <w:spacing w:after="0"/>
            </w:pPr>
            <w:r/>
            <w:r>
              <w:rPr>
                <w:rFonts w:ascii="Arial" w:hAnsi="Arial"/>
                <w:b w:val="0"/>
                <w:sz w:val="15"/>
              </w:rPr>
              <w:t>Any -&gt; corrected state</w:t>
            </w:r>
          </w:p>
        </w:tc>
        <w:tc>
          <w:tcPr>
            <w:tcW w:type="dxa" w:w="6912"/>
            <w:vAlign w:val="center"/>
          </w:tcPr>
          <w:p>
            <w:pPr>
              <w:spacing w:after="0"/>
            </w:pPr>
            <w:r/>
            <w:r>
              <w:rPr>
                <w:rFonts w:ascii="Arial" w:hAnsi="Arial"/>
                <w:b w:val="0"/>
                <w:sz w:val="15"/>
              </w:rPr>
              <w:t>Only via auditable privileged correction, not normal callback.</w:t>
            </w:r>
          </w:p>
        </w:tc>
      </w:tr>
    </w:tbl>
    <w:p/>
    <w:p>
      <w:pPr>
        <w:pStyle w:val="Heading1"/>
      </w:pPr>
      <w:r>
        <w:t>72. Reach Buckets, Minimum Audience Size and Anti-Differencing Rules</w:t>
      </w:r>
    </w:p>
    <w:tbl>
      <w:tblPr>
        <w:tblStyle w:val="TableGrid"/>
        <w:tblW w:type="auto" w:w="0"/>
        <w:jc w:val="center"/>
        <w:tblLook w:firstColumn="1" w:firstRow="1" w:lastColumn="0" w:lastRow="0" w:noHBand="0" w:noVBand="1" w:val="04A0"/>
      </w:tblPr>
      <w:tblGrid>
        <w:gridCol w:w="3485"/>
        <w:gridCol w:w="3485"/>
        <w:gridCol w:w="3485"/>
      </w:tblGrid>
      <w:tr>
        <w:tc>
          <w:tcPr>
            <w:tcW w:type="dxa" w:w="2448"/>
            <w:vAlign w:val="center"/>
            <w:shd w:fill="1B4363"/>
          </w:tcPr>
          <w:p>
            <w:pPr>
              <w:spacing w:after="0"/>
            </w:pPr>
            <w:r/>
            <w:r>
              <w:rPr>
                <w:rFonts w:ascii="Arial" w:hAnsi="Arial"/>
                <w:b/>
                <w:color w:val="FFFFFF"/>
                <w:sz w:val="16"/>
              </w:rPr>
              <w:t>ID</w:t>
            </w:r>
          </w:p>
        </w:tc>
        <w:tc>
          <w:tcPr>
            <w:tcW w:type="dxa" w:w="3168"/>
            <w:vAlign w:val="center"/>
            <w:shd w:fill="1B4363"/>
          </w:tcPr>
          <w:p>
            <w:pPr>
              <w:spacing w:after="0"/>
            </w:pPr>
            <w:r/>
            <w:r>
              <w:rPr>
                <w:rFonts w:ascii="Arial" w:hAnsi="Arial"/>
                <w:b/>
                <w:color w:val="FFFFFF"/>
                <w:sz w:val="16"/>
              </w:rPr>
              <w:t>Buyer label</w:t>
            </w:r>
          </w:p>
        </w:tc>
        <w:tc>
          <w:tcPr>
            <w:tcW w:type="dxa" w:w="4032"/>
            <w:vAlign w:val="center"/>
            <w:shd w:fill="1B4363"/>
          </w:tcPr>
          <w:p>
            <w:pPr>
              <w:spacing w:after="0"/>
            </w:pPr>
            <w:r/>
            <w:r>
              <w:rPr>
                <w:rFonts w:ascii="Arial" w:hAnsi="Arial"/>
                <w:b/>
                <w:color w:val="FFFFFF"/>
                <w:sz w:val="16"/>
              </w:rPr>
              <w:t>Local exact range</w:t>
            </w:r>
          </w:p>
        </w:tc>
      </w:tr>
      <w:tr>
        <w:tc>
          <w:tcPr>
            <w:tcW w:type="dxa" w:w="2448"/>
            <w:vAlign w:val="center"/>
          </w:tcPr>
          <w:p>
            <w:pPr>
              <w:spacing w:after="0"/>
            </w:pPr>
            <w:r/>
            <w:r>
              <w:rPr>
                <w:rFonts w:ascii="Arial" w:hAnsi="Arial"/>
                <w:b w:val="0"/>
                <w:sz w:val="15"/>
              </w:rPr>
              <w:t>UNDER_10K</w:t>
            </w:r>
          </w:p>
        </w:tc>
        <w:tc>
          <w:tcPr>
            <w:tcW w:type="dxa" w:w="3168"/>
            <w:vAlign w:val="center"/>
          </w:tcPr>
          <w:p>
            <w:pPr>
              <w:spacing w:after="0"/>
            </w:pPr>
            <w:r/>
            <w:r>
              <w:rPr>
                <w:rFonts w:ascii="Arial" w:hAnsi="Arial"/>
                <w:b w:val="0"/>
                <w:sz w:val="15"/>
              </w:rPr>
              <w:t>&lt; 10,000</w:t>
            </w:r>
          </w:p>
        </w:tc>
        <w:tc>
          <w:tcPr>
            <w:tcW w:type="dxa" w:w="4032"/>
            <w:vAlign w:val="center"/>
          </w:tcPr>
          <w:p>
            <w:pPr>
              <w:spacing w:after="0"/>
            </w:pPr>
            <w:r/>
            <w:r>
              <w:rPr>
                <w:rFonts w:ascii="Arial" w:hAnsi="Arial"/>
                <w:b w:val="0"/>
                <w:sz w:val="15"/>
              </w:rPr>
              <w:t>1,000-9,999</w:t>
            </w:r>
          </w:p>
        </w:tc>
      </w:tr>
      <w:tr>
        <w:tc>
          <w:tcPr>
            <w:tcW w:type="dxa" w:w="2448"/>
            <w:vAlign w:val="center"/>
          </w:tcPr>
          <w:p>
            <w:pPr>
              <w:spacing w:after="0"/>
            </w:pPr>
            <w:r/>
            <w:r>
              <w:rPr>
                <w:rFonts w:ascii="Arial" w:hAnsi="Arial"/>
                <w:b w:val="0"/>
                <w:sz w:val="15"/>
              </w:rPr>
              <w:t>10K_50K</w:t>
            </w:r>
          </w:p>
        </w:tc>
        <w:tc>
          <w:tcPr>
            <w:tcW w:type="dxa" w:w="3168"/>
            <w:vAlign w:val="center"/>
          </w:tcPr>
          <w:p>
            <w:pPr>
              <w:spacing w:after="0"/>
            </w:pPr>
            <w:r/>
            <w:r>
              <w:rPr>
                <w:rFonts w:ascii="Arial" w:hAnsi="Arial"/>
                <w:b w:val="0"/>
                <w:sz w:val="15"/>
              </w:rPr>
              <w:t>10,000-50,000</w:t>
            </w:r>
          </w:p>
        </w:tc>
        <w:tc>
          <w:tcPr>
            <w:tcW w:type="dxa" w:w="4032"/>
            <w:vAlign w:val="center"/>
          </w:tcPr>
          <w:p>
            <w:pPr>
              <w:spacing w:after="0"/>
            </w:pPr>
            <w:r/>
            <w:r>
              <w:rPr>
                <w:rFonts w:ascii="Arial" w:hAnsi="Arial"/>
                <w:b w:val="0"/>
                <w:sz w:val="15"/>
              </w:rPr>
              <w:t>10,000-49,999</w:t>
            </w:r>
          </w:p>
        </w:tc>
      </w:tr>
      <w:tr>
        <w:tc>
          <w:tcPr>
            <w:tcW w:type="dxa" w:w="2448"/>
            <w:vAlign w:val="center"/>
          </w:tcPr>
          <w:p>
            <w:pPr>
              <w:spacing w:after="0"/>
            </w:pPr>
            <w:r/>
            <w:r>
              <w:rPr>
                <w:rFonts w:ascii="Arial" w:hAnsi="Arial"/>
                <w:b w:val="0"/>
                <w:sz w:val="15"/>
              </w:rPr>
              <w:t>50K_100K</w:t>
            </w:r>
          </w:p>
        </w:tc>
        <w:tc>
          <w:tcPr>
            <w:tcW w:type="dxa" w:w="3168"/>
            <w:vAlign w:val="center"/>
          </w:tcPr>
          <w:p>
            <w:pPr>
              <w:spacing w:after="0"/>
            </w:pPr>
            <w:r/>
            <w:r>
              <w:rPr>
                <w:rFonts w:ascii="Arial" w:hAnsi="Arial"/>
                <w:b w:val="0"/>
                <w:sz w:val="15"/>
              </w:rPr>
              <w:t>50,000-100,000</w:t>
            </w:r>
          </w:p>
        </w:tc>
        <w:tc>
          <w:tcPr>
            <w:tcW w:type="dxa" w:w="4032"/>
            <w:vAlign w:val="center"/>
          </w:tcPr>
          <w:p>
            <w:pPr>
              <w:spacing w:after="0"/>
            </w:pPr>
            <w:r/>
            <w:r>
              <w:rPr>
                <w:rFonts w:ascii="Arial" w:hAnsi="Arial"/>
                <w:b w:val="0"/>
                <w:sz w:val="15"/>
              </w:rPr>
              <w:t>50,000-99,999</w:t>
            </w:r>
          </w:p>
        </w:tc>
      </w:tr>
      <w:tr>
        <w:tc>
          <w:tcPr>
            <w:tcW w:type="dxa" w:w="2448"/>
            <w:vAlign w:val="center"/>
          </w:tcPr>
          <w:p>
            <w:pPr>
              <w:spacing w:after="0"/>
            </w:pPr>
            <w:r/>
            <w:r>
              <w:rPr>
                <w:rFonts w:ascii="Arial" w:hAnsi="Arial"/>
                <w:b w:val="0"/>
                <w:sz w:val="15"/>
              </w:rPr>
              <w:t>100K_250K</w:t>
            </w:r>
          </w:p>
        </w:tc>
        <w:tc>
          <w:tcPr>
            <w:tcW w:type="dxa" w:w="3168"/>
            <w:vAlign w:val="center"/>
          </w:tcPr>
          <w:p>
            <w:pPr>
              <w:spacing w:after="0"/>
            </w:pPr>
            <w:r/>
            <w:r>
              <w:rPr>
                <w:rFonts w:ascii="Arial" w:hAnsi="Arial"/>
                <w:b w:val="0"/>
                <w:sz w:val="15"/>
              </w:rPr>
              <w:t>100,000-250,000</w:t>
            </w:r>
          </w:p>
        </w:tc>
        <w:tc>
          <w:tcPr>
            <w:tcW w:type="dxa" w:w="4032"/>
            <w:vAlign w:val="center"/>
          </w:tcPr>
          <w:p>
            <w:pPr>
              <w:spacing w:after="0"/>
            </w:pPr>
            <w:r/>
            <w:r>
              <w:rPr>
                <w:rFonts w:ascii="Arial" w:hAnsi="Arial"/>
                <w:b w:val="0"/>
                <w:sz w:val="15"/>
              </w:rPr>
              <w:t>100,000-249,999</w:t>
            </w:r>
          </w:p>
        </w:tc>
      </w:tr>
      <w:tr>
        <w:tc>
          <w:tcPr>
            <w:tcW w:type="dxa" w:w="2448"/>
            <w:vAlign w:val="center"/>
          </w:tcPr>
          <w:p>
            <w:pPr>
              <w:spacing w:after="0"/>
            </w:pPr>
            <w:r/>
            <w:r>
              <w:rPr>
                <w:rFonts w:ascii="Arial" w:hAnsi="Arial"/>
                <w:b w:val="0"/>
                <w:sz w:val="15"/>
              </w:rPr>
              <w:t>250K_500K</w:t>
            </w:r>
          </w:p>
        </w:tc>
        <w:tc>
          <w:tcPr>
            <w:tcW w:type="dxa" w:w="3168"/>
            <w:vAlign w:val="center"/>
          </w:tcPr>
          <w:p>
            <w:pPr>
              <w:spacing w:after="0"/>
            </w:pPr>
            <w:r/>
            <w:r>
              <w:rPr>
                <w:rFonts w:ascii="Arial" w:hAnsi="Arial"/>
                <w:b w:val="0"/>
                <w:sz w:val="15"/>
              </w:rPr>
              <w:t>250,000-500,000</w:t>
            </w:r>
          </w:p>
        </w:tc>
        <w:tc>
          <w:tcPr>
            <w:tcW w:type="dxa" w:w="4032"/>
            <w:vAlign w:val="center"/>
          </w:tcPr>
          <w:p>
            <w:pPr>
              <w:spacing w:after="0"/>
            </w:pPr>
            <w:r/>
            <w:r>
              <w:rPr>
                <w:rFonts w:ascii="Arial" w:hAnsi="Arial"/>
                <w:b w:val="0"/>
                <w:sz w:val="15"/>
              </w:rPr>
              <w:t>250,000-499,999</w:t>
            </w:r>
          </w:p>
        </w:tc>
      </w:tr>
      <w:tr>
        <w:tc>
          <w:tcPr>
            <w:tcW w:type="dxa" w:w="2448"/>
            <w:vAlign w:val="center"/>
          </w:tcPr>
          <w:p>
            <w:pPr>
              <w:spacing w:after="0"/>
            </w:pPr>
            <w:r/>
            <w:r>
              <w:rPr>
                <w:rFonts w:ascii="Arial" w:hAnsi="Arial"/>
                <w:b w:val="0"/>
                <w:sz w:val="15"/>
              </w:rPr>
              <w:t>500K_1M</w:t>
            </w:r>
          </w:p>
        </w:tc>
        <w:tc>
          <w:tcPr>
            <w:tcW w:type="dxa" w:w="3168"/>
            <w:vAlign w:val="center"/>
          </w:tcPr>
          <w:p>
            <w:pPr>
              <w:spacing w:after="0"/>
            </w:pPr>
            <w:r/>
            <w:r>
              <w:rPr>
                <w:rFonts w:ascii="Arial" w:hAnsi="Arial"/>
                <w:b w:val="0"/>
                <w:sz w:val="15"/>
              </w:rPr>
              <w:t>500,000-1,000,000</w:t>
            </w:r>
          </w:p>
        </w:tc>
        <w:tc>
          <w:tcPr>
            <w:tcW w:type="dxa" w:w="4032"/>
            <w:vAlign w:val="center"/>
          </w:tcPr>
          <w:p>
            <w:pPr>
              <w:spacing w:after="0"/>
            </w:pPr>
            <w:r/>
            <w:r>
              <w:rPr>
                <w:rFonts w:ascii="Arial" w:hAnsi="Arial"/>
                <w:b w:val="0"/>
                <w:sz w:val="15"/>
              </w:rPr>
              <w:t>500,000-999,999</w:t>
            </w:r>
          </w:p>
        </w:tc>
      </w:tr>
      <w:tr>
        <w:tc>
          <w:tcPr>
            <w:tcW w:type="dxa" w:w="2448"/>
            <w:vAlign w:val="center"/>
          </w:tcPr>
          <w:p>
            <w:pPr>
              <w:spacing w:after="0"/>
            </w:pPr>
            <w:r/>
            <w:r>
              <w:rPr>
                <w:rFonts w:ascii="Arial" w:hAnsi="Arial"/>
                <w:b w:val="0"/>
                <w:sz w:val="15"/>
              </w:rPr>
              <w:t>OVER_1M</w:t>
            </w:r>
          </w:p>
        </w:tc>
        <w:tc>
          <w:tcPr>
            <w:tcW w:type="dxa" w:w="3168"/>
            <w:vAlign w:val="center"/>
          </w:tcPr>
          <w:p>
            <w:pPr>
              <w:spacing w:after="0"/>
            </w:pPr>
            <w:r/>
            <w:r>
              <w:rPr>
                <w:rFonts w:ascii="Arial" w:hAnsi="Arial"/>
                <w:b w:val="0"/>
                <w:sz w:val="15"/>
              </w:rPr>
              <w:t>1,000,000+</w:t>
            </w:r>
          </w:p>
        </w:tc>
        <w:tc>
          <w:tcPr>
            <w:tcW w:type="dxa" w:w="4032"/>
            <w:vAlign w:val="center"/>
          </w:tcPr>
          <w:p>
            <w:pPr>
              <w:spacing w:after="0"/>
            </w:pPr>
            <w:r/>
            <w:r>
              <w:rPr>
                <w:rFonts w:ascii="Arial" w:hAnsi="Arial"/>
                <w:b w:val="0"/>
                <w:sz w:val="15"/>
              </w:rPr>
              <w:t>1,000,000+</w:t>
            </w:r>
          </w:p>
        </w:tc>
      </w:tr>
    </w:tbl>
    <w:p/>
    <w:p>
      <w:pPr>
        <w:pStyle w:val="ListBullet"/>
        <w:spacing w:after="40"/>
      </w:pPr>
      <w:r>
        <w:t>Default minimum publishable segment size is 1,000 eligible users. Partner/security policy may require a higher threshold.</w:t>
      </w:r>
    </w:p>
    <w:p>
      <w:pPr>
        <w:pStyle w:val="ListBullet"/>
        <w:spacing w:after="40"/>
      </w:pPr>
      <w:r>
        <w:t>Exact reach is never buyer-visible in MVP. The earlier 'exact count if Partner explicitly allows' option is removed from the canonical implementation.</w:t>
      </w:r>
    </w:p>
    <w:p>
      <w:pPr>
        <w:pStyle w:val="ListBullet"/>
        <w:spacing w:after="40"/>
      </w:pPr>
      <w:r>
        <w:t>Catalogue filters that would reduce a result below the minimum threshold must suppress the result rather than expose a tiny cohort.</w:t>
      </w:r>
    </w:p>
    <w:p>
      <w:pPr>
        <w:pStyle w:val="ListBullet"/>
        <w:spacing w:after="40"/>
      </w:pPr>
      <w:r>
        <w:t>Published bucket values are cached for a minimum publication interval (default 24 hours) to reduce count-differencing through repeated refreshes.</w:t>
      </w:r>
    </w:p>
    <w:p>
      <w:pPr>
        <w:pStyle w:val="ListBullet"/>
        <w:spacing w:after="40"/>
      </w:pPr>
      <w:r>
        <w:t>Reach is a planning signal only and must not be summed across Partners as unique reach.</w:t>
      </w:r>
    </w:p>
    <w:p>
      <w:pPr>
        <w:pStyle w:val="Heading1"/>
      </w:pPr>
      <w:r>
        <w:t>73. Canonical Migration-Ready Database Model</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Schema source of truth</w:t>
            </w:r>
          </w:p>
          <w:p>
            <w:pPr>
              <w:spacing w:after="0"/>
            </w:pPr>
            <w:r>
              <w:rPr>
                <w:rFonts w:ascii="Arial" w:hAnsi="Arial"/>
                <w:sz w:val="17"/>
              </w:rPr>
              <w:t>This section supersedes the earlier §20/§54 field lists. Prisma schema/migrations are the source of truth; reviewed SQL migrations are committed. IDs use UUIDv7 where library support is stable, otherwise UUIDv4. Money uses BIGINT minor units + CHAR(3) currency.</w:t>
            </w:r>
          </w:p>
        </w:tc>
      </w:tr>
    </w:tbl>
    <w:p/>
    <w:tbl>
      <w:tblPr>
        <w:tblStyle w:val="TableGrid"/>
        <w:tblW w:type="auto" w:w="0"/>
        <w:jc w:val="center"/>
        <w:tblLook w:firstColumn="1" w:firstRow="1" w:lastColumn="0" w:lastRow="0" w:noHBand="0" w:noVBand="1" w:val="04A0"/>
      </w:tblPr>
      <w:tblGrid>
        <w:gridCol w:w="5227"/>
        <w:gridCol w:w="5227"/>
      </w:tblGrid>
      <w:tr>
        <w:tc>
          <w:tcPr>
            <w:tcW w:type="dxa" w:w="2592"/>
            <w:vAlign w:val="center"/>
            <w:shd w:fill="1B4363"/>
          </w:tcPr>
          <w:p>
            <w:pPr>
              <w:spacing w:after="0"/>
            </w:pPr>
            <w:r/>
            <w:r>
              <w:rPr>
                <w:rFonts w:ascii="Arial" w:hAnsi="Arial"/>
                <w:b/>
                <w:color w:val="FFFFFF"/>
                <w:sz w:val="16"/>
              </w:rPr>
              <w:t>Table</w:t>
            </w:r>
          </w:p>
        </w:tc>
        <w:tc>
          <w:tcPr>
            <w:tcW w:type="dxa" w:w="7200"/>
            <w:vAlign w:val="center"/>
            <w:shd w:fill="1B4363"/>
          </w:tcPr>
          <w:p>
            <w:pPr>
              <w:spacing w:after="0"/>
            </w:pPr>
            <w:r/>
            <w:r>
              <w:rPr>
                <w:rFonts w:ascii="Arial" w:hAnsi="Arial"/>
                <w:b/>
                <w:color w:val="FFFFFF"/>
                <w:sz w:val="16"/>
              </w:rPr>
              <w:t>Canonical key fields / constraints</w:t>
            </w:r>
          </w:p>
        </w:tc>
      </w:tr>
      <w:tr>
        <w:tc>
          <w:tcPr>
            <w:tcW w:type="dxa" w:w="2592"/>
            <w:vAlign w:val="center"/>
          </w:tcPr>
          <w:p>
            <w:pPr>
              <w:spacing w:after="0"/>
            </w:pPr>
            <w:r/>
            <w:r>
              <w:rPr>
                <w:rFonts w:ascii="Arial" w:hAnsi="Arial"/>
                <w:b w:val="0"/>
                <w:sz w:val="15"/>
              </w:rPr>
              <w:t>organizations</w:t>
            </w:r>
          </w:p>
        </w:tc>
        <w:tc>
          <w:tcPr>
            <w:tcW w:type="dxa" w:w="7200"/>
            <w:vAlign w:val="center"/>
          </w:tcPr>
          <w:p>
            <w:pPr>
              <w:spacing w:after="0"/>
            </w:pPr>
            <w:r/>
            <w:r>
              <w:rPr>
                <w:rFonts w:ascii="Arial" w:hAnsi="Arial"/>
                <w:b w:val="0"/>
                <w:sz w:val="15"/>
              </w:rPr>
              <w:t>id UUID PK; type; name; domain; verification_status; country; created_at; updated_at.</w:t>
            </w:r>
          </w:p>
        </w:tc>
      </w:tr>
      <w:tr>
        <w:tc>
          <w:tcPr>
            <w:tcW w:type="dxa" w:w="2592"/>
            <w:vAlign w:val="center"/>
          </w:tcPr>
          <w:p>
            <w:pPr>
              <w:spacing w:after="0"/>
            </w:pPr>
            <w:r/>
            <w:r>
              <w:rPr>
                <w:rFonts w:ascii="Arial" w:hAnsi="Arial"/>
                <w:b w:val="0"/>
                <w:sz w:val="15"/>
              </w:rPr>
              <w:t>users</w:t>
            </w:r>
          </w:p>
        </w:tc>
        <w:tc>
          <w:tcPr>
            <w:tcW w:type="dxa" w:w="7200"/>
            <w:vAlign w:val="center"/>
          </w:tcPr>
          <w:p>
            <w:pPr>
              <w:spacing w:after="0"/>
            </w:pPr>
            <w:r/>
            <w:r>
              <w:rPr>
                <w:rFonts w:ascii="Arial" w:hAnsi="Arial"/>
                <w:b w:val="0"/>
                <w:sz w:val="15"/>
              </w:rPr>
              <w:t>id UUID PK; auth_subject UNIQUE; email; name; status; timestamps.</w:t>
            </w:r>
          </w:p>
        </w:tc>
      </w:tr>
      <w:tr>
        <w:tc>
          <w:tcPr>
            <w:tcW w:type="dxa" w:w="2592"/>
            <w:vAlign w:val="center"/>
          </w:tcPr>
          <w:p>
            <w:pPr>
              <w:spacing w:after="0"/>
            </w:pPr>
            <w:r/>
            <w:r>
              <w:rPr>
                <w:rFonts w:ascii="Arial" w:hAnsi="Arial"/>
                <w:b w:val="0"/>
                <w:sz w:val="15"/>
              </w:rPr>
              <w:t>organization_members</w:t>
            </w:r>
          </w:p>
        </w:tc>
        <w:tc>
          <w:tcPr>
            <w:tcW w:type="dxa" w:w="7200"/>
            <w:vAlign w:val="center"/>
          </w:tcPr>
          <w:p>
            <w:pPr>
              <w:spacing w:after="0"/>
            </w:pPr>
            <w:r/>
            <w:r>
              <w:rPr>
                <w:rFonts w:ascii="Arial" w:hAnsi="Arial"/>
                <w:b w:val="0"/>
                <w:sz w:val="15"/>
              </w:rPr>
              <w:t>org_id + user_id PK; role enum; status.</w:t>
            </w:r>
          </w:p>
        </w:tc>
      </w:tr>
      <w:tr>
        <w:tc>
          <w:tcPr>
            <w:tcW w:type="dxa" w:w="2592"/>
            <w:vAlign w:val="center"/>
          </w:tcPr>
          <w:p>
            <w:pPr>
              <w:spacing w:after="0"/>
            </w:pPr>
            <w:r/>
            <w:r>
              <w:rPr>
                <w:rFonts w:ascii="Arial" w:hAnsi="Arial"/>
                <w:b w:val="0"/>
                <w:sz w:val="15"/>
              </w:rPr>
              <w:t>networks</w:t>
            </w:r>
          </w:p>
        </w:tc>
        <w:tc>
          <w:tcPr>
            <w:tcW w:type="dxa" w:w="7200"/>
            <w:vAlign w:val="center"/>
          </w:tcPr>
          <w:p>
            <w:pPr>
              <w:spacing w:after="0"/>
            </w:pPr>
            <w:r/>
            <w:r>
              <w:rPr>
                <w:rFonts w:ascii="Arial" w:hAnsi="Arial"/>
                <w:b w:val="0"/>
                <w:sz w:val="15"/>
              </w:rPr>
              <w:t>id; sponsor_org_id FK; mode enum; policy_version; status.</w:t>
            </w:r>
          </w:p>
        </w:tc>
      </w:tr>
      <w:tr>
        <w:tc>
          <w:tcPr>
            <w:tcW w:type="dxa" w:w="2592"/>
            <w:vAlign w:val="center"/>
          </w:tcPr>
          <w:p>
            <w:pPr>
              <w:spacing w:after="0"/>
            </w:pPr>
            <w:r/>
            <w:r>
              <w:rPr>
                <w:rFonts w:ascii="Arial" w:hAnsi="Arial"/>
                <w:b w:val="0"/>
                <w:sz w:val="15"/>
              </w:rPr>
              <w:t>network_memberships</w:t>
            </w:r>
          </w:p>
        </w:tc>
        <w:tc>
          <w:tcPr>
            <w:tcW w:type="dxa" w:w="7200"/>
            <w:vAlign w:val="center"/>
          </w:tcPr>
          <w:p>
            <w:pPr>
              <w:spacing w:after="0"/>
            </w:pPr>
            <w:r/>
            <w:r>
              <w:rPr>
                <w:rFonts w:ascii="Arial" w:hAnsi="Arial"/>
                <w:b w:val="0"/>
                <w:sz w:val="15"/>
              </w:rPr>
              <w:t>network_id + org_id PK; status; role_flags.</w:t>
            </w:r>
          </w:p>
        </w:tc>
      </w:tr>
      <w:tr>
        <w:tc>
          <w:tcPr>
            <w:tcW w:type="dxa" w:w="2592"/>
            <w:vAlign w:val="center"/>
          </w:tcPr>
          <w:p>
            <w:pPr>
              <w:spacing w:after="0"/>
            </w:pPr>
            <w:r/>
            <w:r>
              <w:rPr>
                <w:rFonts w:ascii="Arial" w:hAnsi="Arial"/>
                <w:b w:val="0"/>
                <w:sz w:val="15"/>
              </w:rPr>
              <w:t>segments</w:t>
            </w:r>
          </w:p>
        </w:tc>
        <w:tc>
          <w:tcPr>
            <w:tcW w:type="dxa" w:w="7200"/>
            <w:vAlign w:val="center"/>
          </w:tcPr>
          <w:p>
            <w:pPr>
              <w:spacing w:after="0"/>
            </w:pPr>
            <w:r/>
            <w:r>
              <w:rPr>
                <w:rFonts w:ascii="Arial" w:hAnsi="Arial"/>
                <w:b w:val="0"/>
                <w:sz w:val="15"/>
              </w:rPr>
              <w:t>id; partner_org_id; safe_metadata JSONB; reach_bucket; freshness_at; status; version; UNIQUE(partner_org_id, id).</w:t>
            </w:r>
          </w:p>
        </w:tc>
      </w:tr>
      <w:tr>
        <w:tc>
          <w:tcPr>
            <w:tcW w:type="dxa" w:w="2592"/>
            <w:vAlign w:val="center"/>
          </w:tcPr>
          <w:p>
            <w:pPr>
              <w:spacing w:after="0"/>
            </w:pPr>
            <w:r/>
            <w:r>
              <w:rPr>
                <w:rFonts w:ascii="Arial" w:hAnsi="Arial"/>
                <w:b w:val="0"/>
                <w:sz w:val="15"/>
              </w:rPr>
              <w:t>segment_offers</w:t>
            </w:r>
          </w:p>
        </w:tc>
        <w:tc>
          <w:tcPr>
            <w:tcW w:type="dxa" w:w="7200"/>
            <w:vAlign w:val="center"/>
          </w:tcPr>
          <w:p>
            <w:pPr>
              <w:spacing w:after="0"/>
            </w:pPr>
            <w:r/>
            <w:r>
              <w:rPr>
                <w:rFonts w:ascii="Arial" w:hAnsi="Arial"/>
                <w:b w:val="0"/>
                <w:sz w:val="15"/>
              </w:rPr>
              <w:t>segment_id + network_id nullable; pricing_model; unit_price_minor; currency; visibility.</w:t>
            </w:r>
          </w:p>
        </w:tc>
      </w:tr>
      <w:tr>
        <w:tc>
          <w:tcPr>
            <w:tcW w:type="dxa" w:w="2592"/>
            <w:vAlign w:val="center"/>
          </w:tcPr>
          <w:p>
            <w:pPr>
              <w:spacing w:after="0"/>
            </w:pPr>
            <w:r/>
            <w:r>
              <w:rPr>
                <w:rFonts w:ascii="Arial" w:hAnsi="Arial"/>
                <w:b w:val="0"/>
                <w:sz w:val="15"/>
              </w:rPr>
              <w:t>placements</w:t>
            </w:r>
          </w:p>
        </w:tc>
        <w:tc>
          <w:tcPr>
            <w:tcW w:type="dxa" w:w="7200"/>
            <w:vAlign w:val="center"/>
          </w:tcPr>
          <w:p>
            <w:pPr>
              <w:spacing w:after="0"/>
            </w:pPr>
            <w:r/>
            <w:r>
              <w:rPr>
                <w:rFonts w:ascii="Arial" w:hAnsi="Arial"/>
                <w:b w:val="0"/>
                <w:sz w:val="15"/>
              </w:rPr>
              <w:t>id; partner_org_id; surface; format; policy JSONB; status.</w:t>
            </w:r>
          </w:p>
        </w:tc>
      </w:tr>
      <w:tr>
        <w:tc>
          <w:tcPr>
            <w:tcW w:type="dxa" w:w="2592"/>
            <w:vAlign w:val="center"/>
          </w:tcPr>
          <w:p>
            <w:pPr>
              <w:spacing w:after="0"/>
            </w:pPr>
            <w:r/>
            <w:r>
              <w:rPr>
                <w:rFonts w:ascii="Arial" w:hAnsi="Arial"/>
                <w:b w:val="0"/>
                <w:sz w:val="15"/>
              </w:rPr>
              <w:t>campaigns</w:t>
            </w:r>
          </w:p>
        </w:tc>
        <w:tc>
          <w:tcPr>
            <w:tcW w:type="dxa" w:w="7200"/>
            <w:vAlign w:val="center"/>
          </w:tcPr>
          <w:p>
            <w:pPr>
              <w:spacing w:after="0"/>
            </w:pPr>
            <w:r/>
            <w:r>
              <w:rPr>
                <w:rFonts w:ascii="Arial" w:hAnsi="Arial"/>
                <w:b w:val="0"/>
                <w:sz w:val="15"/>
              </w:rPr>
              <w:t>id; buyer_org_id; name; objective; budget_minor; currency; start_at; end_at; status; version; created_by.</w:t>
            </w:r>
          </w:p>
        </w:tc>
      </w:tr>
      <w:tr>
        <w:tc>
          <w:tcPr>
            <w:tcW w:type="dxa" w:w="2592"/>
            <w:vAlign w:val="center"/>
          </w:tcPr>
          <w:p>
            <w:pPr>
              <w:spacing w:after="0"/>
            </w:pPr>
            <w:r/>
            <w:r>
              <w:rPr>
                <w:rFonts w:ascii="Arial" w:hAnsi="Arial"/>
                <w:b w:val="0"/>
                <w:sz w:val="15"/>
              </w:rPr>
              <w:t>partner_requests</w:t>
            </w:r>
          </w:p>
        </w:tc>
        <w:tc>
          <w:tcPr>
            <w:tcW w:type="dxa" w:w="7200"/>
            <w:vAlign w:val="center"/>
          </w:tcPr>
          <w:p>
            <w:pPr>
              <w:spacing w:after="0"/>
            </w:pPr>
            <w:r/>
            <w:r>
              <w:rPr>
                <w:rFonts w:ascii="Arial" w:hAnsi="Arial"/>
                <w:b w:val="0"/>
                <w:sz w:val="15"/>
              </w:rPr>
              <w:t>id; campaign_id; partner_org_id; segment_id; request_version; status; snapshot JSONB.</w:t>
            </w:r>
          </w:p>
        </w:tc>
      </w:tr>
      <w:tr>
        <w:tc>
          <w:tcPr>
            <w:tcW w:type="dxa" w:w="2592"/>
            <w:vAlign w:val="center"/>
          </w:tcPr>
          <w:p>
            <w:pPr>
              <w:spacing w:after="0"/>
            </w:pPr>
            <w:r/>
            <w:r>
              <w:rPr>
                <w:rFonts w:ascii="Arial" w:hAnsi="Arial"/>
                <w:b w:val="0"/>
                <w:sz w:val="15"/>
              </w:rPr>
              <w:t>approvals</w:t>
            </w:r>
          </w:p>
        </w:tc>
        <w:tc>
          <w:tcPr>
            <w:tcW w:type="dxa" w:w="7200"/>
            <w:vAlign w:val="center"/>
          </w:tcPr>
          <w:p>
            <w:pPr>
              <w:spacing w:after="0"/>
            </w:pPr>
            <w:r/>
            <w:r>
              <w:rPr>
                <w:rFonts w:ascii="Arial" w:hAnsi="Arial"/>
                <w:b w:val="0"/>
                <w:sz w:val="15"/>
              </w:rPr>
              <w:t>id; request_id; actor_user_id; decision; decision_version; reason; approved_at.</w:t>
            </w:r>
          </w:p>
        </w:tc>
      </w:tr>
      <w:tr>
        <w:tc>
          <w:tcPr>
            <w:tcW w:type="dxa" w:w="2592"/>
            <w:vAlign w:val="center"/>
          </w:tcPr>
          <w:p>
            <w:pPr>
              <w:spacing w:after="0"/>
            </w:pPr>
            <w:r/>
            <w:r>
              <w:rPr>
                <w:rFonts w:ascii="Arial" w:hAnsi="Arial"/>
                <w:b w:val="0"/>
                <w:sz w:val="15"/>
              </w:rPr>
              <w:t>activations</w:t>
            </w:r>
          </w:p>
        </w:tc>
        <w:tc>
          <w:tcPr>
            <w:tcW w:type="dxa" w:w="7200"/>
            <w:vAlign w:val="center"/>
          </w:tcPr>
          <w:p>
            <w:pPr>
              <w:spacing w:after="0"/>
            </w:pPr>
            <w:r/>
            <w:r>
              <w:rPr>
                <w:rFonts w:ascii="Arial" w:hAnsi="Arial"/>
                <w:b w:val="0"/>
                <w:sz w:val="15"/>
              </w:rPr>
              <w:t>id; request_id; channel; placement_id nullable; status; manifest_version; budget_minor; started_at; ended_at.</w:t>
            </w:r>
          </w:p>
        </w:tc>
      </w:tr>
      <w:tr>
        <w:tc>
          <w:tcPr>
            <w:tcW w:type="dxa" w:w="2592"/>
            <w:vAlign w:val="center"/>
          </w:tcPr>
          <w:p>
            <w:pPr>
              <w:spacing w:after="0"/>
            </w:pPr>
            <w:r/>
            <w:r>
              <w:rPr>
                <w:rFonts w:ascii="Arial" w:hAnsi="Arial"/>
                <w:b w:val="0"/>
                <w:sz w:val="15"/>
              </w:rPr>
              <w:t>channel_connections</w:t>
            </w:r>
          </w:p>
        </w:tc>
        <w:tc>
          <w:tcPr>
            <w:tcW w:type="dxa" w:w="7200"/>
            <w:vAlign w:val="center"/>
          </w:tcPr>
          <w:p>
            <w:pPr>
              <w:spacing w:after="0"/>
            </w:pPr>
            <w:r/>
            <w:r>
              <w:rPr>
                <w:rFonts w:ascii="Arial" w:hAnsi="Arial"/>
                <w:b w:val="0"/>
                <w:sz w:val="15"/>
              </w:rPr>
              <w:t>id; partner_org_id; provider; account_ids JSONB; status; scopes JSONB; expires_at.</w:t>
            </w:r>
          </w:p>
        </w:tc>
      </w:tr>
      <w:tr>
        <w:tc>
          <w:tcPr>
            <w:tcW w:type="dxa" w:w="2592"/>
            <w:vAlign w:val="center"/>
          </w:tcPr>
          <w:p>
            <w:pPr>
              <w:spacing w:after="0"/>
            </w:pPr>
            <w:r/>
            <w:r>
              <w:rPr>
                <w:rFonts w:ascii="Arial" w:hAnsi="Arial"/>
                <w:b w:val="0"/>
                <w:sz w:val="15"/>
              </w:rPr>
              <w:t>external_resources</w:t>
            </w:r>
          </w:p>
        </w:tc>
        <w:tc>
          <w:tcPr>
            <w:tcW w:type="dxa" w:w="7200"/>
            <w:vAlign w:val="center"/>
          </w:tcPr>
          <w:p>
            <w:pPr>
              <w:spacing w:after="0"/>
            </w:pPr>
            <w:r/>
            <w:r>
              <w:rPr>
                <w:rFonts w:ascii="Arial" w:hAnsi="Arial"/>
                <w:b w:val="0"/>
                <w:sz w:val="15"/>
              </w:rPr>
              <w:t>activation_id; provider; audience_id; campaign_id; resource_status; metadata JSONB.</w:t>
            </w:r>
          </w:p>
        </w:tc>
      </w:tr>
      <w:tr>
        <w:tc>
          <w:tcPr>
            <w:tcW w:type="dxa" w:w="2592"/>
            <w:vAlign w:val="center"/>
          </w:tcPr>
          <w:p>
            <w:pPr>
              <w:spacing w:after="0"/>
            </w:pPr>
            <w:r/>
            <w:r>
              <w:rPr>
                <w:rFonts w:ascii="Arial" w:hAnsi="Arial"/>
                <w:b w:val="0"/>
                <w:sz w:val="15"/>
              </w:rPr>
              <w:t>creative_versions</w:t>
            </w:r>
          </w:p>
        </w:tc>
        <w:tc>
          <w:tcPr>
            <w:tcW w:type="dxa" w:w="7200"/>
            <w:vAlign w:val="center"/>
          </w:tcPr>
          <w:p>
            <w:pPr>
              <w:spacing w:after="0"/>
            </w:pPr>
            <w:r/>
            <w:r>
              <w:rPr>
                <w:rFonts w:ascii="Arial" w:hAnsi="Arial"/>
                <w:b w:val="0"/>
                <w:sz w:val="15"/>
              </w:rPr>
              <w:t>id; creative_id; campaign_id; version; asset_uri; content_sha256; metadata JSONB; status.</w:t>
            </w:r>
          </w:p>
        </w:tc>
      </w:tr>
      <w:tr>
        <w:tc>
          <w:tcPr>
            <w:tcW w:type="dxa" w:w="2592"/>
            <w:vAlign w:val="center"/>
          </w:tcPr>
          <w:p>
            <w:pPr>
              <w:spacing w:after="0"/>
            </w:pPr>
            <w:r/>
            <w:r>
              <w:rPr>
                <w:rFonts w:ascii="Arial" w:hAnsi="Arial"/>
                <w:b w:val="0"/>
                <w:sz w:val="15"/>
              </w:rPr>
              <w:t>aggregate_metrics</w:t>
            </w:r>
          </w:p>
        </w:tc>
        <w:tc>
          <w:tcPr>
            <w:tcW w:type="dxa" w:w="7200"/>
            <w:vAlign w:val="center"/>
          </w:tcPr>
          <w:p>
            <w:pPr>
              <w:spacing w:after="0"/>
            </w:pPr>
            <w:r/>
            <w:r>
              <w:rPr>
                <w:rFonts w:ascii="Arial" w:hAnsi="Arial"/>
                <w:b w:val="0"/>
                <w:sz w:val="15"/>
              </w:rPr>
              <w:t>activation_id + bucket_start PK; impressions BIGINT; clicks BIGINT; spend_minor BIGINT; leads; qualified_leads; conversions.</w:t>
            </w:r>
          </w:p>
        </w:tc>
      </w:tr>
      <w:tr>
        <w:tc>
          <w:tcPr>
            <w:tcW w:type="dxa" w:w="2592"/>
            <w:vAlign w:val="center"/>
          </w:tcPr>
          <w:p>
            <w:pPr>
              <w:spacing w:after="0"/>
            </w:pPr>
            <w:r/>
            <w:r>
              <w:rPr>
                <w:rFonts w:ascii="Arial" w:hAnsi="Arial"/>
                <w:b w:val="0"/>
                <w:sz w:val="15"/>
              </w:rPr>
              <w:t>attribution_tokens</w:t>
            </w:r>
          </w:p>
        </w:tc>
        <w:tc>
          <w:tcPr>
            <w:tcW w:type="dxa" w:w="7200"/>
            <w:vAlign w:val="center"/>
          </w:tcPr>
          <w:p>
            <w:pPr>
              <w:spacing w:after="0"/>
            </w:pPr>
            <w:r/>
            <w:r>
              <w:rPr>
                <w:rFonts w:ascii="Arial" w:hAnsi="Arial"/>
                <w:b w:val="0"/>
                <w:sz w:val="15"/>
              </w:rPr>
              <w:t>token_hash BYTEA PK; activation_id; creative_version_id; placement_id; issued_at; expires_at; lead_state; revoked_at.</w:t>
            </w:r>
          </w:p>
        </w:tc>
      </w:tr>
      <w:tr>
        <w:tc>
          <w:tcPr>
            <w:tcW w:type="dxa" w:w="2592"/>
            <w:vAlign w:val="center"/>
          </w:tcPr>
          <w:p>
            <w:pPr>
              <w:spacing w:after="0"/>
            </w:pPr>
            <w:r/>
            <w:r>
              <w:rPr>
                <w:rFonts w:ascii="Arial" w:hAnsi="Arial"/>
                <w:b w:val="0"/>
                <w:sz w:val="15"/>
              </w:rPr>
              <w:t>lead_events</w:t>
            </w:r>
          </w:p>
        </w:tc>
        <w:tc>
          <w:tcPr>
            <w:tcW w:type="dxa" w:w="7200"/>
            <w:vAlign w:val="center"/>
          </w:tcPr>
          <w:p>
            <w:pPr>
              <w:spacing w:after="0"/>
            </w:pPr>
            <w:r/>
            <w:r>
              <w:rPr>
                <w:rFonts w:ascii="Arial" w:hAnsi="Arial"/>
                <w:b w:val="0"/>
                <w:sz w:val="15"/>
              </w:rPr>
              <w:t>id; token_hash; buyer_org_id; crm_event_id; status; event_time; UNIQUE(buyer_org_id, crm_event_id).</w:t>
            </w:r>
          </w:p>
        </w:tc>
      </w:tr>
      <w:tr>
        <w:tc>
          <w:tcPr>
            <w:tcW w:type="dxa" w:w="2592"/>
            <w:vAlign w:val="center"/>
          </w:tcPr>
          <w:p>
            <w:pPr>
              <w:spacing w:after="0"/>
            </w:pPr>
            <w:r/>
            <w:r>
              <w:rPr>
                <w:rFonts w:ascii="Arial" w:hAnsi="Arial"/>
                <w:b w:val="0"/>
                <w:sz w:val="15"/>
              </w:rPr>
              <w:t>financial_events</w:t>
            </w:r>
          </w:p>
        </w:tc>
        <w:tc>
          <w:tcPr>
            <w:tcW w:type="dxa" w:w="7200"/>
            <w:vAlign w:val="center"/>
          </w:tcPr>
          <w:p>
            <w:pPr>
              <w:spacing w:after="0"/>
            </w:pPr>
            <w:r/>
            <w:r>
              <w:rPr>
                <w:rFonts w:ascii="Arial" w:hAnsi="Arial"/>
                <w:b w:val="0"/>
                <w:sz w:val="15"/>
              </w:rPr>
              <w:t>id; activation_id; event_type; amount_minor; currency; source_ref; immutable.</w:t>
            </w:r>
          </w:p>
        </w:tc>
      </w:tr>
      <w:tr>
        <w:tc>
          <w:tcPr>
            <w:tcW w:type="dxa" w:w="2592"/>
            <w:vAlign w:val="center"/>
          </w:tcPr>
          <w:p>
            <w:pPr>
              <w:spacing w:after="0"/>
            </w:pPr>
            <w:r/>
            <w:r>
              <w:rPr>
                <w:rFonts w:ascii="Arial" w:hAnsi="Arial"/>
                <w:b w:val="0"/>
                <w:sz w:val="15"/>
              </w:rPr>
              <w:t>invoices / payouts</w:t>
            </w:r>
          </w:p>
        </w:tc>
        <w:tc>
          <w:tcPr>
            <w:tcW w:type="dxa" w:w="7200"/>
            <w:vAlign w:val="center"/>
          </w:tcPr>
          <w:p>
            <w:pPr>
              <w:spacing w:after="0"/>
            </w:pPr>
            <w:r/>
            <w:r>
              <w:rPr>
                <w:rFonts w:ascii="Arial" w:hAnsi="Arial"/>
                <w:b w:val="0"/>
                <w:sz w:val="15"/>
              </w:rPr>
              <w:t>legal/accounting records + status + reproducible source references.</w:t>
            </w:r>
          </w:p>
        </w:tc>
      </w:tr>
      <w:tr>
        <w:tc>
          <w:tcPr>
            <w:tcW w:type="dxa" w:w="2592"/>
            <w:vAlign w:val="center"/>
          </w:tcPr>
          <w:p>
            <w:pPr>
              <w:spacing w:after="0"/>
            </w:pPr>
            <w:r/>
            <w:r>
              <w:rPr>
                <w:rFonts w:ascii="Arial" w:hAnsi="Arial"/>
                <w:b w:val="0"/>
                <w:sz w:val="15"/>
              </w:rPr>
              <w:t>audit_events</w:t>
            </w:r>
          </w:p>
        </w:tc>
        <w:tc>
          <w:tcPr>
            <w:tcW w:type="dxa" w:w="7200"/>
            <w:vAlign w:val="center"/>
          </w:tcPr>
          <w:p>
            <w:pPr>
              <w:spacing w:after="0"/>
            </w:pPr>
            <w:r/>
            <w:r>
              <w:rPr>
                <w:rFonts w:ascii="Arial" w:hAnsi="Arial"/>
                <w:b w:val="0"/>
                <w:sz w:val="15"/>
              </w:rPr>
              <w:t>id; actor; org_id; entity_type; entity_id; action; metadata JSONB; timestamp.</w:t>
            </w:r>
          </w:p>
        </w:tc>
      </w:tr>
    </w:tbl>
    <w:p/>
    <w:p>
      <w:pPr>
        <w:spacing w:before="40" w:after="80"/>
        <w:ind w:left="259" w:right="144"/>
        <w:shd w:fill="F3F4F6"/>
      </w:pPr>
      <w:r>
        <w:rPr>
          <w:rFonts w:ascii="Courier New" w:hAnsi="Courier New"/>
          <w:sz w:val="14"/>
        </w:rPr>
        <w:t>-- representative SQL (full examples are included in implementation_examples/001_init.sql)</w:t>
        <w:br/>
        <w:t>CREATE TABLE campaigns (</w:t>
        <w:br/>
        <w:t xml:space="preserve">  id UUID PRIMARY KEY,</w:t>
        <w:br/>
        <w:t xml:space="preserve">  buyer_org_id UUID NOT NULL REFERENCES organizations(id),</w:t>
        <w:br/>
        <w:t xml:space="preserve">  name VARCHAR(120) NOT NULL,</w:t>
        <w:br/>
        <w:t xml:space="preserve">  objective VARCHAR(32) NOT NULL,</w:t>
        <w:br/>
        <w:t xml:space="preserve">  budget_minor BIGINT NOT NULL CHECK (budget_minor &gt; 0),</w:t>
        <w:br/>
        <w:t xml:space="preserve">  currency CHAR(3) NOT NULL,</w:t>
        <w:br/>
        <w:t xml:space="preserve">  status VARCHAR(32) NOT NULL DEFAULT 'DRAFT',</w:t>
        <w:br/>
        <w:t xml:space="preserve">  start_at TIMESTAMPTZ NOT NULL,</w:t>
        <w:br/>
        <w:t xml:space="preserve">  end_at TIMESTAMPTZ NOT NULL,</w:t>
        <w:br/>
        <w:t xml:space="preserve">  version INTEGER NOT NULL DEFAULT 1,</w:t>
        <w:br/>
        <w:t xml:space="preserve">  created_by UUID NOT NULL REFERENCES users(id),</w:t>
        <w:br/>
        <w:t xml:space="preserve">  created_at TIMESTAMPTZ NOT NULL DEFAULT NOW(),</w:t>
        <w:br/>
        <w:t xml:space="preserve">  updated_at TIMESTAMPTZ NOT NULL DEFAULT NOW(),</w:t>
        <w:br/>
        <w:t xml:space="preserve">  CHECK (end_at &gt; start_at)</w:t>
        <w:br/>
        <w:t>);</w:t>
        <w:br/>
        <w:t>CREATE INDEX idx_campaigns_buyer_status ON campaigns(buyer_org_id, status);</w:t>
        <w:br/>
        <w:t>CREATE INDEX idx_campaigns_dates ON campaigns(start_at, end_at);</w:t>
      </w:r>
    </w:p>
    <w:p>
      <w:pPr>
        <w:pStyle w:val="ListBullet"/>
        <w:spacing w:after="40"/>
      </w:pPr>
      <w:r>
        <w:t>aggregate_metrics is monthly range-partitioned by bucket_start only after traffic justifies it. The initial pilot may remain a normal table, but the migration path is pre-defined.</w:t>
      </w:r>
    </w:p>
    <w:p>
      <w:pPr>
        <w:pStyle w:val="ListBullet"/>
        <w:spacing w:after="40"/>
      </w:pPr>
      <w:r>
        <w:t>Use PgBouncer or managed pooler in production. Initial API pool baseline: 10 connections/pod; worker: 5/pod; tune by load test and database max_connections.</w:t>
      </w:r>
    </w:p>
    <w:p>
      <w:pPr>
        <w:pStyle w:val="ListBullet"/>
        <w:spacing w:after="40"/>
      </w:pPr>
      <w:r>
        <w:t>Migrations are expand/contract for zero-downtime: add nullable/new structures, deploy compatible app, backfill, enforce constraint/remove old field in later release.</w:t>
      </w:r>
    </w:p>
    <w:p>
      <w:pPr>
        <w:pStyle w:val="ListBullet"/>
        <w:spacing w:after="40"/>
      </w:pPr>
      <w:r>
        <w:t>No destructive migration without verified backup and explicit rollback/forward-fix plan.</w:t>
      </w:r>
    </w:p>
    <w:p>
      <w:pPr>
        <w:pStyle w:val="Heading1"/>
      </w:pPr>
      <w:r>
        <w:t>74. Canonical Queue/Event Envelope, DLQ and Retry Policy</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Queue choice</w:t>
            </w:r>
          </w:p>
          <w:p>
            <w:pPr>
              <w:spacing w:after="0"/>
            </w:pPr>
            <w:r>
              <w:rPr>
                <w:rFonts w:ascii="Arial" w:hAnsi="Arial"/>
                <w:sz w:val="17"/>
              </w:rPr>
              <w:t>Use AWS SQS Standard queues for MVP. Local development uses LocalStack. Delivery is at-least-once; consumers must be idempotent. Do not rely on ordering between unrelated entities.</w:t>
            </w:r>
          </w:p>
        </w:tc>
      </w:tr>
    </w:tbl>
    <w:p/>
    <w:p>
      <w:pPr>
        <w:spacing w:before="40" w:after="80"/>
        <w:ind w:left="259" w:right="144"/>
        <w:shd w:fill="F3F4F6"/>
      </w:pPr>
      <w:r>
        <w:rPr>
          <w:rFonts w:ascii="Courier New" w:hAnsi="Courier New"/>
          <w:sz w:val="14"/>
        </w:rPr>
        <w:t>{</w:t>
        <w:br/>
        <w:t xml:space="preserve">  "id": "evt_01...",</w:t>
        <w:br/>
        <w:t xml:space="preserve">  "event_type": "PARTNER_REQUEST_APPROVED",</w:t>
        <w:br/>
        <w:t xml:space="preserve">  "event_version": 1,</w:t>
        <w:br/>
        <w:t xml:space="preserve">  "occurred_at": "2026-08-22T10:00:00Z",</w:t>
        <w:br/>
        <w:t xml:space="preserve">  "correlation_id": "corr_...",</w:t>
        <w:br/>
        <w:t xml:space="preserve">  "source": "approval-service",</w:t>
        <w:br/>
        <w:t xml:space="preserve">  "aggregate": {"type":"partner_request","id":"req_a","version":3},</w:t>
        <w:br/>
        <w:t xml:space="preserve">  "data": {...},</w:t>
        <w:br/>
        <w:t xml:space="preserve">  "metadata": {"attempt":0}</w:t>
        <w:br/>
        <w:t>}</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Setting</w:t>
            </w:r>
          </w:p>
        </w:tc>
        <w:tc>
          <w:tcPr>
            <w:tcW w:type="dxa" w:w="6912"/>
            <w:vAlign w:val="center"/>
            <w:shd w:fill="1B4363"/>
          </w:tcPr>
          <w:p>
            <w:pPr>
              <w:spacing w:after="0"/>
            </w:pPr>
            <w:r/>
            <w:r>
              <w:rPr>
                <w:rFonts w:ascii="Arial" w:hAnsi="Arial"/>
                <w:b/>
                <w:color w:val="FFFFFF"/>
                <w:sz w:val="16"/>
              </w:rPr>
              <w:t>Canonical value</w:t>
            </w:r>
          </w:p>
        </w:tc>
      </w:tr>
      <w:tr>
        <w:tc>
          <w:tcPr>
            <w:tcW w:type="dxa" w:w="2880"/>
            <w:vAlign w:val="center"/>
          </w:tcPr>
          <w:p>
            <w:pPr>
              <w:spacing w:after="0"/>
            </w:pPr>
            <w:r/>
            <w:r>
              <w:rPr>
                <w:rFonts w:ascii="Arial" w:hAnsi="Arial"/>
                <w:b w:val="0"/>
                <w:sz w:val="15"/>
              </w:rPr>
              <w:t>Max receive attempts</w:t>
            </w:r>
          </w:p>
        </w:tc>
        <w:tc>
          <w:tcPr>
            <w:tcW w:type="dxa" w:w="6912"/>
            <w:vAlign w:val="center"/>
          </w:tcPr>
          <w:p>
            <w:pPr>
              <w:spacing w:after="0"/>
            </w:pPr>
            <w:r/>
            <w:r>
              <w:rPr>
                <w:rFonts w:ascii="Arial" w:hAnsi="Arial"/>
                <w:b w:val="0"/>
                <w:sz w:val="15"/>
              </w:rPr>
              <w:t>5</w:t>
            </w:r>
          </w:p>
        </w:tc>
      </w:tr>
      <w:tr>
        <w:tc>
          <w:tcPr>
            <w:tcW w:type="dxa" w:w="2880"/>
            <w:vAlign w:val="center"/>
          </w:tcPr>
          <w:p>
            <w:pPr>
              <w:spacing w:after="0"/>
            </w:pPr>
            <w:r/>
            <w:r>
              <w:rPr>
                <w:rFonts w:ascii="Arial" w:hAnsi="Arial"/>
                <w:b w:val="0"/>
                <w:sz w:val="15"/>
              </w:rPr>
              <w:t>Backoff</w:t>
            </w:r>
          </w:p>
        </w:tc>
        <w:tc>
          <w:tcPr>
            <w:tcW w:type="dxa" w:w="6912"/>
            <w:vAlign w:val="center"/>
          </w:tcPr>
          <w:p>
            <w:pPr>
              <w:spacing w:after="0"/>
            </w:pPr>
            <w:r/>
            <w:r>
              <w:rPr>
                <w:rFonts w:ascii="Arial" w:hAnsi="Arial"/>
                <w:b w:val="0"/>
                <w:sz w:val="15"/>
              </w:rPr>
              <w:t>1s, 5s, 30s, 2m, 10m (consumer-controlled where needed)</w:t>
            </w:r>
          </w:p>
        </w:tc>
      </w:tr>
      <w:tr>
        <w:tc>
          <w:tcPr>
            <w:tcW w:type="dxa" w:w="2880"/>
            <w:vAlign w:val="center"/>
          </w:tcPr>
          <w:p>
            <w:pPr>
              <w:spacing w:after="0"/>
            </w:pPr>
            <w:r/>
            <w:r>
              <w:rPr>
                <w:rFonts w:ascii="Arial" w:hAnsi="Arial"/>
                <w:b w:val="0"/>
                <w:sz w:val="15"/>
              </w:rPr>
              <w:t>DLQ</w:t>
            </w:r>
          </w:p>
        </w:tc>
        <w:tc>
          <w:tcPr>
            <w:tcW w:type="dxa" w:w="6912"/>
            <w:vAlign w:val="center"/>
          </w:tcPr>
          <w:p>
            <w:pPr>
              <w:spacing w:after="0"/>
            </w:pPr>
            <w:r/>
            <w:r>
              <w:rPr>
                <w:rFonts w:ascii="Arial" w:hAnsi="Arial"/>
                <w:b w:val="0"/>
                <w:sz w:val="15"/>
              </w:rPr>
              <w:t>Per critical queue; retain 14 days.</w:t>
            </w:r>
          </w:p>
        </w:tc>
      </w:tr>
      <w:tr>
        <w:tc>
          <w:tcPr>
            <w:tcW w:type="dxa" w:w="2880"/>
            <w:vAlign w:val="center"/>
          </w:tcPr>
          <w:p>
            <w:pPr>
              <w:spacing w:after="0"/>
            </w:pPr>
            <w:r/>
            <w:r>
              <w:rPr>
                <w:rFonts w:ascii="Arial" w:hAnsi="Arial"/>
                <w:b w:val="0"/>
                <w:sz w:val="15"/>
              </w:rPr>
              <w:t>Visibility timeout</w:t>
            </w:r>
          </w:p>
        </w:tc>
        <w:tc>
          <w:tcPr>
            <w:tcW w:type="dxa" w:w="6912"/>
            <w:vAlign w:val="center"/>
          </w:tcPr>
          <w:p>
            <w:pPr>
              <w:spacing w:after="0"/>
            </w:pPr>
            <w:r/>
            <w:r>
              <w:rPr>
                <w:rFonts w:ascii="Arial" w:hAnsi="Arial"/>
                <w:b w:val="0"/>
                <w:sz w:val="15"/>
              </w:rPr>
              <w:t>Function-specific; &gt;= 2x expected max processing time.</w:t>
            </w:r>
          </w:p>
        </w:tc>
      </w:tr>
      <w:tr>
        <w:tc>
          <w:tcPr>
            <w:tcW w:type="dxa" w:w="2880"/>
            <w:vAlign w:val="center"/>
          </w:tcPr>
          <w:p>
            <w:pPr>
              <w:spacing w:after="0"/>
            </w:pPr>
            <w:r/>
            <w:r>
              <w:rPr>
                <w:rFonts w:ascii="Arial" w:hAnsi="Arial"/>
                <w:b w:val="0"/>
                <w:sz w:val="15"/>
              </w:rPr>
              <w:t>Poison message</w:t>
            </w:r>
          </w:p>
        </w:tc>
        <w:tc>
          <w:tcPr>
            <w:tcW w:type="dxa" w:w="6912"/>
            <w:vAlign w:val="center"/>
          </w:tcPr>
          <w:p>
            <w:pPr>
              <w:spacing w:after="0"/>
            </w:pPr>
            <w:r/>
            <w:r>
              <w:rPr>
                <w:rFonts w:ascii="Arial" w:hAnsi="Arial"/>
                <w:b w:val="0"/>
                <w:sz w:val="15"/>
              </w:rPr>
              <w:t>Move to DLQ, alert, store correlation/event ID; no infinite retry.</w:t>
            </w:r>
          </w:p>
        </w:tc>
      </w:tr>
      <w:tr>
        <w:tc>
          <w:tcPr>
            <w:tcW w:type="dxa" w:w="2880"/>
            <w:vAlign w:val="center"/>
          </w:tcPr>
          <w:p>
            <w:pPr>
              <w:spacing w:after="0"/>
            </w:pPr>
            <w:r/>
            <w:r>
              <w:rPr>
                <w:rFonts w:ascii="Arial" w:hAnsi="Arial"/>
                <w:b w:val="0"/>
                <w:sz w:val="15"/>
              </w:rPr>
              <w:t>Replay</w:t>
            </w:r>
          </w:p>
        </w:tc>
        <w:tc>
          <w:tcPr>
            <w:tcW w:type="dxa" w:w="6912"/>
            <w:vAlign w:val="center"/>
          </w:tcPr>
          <w:p>
            <w:pPr>
              <w:spacing w:after="0"/>
            </w:pPr>
            <w:r/>
            <w:r>
              <w:rPr>
                <w:rFonts w:ascii="Arial" w:hAnsi="Arial"/>
                <w:b w:val="0"/>
                <w:sz w:val="15"/>
              </w:rPr>
              <w:t>Ops-only re-drive after root cause fixed; idempotency guarantees no duplicate business outcome.</w:t>
            </w:r>
          </w:p>
        </w:tc>
      </w:tr>
      <w:tr>
        <w:tc>
          <w:tcPr>
            <w:tcW w:type="dxa" w:w="2880"/>
            <w:vAlign w:val="center"/>
          </w:tcPr>
          <w:p>
            <w:pPr>
              <w:spacing w:after="0"/>
            </w:pPr>
            <w:r/>
            <w:r>
              <w:rPr>
                <w:rFonts w:ascii="Arial" w:hAnsi="Arial"/>
                <w:b w:val="0"/>
                <w:sz w:val="15"/>
              </w:rPr>
              <w:t>Queue lag alert</w:t>
            </w:r>
          </w:p>
        </w:tc>
        <w:tc>
          <w:tcPr>
            <w:tcW w:type="dxa" w:w="6912"/>
            <w:vAlign w:val="center"/>
          </w:tcPr>
          <w:p>
            <w:pPr>
              <w:spacing w:after="0"/>
            </w:pPr>
            <w:r/>
            <w:r>
              <w:rPr>
                <w:rFonts w:ascii="Arial" w:hAnsi="Arial"/>
                <w:b w:val="0"/>
                <w:sz w:val="15"/>
              </w:rPr>
              <w:t>Oldest visible message &gt; 2 minutes for 10 minutes.</w:t>
            </w:r>
          </w:p>
        </w:tc>
      </w:tr>
      <w:tr>
        <w:tc>
          <w:tcPr>
            <w:tcW w:type="dxa" w:w="2880"/>
            <w:vAlign w:val="center"/>
          </w:tcPr>
          <w:p>
            <w:pPr>
              <w:spacing w:after="0"/>
            </w:pPr>
            <w:r/>
            <w:r>
              <w:rPr>
                <w:rFonts w:ascii="Arial" w:hAnsi="Arial"/>
                <w:b w:val="0"/>
                <w:sz w:val="15"/>
              </w:rPr>
              <w:t>DLQ alert</w:t>
            </w:r>
          </w:p>
        </w:tc>
        <w:tc>
          <w:tcPr>
            <w:tcW w:type="dxa" w:w="6912"/>
            <w:vAlign w:val="center"/>
          </w:tcPr>
          <w:p>
            <w:pPr>
              <w:spacing w:after="0"/>
            </w:pPr>
            <w:r/>
            <w:r>
              <w:rPr>
                <w:rFonts w:ascii="Arial" w:hAnsi="Arial"/>
                <w:b w:val="0"/>
                <w:sz w:val="15"/>
              </w:rPr>
              <w:t>Any new DLQ message in production.</w:t>
            </w:r>
          </w:p>
        </w:tc>
      </w:tr>
    </w:tbl>
    <w:p/>
    <w:p>
      <w:pPr>
        <w:pStyle w:val="Heading1"/>
      </w:pPr>
      <w:r>
        <w:t>75. Manifest Signing, Key Rotation and Offline Cache Semantics</w:t>
      </w:r>
    </w:p>
    <w:p>
      <w:pPr>
        <w:pStyle w:val="ListBullet"/>
        <w:spacing w:after="40"/>
      </w:pPr>
      <w:r>
        <w:t>Manifest format is canonical JSON serialized with sorted keys and signed as JWS ES256.</w:t>
      </w:r>
    </w:p>
    <w:p>
      <w:pPr>
        <w:pStyle w:val="ListBullet"/>
        <w:spacing w:after="40"/>
      </w:pPr>
      <w:r>
        <w:t>Oolix signing private key is held in cloud KMS/HSM-equivalent where supported. Manifest includes kid, issued_at, config_expires_at and partner_org_id.</w:t>
      </w:r>
    </w:p>
    <w:p>
      <w:pPr>
        <w:pStyle w:val="ListBullet"/>
        <w:spacing w:after="40"/>
      </w:pPr>
      <w:r>
        <w:t>Partner Agent caches Oolix public verification keys from a JWKS endpoint and pins issuer/audience.</w:t>
      </w:r>
    </w:p>
    <w:p>
      <w:pPr>
        <w:pStyle w:val="ListBullet"/>
        <w:spacing w:after="40"/>
      </w:pPr>
      <w:r>
        <w:t>Rotation: publish new public key before signing switch; accept old + new during 24-hour overlap; revoke immediately on incident.</w:t>
      </w:r>
    </w:p>
    <w:p>
      <w:pPr>
        <w:pStyle w:val="ListBullet"/>
        <w:spacing w:after="40"/>
      </w:pPr>
      <w:r>
        <w:t>Agent pulls control changes every 30 seconds.</w:t>
      </w:r>
    </w:p>
    <w:p>
      <w:pPr>
        <w:pStyle w:val="ListBullet"/>
        <w:spacing w:after="40"/>
      </w:pPr>
      <w:r>
        <w:t>If Oolix is unreachable, Agent may continue serving only a previously approved manifest until config_expires_at. Canonical stale grace is 15 minutes, additionally bounded by campaign end/revocation knowledge.</w:t>
      </w:r>
    </w:p>
    <w:p>
      <w:pPr>
        <w:pStyle w:val="ListBullet"/>
        <w:spacing w:after="40"/>
      </w:pPr>
      <w:r>
        <w:t>No new campaign, budget increase, creative version or external upload starts while control sync is stale.</w:t>
      </w:r>
    </w:p>
    <w:p>
      <w:pPr>
        <w:spacing w:before="40" w:after="80"/>
        <w:ind w:left="259" w:right="144"/>
        <w:shd w:fill="F3F4F6"/>
      </w:pPr>
      <w:r>
        <w:rPr>
          <w:rFonts w:ascii="Courier New" w:hAnsi="Courier New"/>
          <w:sz w:val="14"/>
        </w:rPr>
        <w:t>Manifest protected header:</w:t>
        <w:br/>
        <w:t>{ "alg":"ES256", "kid":"manifest-2026-08-1", "typ":"OOLIX-MANIFEST+JWS" }</w:t>
        <w:br/>
        <w:br/>
        <w:t>Required payload:</w:t>
        <w:br/>
        <w:t>manifest_version</w:t>
        <w:br/>
        <w:t>activation_id</w:t>
        <w:br/>
        <w:t>partner_org_id</w:t>
        <w:br/>
        <w:t>segment_id</w:t>
        <w:br/>
        <w:t>channel</w:t>
        <w:br/>
        <w:t>placement_ids</w:t>
        <w:br/>
        <w:t>creative_version_ids</w:t>
        <w:br/>
        <w:t>budget</w:t>
        <w:br/>
        <w:t>frequency_cap</w:t>
        <w:br/>
        <w:t>purpose_id</w:t>
        <w:br/>
        <w:t>policy_version</w:t>
        <w:br/>
        <w:t>issued_at</w:t>
        <w:br/>
        <w:t>config_expires_at</w:t>
        <w:br/>
        <w:t>start_at</w:t>
        <w:br/>
        <w:t>end_at</w:t>
        <w:br/>
        <w:t>approval_reference</w:t>
      </w:r>
    </w:p>
    <w:p>
      <w:pPr>
        <w:pStyle w:val="Heading1"/>
      </w:pPr>
      <w:r>
        <w:t>76. Canonical State Machines, Ad Selection and Budget Pacing</w:t>
      </w:r>
    </w:p>
    <w:p>
      <w:pPr>
        <w:jc w:val="center"/>
      </w:pPr>
      <w:r>
        <w:drawing>
          <wp:inline xmlns:a="http://schemas.openxmlformats.org/drawingml/2006/main" xmlns:pic="http://schemas.openxmlformats.org/drawingml/2006/picture">
            <wp:extent cx="6126480" cy="1478085"/>
            <wp:docPr id="26" name="Picture 26"/>
            <wp:cNvGraphicFramePr>
              <a:graphicFrameLocks noChangeAspect="1"/>
            </wp:cNvGraphicFramePr>
            <a:graphic>
              <a:graphicData uri="http://schemas.openxmlformats.org/drawingml/2006/picture">
                <pic:pic>
                  <pic:nvPicPr>
                    <pic:cNvPr id="0" name="canonical_state.png"/>
                    <pic:cNvPicPr/>
                  </pic:nvPicPr>
                  <pic:blipFill>
                    <a:blip r:embed="rId33"/>
                    <a:stretch>
                      <a:fillRect/>
                    </a:stretch>
                  </pic:blipFill>
                  <pic:spPr>
                    <a:xfrm>
                      <a:off x="0" y="0"/>
                      <a:ext cx="6126480" cy="1478085"/>
                    </a:xfrm>
                    <a:prstGeom prst="rect"/>
                  </pic:spPr>
                </pic:pic>
              </a:graphicData>
            </a:graphic>
          </wp:inline>
        </w:drawing>
      </w:r>
    </w:p>
    <w:p>
      <w:pPr>
        <w:jc w:val="center"/>
      </w:pPr>
      <w:r>
        <w:rPr>
          <w:i/>
          <w:color w:val="4B5563"/>
          <w:sz w:val="15"/>
        </w:rPr>
        <w:t>Figure 26. Canonical request/activation state progression.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Object</w:t>
            </w:r>
          </w:p>
        </w:tc>
        <w:tc>
          <w:tcPr>
            <w:tcW w:type="dxa" w:w="6912"/>
            <w:vAlign w:val="center"/>
            <w:shd w:fill="1B4363"/>
          </w:tcPr>
          <w:p>
            <w:pPr>
              <w:spacing w:after="0"/>
            </w:pPr>
            <w:r/>
            <w:r>
              <w:rPr>
                <w:rFonts w:ascii="Arial" w:hAnsi="Arial"/>
                <w:b/>
                <w:color w:val="FFFFFF"/>
                <w:sz w:val="16"/>
              </w:rPr>
              <w:t>Canonical states</w:t>
            </w:r>
          </w:p>
        </w:tc>
      </w:tr>
      <w:tr>
        <w:tc>
          <w:tcPr>
            <w:tcW w:type="dxa" w:w="2880"/>
            <w:vAlign w:val="center"/>
          </w:tcPr>
          <w:p>
            <w:pPr>
              <w:spacing w:after="0"/>
            </w:pPr>
            <w:r/>
            <w:r>
              <w:rPr>
                <w:rFonts w:ascii="Arial" w:hAnsi="Arial"/>
                <w:b w:val="0"/>
                <w:sz w:val="15"/>
              </w:rPr>
              <w:t>Parent Campaign</w:t>
            </w:r>
          </w:p>
        </w:tc>
        <w:tc>
          <w:tcPr>
            <w:tcW w:type="dxa" w:w="6912"/>
            <w:vAlign w:val="center"/>
          </w:tcPr>
          <w:p>
            <w:pPr>
              <w:spacing w:after="0"/>
            </w:pPr>
            <w:r/>
            <w:r>
              <w:rPr>
                <w:rFonts w:ascii="Arial" w:hAnsi="Arial"/>
                <w:b w:val="0"/>
                <w:sz w:val="15"/>
              </w:rPr>
              <w:t>DRAFT, SUBMITTED, PARTIALLY_APPROVED, READY, PARTIALLY_LIVE, LIVE, PAUSED, ENDED, SETTLED</w:t>
            </w:r>
          </w:p>
        </w:tc>
      </w:tr>
      <w:tr>
        <w:tc>
          <w:tcPr>
            <w:tcW w:type="dxa" w:w="2880"/>
            <w:vAlign w:val="center"/>
          </w:tcPr>
          <w:p>
            <w:pPr>
              <w:spacing w:after="0"/>
            </w:pPr>
            <w:r/>
            <w:r>
              <w:rPr>
                <w:rFonts w:ascii="Arial" w:hAnsi="Arial"/>
                <w:b w:val="0"/>
                <w:sz w:val="15"/>
              </w:rPr>
              <w:t>Partner Request</w:t>
            </w:r>
          </w:p>
        </w:tc>
        <w:tc>
          <w:tcPr>
            <w:tcW w:type="dxa" w:w="6912"/>
            <w:vAlign w:val="center"/>
          </w:tcPr>
          <w:p>
            <w:r>
              <w:t>DRAFT, PARTNER_REVIEW, CHANGE_REQUESTED, APPROVED, REJECTED, REVOKED, EXPIRED</w:t>
            </w:r>
          </w:p>
        </w:tc>
      </w:tr>
      <w:tr>
        <w:tc>
          <w:tcPr>
            <w:tcW w:type="dxa" w:w="2880"/>
            <w:vAlign w:val="center"/>
          </w:tcPr>
          <w:p>
            <w:pPr>
              <w:spacing w:after="0"/>
            </w:pPr>
            <w:r/>
            <w:r>
              <w:rPr>
                <w:rFonts w:ascii="Arial" w:hAnsi="Arial"/>
                <w:b w:val="0"/>
                <w:sz w:val="15"/>
              </w:rPr>
              <w:t>Activation</w:t>
            </w:r>
          </w:p>
        </w:tc>
        <w:tc>
          <w:tcPr>
            <w:tcW w:type="dxa" w:w="6912"/>
            <w:vAlign w:val="center"/>
          </w:tcPr>
          <w:p>
            <w:pPr>
              <w:spacing w:after="0"/>
            </w:pPr>
            <w:r/>
            <w:r>
              <w:rPr>
                <w:rFonts w:ascii="Arial" w:hAnsi="Arial"/>
                <w:b w:val="0"/>
                <w:sz w:val="15"/>
              </w:rPr>
              <w:t>PENDING_CHANNEL_CHECK, READY, SYNCING, LIVE, PAUSED, FAILED, ENDING, ENDED</w:t>
            </w:r>
          </w:p>
        </w:tc>
      </w:tr>
      <w:tr>
        <w:tc>
          <w:tcPr>
            <w:tcW w:type="dxa" w:w="2880"/>
            <w:vAlign w:val="center"/>
          </w:tcPr>
          <w:p>
            <w:pPr>
              <w:spacing w:after="0"/>
            </w:pPr>
            <w:r/>
            <w:r>
              <w:rPr>
                <w:rFonts w:ascii="Arial" w:hAnsi="Arial"/>
                <w:b w:val="0"/>
                <w:sz w:val="15"/>
              </w:rPr>
              <w:t>External Sync</w:t>
            </w:r>
          </w:p>
        </w:tc>
        <w:tc>
          <w:tcPr>
            <w:tcW w:type="dxa" w:w="6912"/>
            <w:vAlign w:val="center"/>
          </w:tcPr>
          <w:p>
            <w:pPr>
              <w:spacing w:after="0"/>
            </w:pPr>
            <w:r/>
            <w:r>
              <w:rPr>
                <w:rFonts w:ascii="Arial" w:hAnsi="Arial"/>
                <w:b w:val="0"/>
                <w:sz w:val="15"/>
              </w:rPr>
              <w:t>NOT_STARTED, PREPARING, UPLOADING, PROCESSING, READY, FAILED, REMOVING, REMOVED</w:t>
            </w:r>
          </w:p>
        </w:tc>
      </w:tr>
      <w:tr>
        <w:tc>
          <w:tcPr>
            <w:tcW w:type="dxa" w:w="2880"/>
            <w:vAlign w:val="center"/>
          </w:tcPr>
          <w:p>
            <w:pPr>
              <w:spacing w:after="0"/>
            </w:pPr>
            <w:r/>
            <w:r>
              <w:rPr>
                <w:rFonts w:ascii="Arial" w:hAnsi="Arial"/>
                <w:b w:val="0"/>
                <w:sz w:val="15"/>
              </w:rPr>
              <w:t>Payout</w:t>
            </w:r>
          </w:p>
        </w:tc>
        <w:tc>
          <w:tcPr>
            <w:tcW w:type="dxa" w:w="6912"/>
            <w:vAlign w:val="center"/>
          </w:tcPr>
          <w:p>
            <w:pPr>
              <w:spacing w:after="0"/>
            </w:pPr>
            <w:r/>
            <w:r>
              <w:rPr>
                <w:rFonts w:ascii="Arial" w:hAnsi="Arial"/>
                <w:b w:val="0"/>
                <w:sz w:val="15"/>
              </w:rPr>
              <w:t>PENDING, CALCULATED, REVIEWED, APPROVED, PAID, DISPUTED</w:t>
            </w:r>
          </w:p>
        </w:tc>
      </w:tr>
    </w:tbl>
    <w:p/>
    <w:p>
      <w:pPr>
        <w:pStyle w:val="ListBullet"/>
        <w:spacing w:after="40"/>
      </w:pPr>
      <w:r>
        <w:t>PARTNER_REVIEW is the canonical pending-approval state; do not also create PENDING_APPROVAL.</w:t>
      </w:r>
    </w:p>
    <w:p>
      <w:pPr>
        <w:pStyle w:val="ListBullet"/>
        <w:spacing w:after="40"/>
      </w:pPr>
      <w:r>
        <w:t>PAUSED may transition to LIVE or ENDING. REJECTED cannot transition to APPROVED without a new request version.</w:t>
      </w:r>
    </w:p>
    <w:p>
      <w:pPr>
        <w:pStyle w:val="ListBullet"/>
        <w:spacing w:after="40"/>
      </w:pPr>
      <w:r>
        <w:t>Partner revoke moves active activation to ENDING and triggers local stop + external cleanup.</w:t>
      </w:r>
    </w:p>
    <w:p>
      <w:pPr>
        <w:jc w:val="center"/>
      </w:pPr>
      <w:r>
        <w:drawing>
          <wp:inline xmlns:a="http://schemas.openxmlformats.org/drawingml/2006/main" xmlns:pic="http://schemas.openxmlformats.org/drawingml/2006/picture">
            <wp:extent cx="6126480" cy="5068493"/>
            <wp:docPr id="27" name="Picture 27"/>
            <wp:cNvGraphicFramePr>
              <a:graphicFrameLocks noChangeAspect="1"/>
            </wp:cNvGraphicFramePr>
            <a:graphic>
              <a:graphicData uri="http://schemas.openxmlformats.org/drawingml/2006/picture">
                <pic:pic>
                  <pic:nvPicPr>
                    <pic:cNvPr id="0" name="pacing_flow.png"/>
                    <pic:cNvPicPr/>
                  </pic:nvPicPr>
                  <pic:blipFill>
                    <a:blip r:embed="rId34"/>
                    <a:stretch>
                      <a:fillRect/>
                    </a:stretch>
                  </pic:blipFill>
                  <pic:spPr>
                    <a:xfrm>
                      <a:off x="0" y="0"/>
                      <a:ext cx="6126480" cy="5068493"/>
                    </a:xfrm>
                    <a:prstGeom prst="rect"/>
                  </pic:spPr>
                </pic:pic>
              </a:graphicData>
            </a:graphic>
          </wp:inline>
        </w:drawing>
      </w:r>
    </w:p>
    <w:p>
      <w:pPr>
        <w:jc w:val="center"/>
      </w:pPr>
      <w:r>
        <w:rPr>
          <w:i/>
          <w:color w:val="4B5563"/>
          <w:sz w:val="15"/>
        </w:rPr>
        <w:t>Figure 27. MVP deterministic selection and pacing flow.</w:t>
      </w:r>
    </w:p>
    <w:p>
      <w:pPr>
        <w:pStyle w:val="Heading2"/>
      </w:pPr>
      <w:r>
        <w:t>76.1 MVP pacing algorithm</w:t>
      </w:r>
    </w:p>
    <w:p>
      <w:pPr>
        <w:pStyle w:val="ListBullet"/>
        <w:spacing w:after="40"/>
      </w:pPr>
      <w:r>
        <w:t>Every activation has explicit budget allocation and pricing basis.</w:t>
      </w:r>
    </w:p>
    <w:p>
      <w:pPr>
        <w:pStyle w:val="ListBullet"/>
        <w:spacing w:after="40"/>
      </w:pPr>
      <w:r>
        <w:t>Daily planned spend = remaining budget / remaining campaign days. Intra-day target is time-proportional.</w:t>
      </w:r>
    </w:p>
    <w:p>
      <w:pPr>
        <w:pStyle w:val="ListBullet"/>
        <w:spacing w:after="40"/>
      </w:pPr>
      <w:r>
        <w:t>Local Agent maintains estimated spend/delivery. Central confirmed spend is reconciled periodically.</w:t>
      </w:r>
    </w:p>
    <w:p>
      <w:pPr>
        <w:pStyle w:val="ListBullet"/>
        <w:spacing w:after="40"/>
      </w:pPr>
      <w:r>
        <w:t>Hard local stop at 98% of the allocated budget unless the commercial model cannot produce monetary spend locally; this reserve absorbs reporting lag.</w:t>
      </w:r>
    </w:p>
    <w:p>
      <w:pPr>
        <w:pStyle w:val="ListBullet"/>
        <w:spacing w:after="40"/>
      </w:pPr>
      <w:r>
        <w:t>Candidate ranking: Partner priority DESC, then pacing deficit DESC, then stable activation_id tie-break. No auction in MVP.</w:t>
      </w:r>
    </w:p>
    <w:p>
      <w:pPr>
        <w:pStyle w:val="ListBullet"/>
        <w:spacing w:after="40"/>
      </w:pPr>
      <w:r>
        <w:t>If one Partner Agent has multiple replicas, frequency/pacing state MUST use shared Partner-local Redis or another shared state service. In-process memory is not acceptable for multi-replica production.</w:t>
      </w:r>
    </w:p>
    <w:p>
      <w:pPr>
        <w:pStyle w:val="Heading2"/>
      </w:pPr>
      <w:r>
        <w:t>76.2 Frequency and placement rules</w:t>
      </w:r>
    </w:p>
    <w:p>
      <w:pPr>
        <w:pStyle w:val="ListBullet"/>
        <w:spacing w:after="40"/>
      </w:pPr>
      <w:r>
        <w:t>A campaign may request multiple placements, but every placement must be Partner-published and explicitly approved.</w:t>
      </w:r>
    </w:p>
    <w:p>
      <w:pPr>
        <w:pStyle w:val="ListBullet"/>
        <w:spacing w:after="40"/>
      </w:pPr>
      <w:r>
        <w:t>Multiple campaigns may compete for the same placement.</w:t>
      </w:r>
    </w:p>
    <w:p>
      <w:pPr>
        <w:pStyle w:val="ListBullet"/>
        <w:spacing w:after="40"/>
      </w:pPr>
      <w:r>
        <w:t>Default frequency cap is per activation across all approved placements in that Partner/channel. A Partner may impose a stricter placement cap.</w:t>
      </w:r>
    </w:p>
    <w:p>
      <w:pPr>
        <w:pStyle w:val="ListBullet"/>
        <w:spacing w:after="40"/>
      </w:pPr>
      <w:r>
        <w:t>Different external channels are separate activations and therefore separate caps unless a future protected cross-channel frequency product is explicitly enabled.</w:t>
      </w:r>
    </w:p>
    <w:p>
      <w:pPr>
        <w:pStyle w:val="ListBullet"/>
        <w:spacing w:after="40"/>
      </w:pPr>
      <w:r>
        <w:t>Anonymous users: MVP segment-based targeting requires a Partner-authenticated or Partner-resolvable first-party identity. Anonymous inventory may serve contextual campaigns only, or use a Partner-controlled first-party session eligibility service; Oolix does not create a third-party identity.</w:t>
      </w:r>
    </w:p>
    <w:p>
      <w:pPr>
        <w:pStyle w:val="Heading1"/>
      </w:pPr>
      <w:r>
        <w:t>77. NO_AD Reasons, Error Codes and Reconciliation Tolerance</w:t>
      </w:r>
    </w:p>
    <w:p>
      <w:pPr>
        <w:pStyle w:val="Heading2"/>
      </w:pPr>
      <w:r>
        <w:t>77.1 NO_AD enum</w:t>
      </w:r>
    </w:p>
    <w:p>
      <w:pPr>
        <w:spacing w:before="40" w:after="80"/>
        <w:ind w:left="259" w:right="144"/>
        <w:shd w:fill="F3F4F6"/>
      </w:pPr>
      <w:r>
        <w:rPr>
          <w:rFonts w:ascii="Courier New" w:hAnsi="Courier New"/>
          <w:sz w:val="14"/>
        </w:rPr>
        <w:t>NO_ELIGIBLE_CAMPAIGN</w:t>
        <w:br/>
        <w:t>USER_NOT_IN_SEGMENT</w:t>
        <w:br/>
        <w:t>CONSENT_NOT_ELIGIBLE</w:t>
        <w:br/>
        <w:t>FREQUENCY_CAPPED</w:t>
        <w:br/>
        <w:t>BUDGET_EXHAUSTED</w:t>
        <w:br/>
        <w:t>CAMPAIGN_NOT_ACTIVE</w:t>
        <w:br/>
        <w:t>PLACEMENT_DISABLED</w:t>
        <w:br/>
        <w:t>CATEGORY_BLOCKED</w:t>
        <w:br/>
        <w:t>CREATIVE_UNAVAILABLE</w:t>
        <w:br/>
        <w:t>CONTROL_SYNC_STALE</w:t>
        <w:br/>
        <w:t>SEGMENT_SOURCE_ERROR</w:t>
        <w:br/>
        <w:t>KILL_SWITCH_ACTIVE</w:t>
      </w:r>
    </w:p>
    <w:p>
      <w:pPr>
        <w:pStyle w:val="Heading2"/>
      </w:pPr>
      <w:r>
        <w:t>77.2 API error registry</w:t>
      </w:r>
    </w:p>
    <w:tbl>
      <w:tblPr>
        <w:tblStyle w:val="TableGrid"/>
        <w:tblW w:type="auto" w:w="0"/>
        <w:jc w:val="center"/>
        <w:tblLook w:firstColumn="1" w:firstRow="1" w:lastColumn="0" w:lastRow="0" w:noHBand="0" w:noVBand="1" w:val="04A0"/>
      </w:tblPr>
      <w:tblGrid>
        <w:gridCol w:w="3485"/>
        <w:gridCol w:w="3485"/>
        <w:gridCol w:w="3485"/>
      </w:tblGrid>
      <w:tr>
        <w:tc>
          <w:tcPr>
            <w:tcW w:type="dxa" w:w="2160"/>
            <w:vAlign w:val="center"/>
            <w:shd w:fill="1B4363"/>
          </w:tcPr>
          <w:p>
            <w:pPr>
              <w:spacing w:after="0"/>
            </w:pPr>
            <w:r/>
            <w:r>
              <w:rPr>
                <w:rFonts w:ascii="Arial" w:hAnsi="Arial"/>
                <w:b/>
                <w:color w:val="FFFFFF"/>
                <w:sz w:val="16"/>
              </w:rPr>
              <w:t>Code</w:t>
            </w:r>
          </w:p>
        </w:tc>
        <w:tc>
          <w:tcPr>
            <w:tcW w:type="dxa" w:w="1440"/>
            <w:vAlign w:val="center"/>
            <w:shd w:fill="1B4363"/>
          </w:tcPr>
          <w:p>
            <w:pPr>
              <w:spacing w:after="0"/>
            </w:pPr>
            <w:r/>
            <w:r>
              <w:rPr>
                <w:rFonts w:ascii="Arial" w:hAnsi="Arial"/>
                <w:b/>
                <w:color w:val="FFFFFF"/>
                <w:sz w:val="16"/>
              </w:rPr>
              <w:t>HTTP</w:t>
            </w:r>
          </w:p>
        </w:tc>
        <w:tc>
          <w:tcPr>
            <w:tcW w:type="dxa" w:w="6192"/>
            <w:vAlign w:val="center"/>
            <w:shd w:fill="1B4363"/>
          </w:tcPr>
          <w:p>
            <w:pPr>
              <w:spacing w:after="0"/>
            </w:pPr>
            <w:r/>
            <w:r>
              <w:rPr>
                <w:rFonts w:ascii="Arial" w:hAnsi="Arial"/>
                <w:b/>
                <w:color w:val="FFFFFF"/>
                <w:sz w:val="16"/>
              </w:rPr>
              <w:t>Meaning</w:t>
            </w:r>
          </w:p>
        </w:tc>
      </w:tr>
      <w:tr>
        <w:tc>
          <w:tcPr>
            <w:tcW w:type="dxa" w:w="2160"/>
            <w:vAlign w:val="center"/>
          </w:tcPr>
          <w:p>
            <w:pPr>
              <w:spacing w:after="0"/>
            </w:pPr>
            <w:r/>
            <w:r>
              <w:rPr>
                <w:rFonts w:ascii="Arial" w:hAnsi="Arial"/>
                <w:b w:val="0"/>
                <w:sz w:val="15"/>
              </w:rPr>
              <w:t>AUTH_001</w:t>
            </w:r>
          </w:p>
        </w:tc>
        <w:tc>
          <w:tcPr>
            <w:tcW w:type="dxa" w:w="1440"/>
            <w:vAlign w:val="center"/>
          </w:tcPr>
          <w:p>
            <w:pPr>
              <w:spacing w:after="0"/>
            </w:pPr>
            <w:r/>
            <w:r>
              <w:rPr>
                <w:rFonts w:ascii="Arial" w:hAnsi="Arial"/>
                <w:b w:val="0"/>
                <w:sz w:val="15"/>
              </w:rPr>
              <w:t>401</w:t>
            </w:r>
          </w:p>
        </w:tc>
        <w:tc>
          <w:tcPr>
            <w:tcW w:type="dxa" w:w="6192"/>
            <w:vAlign w:val="center"/>
          </w:tcPr>
          <w:p>
            <w:pPr>
              <w:spacing w:after="0"/>
            </w:pPr>
            <w:r/>
            <w:r>
              <w:rPr>
                <w:rFonts w:ascii="Arial" w:hAnsi="Arial"/>
                <w:b w:val="0"/>
                <w:sz w:val="15"/>
              </w:rPr>
              <w:t>Invalid/expired user or workload token.</w:t>
            </w:r>
          </w:p>
        </w:tc>
      </w:tr>
      <w:tr>
        <w:tc>
          <w:tcPr>
            <w:tcW w:type="dxa" w:w="2160"/>
            <w:vAlign w:val="center"/>
          </w:tcPr>
          <w:p>
            <w:pPr>
              <w:spacing w:after="0"/>
            </w:pPr>
            <w:r/>
            <w:r>
              <w:rPr>
                <w:rFonts w:ascii="Arial" w:hAnsi="Arial"/>
                <w:b w:val="0"/>
                <w:sz w:val="15"/>
              </w:rPr>
              <w:t>PERM_001</w:t>
            </w:r>
          </w:p>
        </w:tc>
        <w:tc>
          <w:tcPr>
            <w:tcW w:type="dxa" w:w="1440"/>
            <w:vAlign w:val="center"/>
          </w:tcPr>
          <w:p>
            <w:pPr>
              <w:spacing w:after="0"/>
            </w:pPr>
            <w:r/>
            <w:r>
              <w:rPr>
                <w:rFonts w:ascii="Arial" w:hAnsi="Arial"/>
                <w:b w:val="0"/>
                <w:sz w:val="15"/>
              </w:rPr>
              <w:t>403</w:t>
            </w:r>
          </w:p>
        </w:tc>
        <w:tc>
          <w:tcPr>
            <w:tcW w:type="dxa" w:w="6192"/>
            <w:vAlign w:val="center"/>
          </w:tcPr>
          <w:p>
            <w:pPr>
              <w:spacing w:after="0"/>
            </w:pPr>
            <w:r/>
            <w:r>
              <w:rPr>
                <w:rFonts w:ascii="Arial" w:hAnsi="Arial"/>
                <w:b w:val="0"/>
                <w:sz w:val="15"/>
              </w:rPr>
              <w:t>Permission denied.</w:t>
            </w:r>
          </w:p>
        </w:tc>
      </w:tr>
      <w:tr>
        <w:tc>
          <w:tcPr>
            <w:tcW w:type="dxa" w:w="2160"/>
            <w:vAlign w:val="center"/>
          </w:tcPr>
          <w:p>
            <w:pPr>
              <w:spacing w:after="0"/>
            </w:pPr>
            <w:r/>
            <w:r>
              <w:rPr>
                <w:rFonts w:ascii="Arial" w:hAnsi="Arial"/>
                <w:b w:val="0"/>
                <w:sz w:val="15"/>
              </w:rPr>
              <w:t>PERM_002</w:t>
            </w:r>
          </w:p>
        </w:tc>
        <w:tc>
          <w:tcPr>
            <w:tcW w:type="dxa" w:w="1440"/>
            <w:vAlign w:val="center"/>
          </w:tcPr>
          <w:p>
            <w:pPr>
              <w:spacing w:after="0"/>
            </w:pPr>
            <w:r/>
            <w:r>
              <w:rPr>
                <w:rFonts w:ascii="Arial" w:hAnsi="Arial"/>
                <w:b w:val="0"/>
                <w:sz w:val="15"/>
              </w:rPr>
              <w:t>403</w:t>
            </w:r>
          </w:p>
        </w:tc>
        <w:tc>
          <w:tcPr>
            <w:tcW w:type="dxa" w:w="6192"/>
            <w:vAlign w:val="center"/>
          </w:tcPr>
          <w:p>
            <w:pPr>
              <w:spacing w:after="0"/>
            </w:pPr>
            <w:r/>
            <w:r>
              <w:rPr>
                <w:rFonts w:ascii="Arial" w:hAnsi="Arial"/>
                <w:b w:val="0"/>
                <w:sz w:val="15"/>
              </w:rPr>
              <w:t>Organization/network access denied.</w:t>
            </w:r>
          </w:p>
        </w:tc>
      </w:tr>
      <w:tr>
        <w:tc>
          <w:tcPr>
            <w:tcW w:type="dxa" w:w="2160"/>
            <w:vAlign w:val="center"/>
          </w:tcPr>
          <w:p>
            <w:pPr>
              <w:spacing w:after="0"/>
            </w:pPr>
            <w:r/>
            <w:r>
              <w:rPr>
                <w:rFonts w:ascii="Arial" w:hAnsi="Arial"/>
                <w:b w:val="0"/>
                <w:sz w:val="15"/>
              </w:rPr>
              <w:t>VAL_001</w:t>
            </w:r>
          </w:p>
        </w:tc>
        <w:tc>
          <w:tcPr>
            <w:tcW w:type="dxa" w:w="1440"/>
            <w:vAlign w:val="center"/>
          </w:tcPr>
          <w:p>
            <w:pPr>
              <w:spacing w:after="0"/>
            </w:pPr>
            <w:r/>
            <w:r>
              <w:rPr>
                <w:rFonts w:ascii="Arial" w:hAnsi="Arial"/>
                <w:b w:val="0"/>
                <w:sz w:val="15"/>
              </w:rPr>
              <w:t>400</w:t>
            </w:r>
          </w:p>
        </w:tc>
        <w:tc>
          <w:tcPr>
            <w:tcW w:type="dxa" w:w="6192"/>
            <w:vAlign w:val="center"/>
          </w:tcPr>
          <w:p>
            <w:pPr>
              <w:spacing w:after="0"/>
            </w:pPr>
            <w:r/>
            <w:r>
              <w:rPr>
                <w:rFonts w:ascii="Arial" w:hAnsi="Arial"/>
                <w:b w:val="0"/>
                <w:sz w:val="15"/>
              </w:rPr>
              <w:t>Validation error.</w:t>
            </w:r>
          </w:p>
        </w:tc>
      </w:tr>
      <w:tr>
        <w:tc>
          <w:tcPr>
            <w:tcW w:type="dxa" w:w="2160"/>
            <w:vAlign w:val="center"/>
          </w:tcPr>
          <w:p>
            <w:pPr>
              <w:spacing w:after="0"/>
            </w:pPr>
            <w:r/>
            <w:r>
              <w:rPr>
                <w:rFonts w:ascii="Arial" w:hAnsi="Arial"/>
                <w:b w:val="0"/>
                <w:sz w:val="15"/>
              </w:rPr>
              <w:t>CAMP_001</w:t>
            </w:r>
          </w:p>
        </w:tc>
        <w:tc>
          <w:tcPr>
            <w:tcW w:type="dxa" w:w="1440"/>
            <w:vAlign w:val="center"/>
          </w:tcPr>
          <w:p>
            <w:pPr>
              <w:spacing w:after="0"/>
            </w:pPr>
            <w:r/>
            <w:r>
              <w:rPr>
                <w:rFonts w:ascii="Arial" w:hAnsi="Arial"/>
                <w:b w:val="0"/>
                <w:sz w:val="15"/>
              </w:rPr>
              <w:t>404</w:t>
            </w:r>
          </w:p>
        </w:tc>
        <w:tc>
          <w:tcPr>
            <w:tcW w:type="dxa" w:w="6192"/>
            <w:vAlign w:val="center"/>
          </w:tcPr>
          <w:p>
            <w:pPr>
              <w:spacing w:after="0"/>
            </w:pPr>
            <w:r/>
            <w:r>
              <w:rPr>
                <w:rFonts w:ascii="Arial" w:hAnsi="Arial"/>
                <w:b w:val="0"/>
                <w:sz w:val="15"/>
              </w:rPr>
              <w:t>Campaign not found.</w:t>
            </w:r>
          </w:p>
        </w:tc>
      </w:tr>
      <w:tr>
        <w:tc>
          <w:tcPr>
            <w:tcW w:type="dxa" w:w="2160"/>
            <w:vAlign w:val="center"/>
          </w:tcPr>
          <w:p>
            <w:pPr>
              <w:spacing w:after="0"/>
            </w:pPr>
            <w:r/>
            <w:r>
              <w:rPr>
                <w:rFonts w:ascii="Arial" w:hAnsi="Arial"/>
                <w:b w:val="0"/>
                <w:sz w:val="15"/>
              </w:rPr>
              <w:t>CAMP_002</w:t>
            </w:r>
          </w:p>
        </w:tc>
        <w:tc>
          <w:tcPr>
            <w:tcW w:type="dxa" w:w="1440"/>
            <w:vAlign w:val="center"/>
          </w:tcPr>
          <w:p>
            <w:pPr>
              <w:spacing w:after="0"/>
            </w:pPr>
            <w:r/>
            <w:r>
              <w:rPr>
                <w:rFonts w:ascii="Arial" w:hAnsi="Arial"/>
                <w:b w:val="0"/>
                <w:sz w:val="15"/>
              </w:rPr>
              <w:t>409</w:t>
            </w:r>
          </w:p>
        </w:tc>
        <w:tc>
          <w:tcPr>
            <w:tcW w:type="dxa" w:w="6192"/>
            <w:vAlign w:val="center"/>
          </w:tcPr>
          <w:p>
            <w:pPr>
              <w:spacing w:after="0"/>
            </w:pPr>
            <w:r/>
            <w:r>
              <w:rPr>
                <w:rFonts w:ascii="Arial" w:hAnsi="Arial"/>
                <w:b w:val="0"/>
                <w:sz w:val="15"/>
              </w:rPr>
              <w:t>Invalid campaign/request/activation state transition.</w:t>
            </w:r>
          </w:p>
        </w:tc>
      </w:tr>
      <w:tr>
        <w:tc>
          <w:tcPr>
            <w:tcW w:type="dxa" w:w="2160"/>
            <w:vAlign w:val="center"/>
          </w:tcPr>
          <w:p>
            <w:pPr>
              <w:spacing w:after="0"/>
            </w:pPr>
            <w:r/>
            <w:r>
              <w:rPr>
                <w:rFonts w:ascii="Arial" w:hAnsi="Arial"/>
                <w:b w:val="0"/>
                <w:sz w:val="15"/>
              </w:rPr>
              <w:t>CAMP_003</w:t>
            </w:r>
          </w:p>
        </w:tc>
        <w:tc>
          <w:tcPr>
            <w:tcW w:type="dxa" w:w="1440"/>
            <w:vAlign w:val="center"/>
          </w:tcPr>
          <w:p>
            <w:pPr>
              <w:spacing w:after="0"/>
            </w:pPr>
            <w:r/>
            <w:r>
              <w:rPr>
                <w:rFonts w:ascii="Arial" w:hAnsi="Arial"/>
                <w:b w:val="0"/>
                <w:sz w:val="15"/>
              </w:rPr>
              <w:t>409</w:t>
            </w:r>
          </w:p>
        </w:tc>
        <w:tc>
          <w:tcPr>
            <w:tcW w:type="dxa" w:w="6192"/>
            <w:vAlign w:val="center"/>
          </w:tcPr>
          <w:p>
            <w:pPr>
              <w:spacing w:after="0"/>
            </w:pPr>
            <w:r/>
            <w:r>
              <w:rPr>
                <w:rFonts w:ascii="Arial" w:hAnsi="Arial"/>
                <w:b w:val="0"/>
                <w:sz w:val="15"/>
              </w:rPr>
              <w:t>Budget allocation exceeded.</w:t>
            </w:r>
          </w:p>
        </w:tc>
      </w:tr>
      <w:tr>
        <w:tc>
          <w:tcPr>
            <w:tcW w:type="dxa" w:w="2160"/>
            <w:vAlign w:val="center"/>
          </w:tcPr>
          <w:p>
            <w:pPr>
              <w:spacing w:after="0"/>
            </w:pPr>
            <w:r/>
            <w:r>
              <w:rPr>
                <w:rFonts w:ascii="Arial" w:hAnsi="Arial"/>
                <w:b w:val="0"/>
                <w:sz w:val="15"/>
              </w:rPr>
              <w:t>PART_001</w:t>
            </w:r>
          </w:p>
        </w:tc>
        <w:tc>
          <w:tcPr>
            <w:tcW w:type="dxa" w:w="1440"/>
            <w:vAlign w:val="center"/>
          </w:tcPr>
          <w:p>
            <w:pPr>
              <w:spacing w:after="0"/>
            </w:pPr>
            <w:r/>
            <w:r>
              <w:rPr>
                <w:rFonts w:ascii="Arial" w:hAnsi="Arial"/>
                <w:b w:val="0"/>
                <w:sz w:val="15"/>
              </w:rPr>
              <w:t>404</w:t>
            </w:r>
          </w:p>
        </w:tc>
        <w:tc>
          <w:tcPr>
            <w:tcW w:type="dxa" w:w="6192"/>
            <w:vAlign w:val="center"/>
          </w:tcPr>
          <w:p>
            <w:pPr>
              <w:spacing w:after="0"/>
            </w:pPr>
            <w:r/>
            <w:r>
              <w:rPr>
                <w:rFonts w:ascii="Arial" w:hAnsi="Arial"/>
                <w:b w:val="0"/>
                <w:sz w:val="15"/>
              </w:rPr>
              <w:t>Partner/segment/placement not found.</w:t>
            </w:r>
          </w:p>
        </w:tc>
      </w:tr>
      <w:tr>
        <w:tc>
          <w:tcPr>
            <w:tcW w:type="dxa" w:w="2160"/>
            <w:vAlign w:val="center"/>
          </w:tcPr>
          <w:p>
            <w:pPr>
              <w:spacing w:after="0"/>
            </w:pPr>
            <w:r/>
            <w:r>
              <w:rPr>
                <w:rFonts w:ascii="Arial" w:hAnsi="Arial"/>
                <w:b w:val="0"/>
                <w:sz w:val="15"/>
              </w:rPr>
              <w:t>PART_002</w:t>
            </w:r>
          </w:p>
        </w:tc>
        <w:tc>
          <w:tcPr>
            <w:tcW w:type="dxa" w:w="1440"/>
            <w:vAlign w:val="center"/>
          </w:tcPr>
          <w:p>
            <w:pPr>
              <w:spacing w:after="0"/>
            </w:pPr>
            <w:r/>
            <w:r>
              <w:rPr>
                <w:rFonts w:ascii="Arial" w:hAnsi="Arial"/>
                <w:b w:val="0"/>
                <w:sz w:val="15"/>
              </w:rPr>
              <w:t>409</w:t>
            </w:r>
          </w:p>
        </w:tc>
        <w:tc>
          <w:tcPr>
            <w:tcW w:type="dxa" w:w="6192"/>
            <w:vAlign w:val="center"/>
          </w:tcPr>
          <w:p>
            <w:pPr>
              <w:spacing w:after="0"/>
            </w:pPr>
            <w:r/>
            <w:r>
              <w:rPr>
                <w:rFonts w:ascii="Arial" w:hAnsi="Arial"/>
                <w:b w:val="0"/>
                <w:sz w:val="15"/>
              </w:rPr>
              <w:t>Segment unavailable/stale/not publishable.</w:t>
            </w:r>
          </w:p>
        </w:tc>
      </w:tr>
      <w:tr>
        <w:tc>
          <w:tcPr>
            <w:tcW w:type="dxa" w:w="2160"/>
            <w:vAlign w:val="center"/>
          </w:tcPr>
          <w:p>
            <w:pPr>
              <w:spacing w:after="0"/>
            </w:pPr>
            <w:r/>
            <w:r>
              <w:rPr>
                <w:rFonts w:ascii="Arial" w:hAnsi="Arial"/>
                <w:b w:val="0"/>
                <w:sz w:val="15"/>
              </w:rPr>
              <w:t>CHAN_001</w:t>
            </w:r>
          </w:p>
        </w:tc>
        <w:tc>
          <w:tcPr>
            <w:tcW w:type="dxa" w:w="1440"/>
            <w:vAlign w:val="center"/>
          </w:tcPr>
          <w:p>
            <w:pPr>
              <w:spacing w:after="0"/>
            </w:pPr>
            <w:r/>
            <w:r>
              <w:rPr>
                <w:rFonts w:ascii="Arial" w:hAnsi="Arial"/>
                <w:b w:val="0"/>
                <w:sz w:val="15"/>
              </w:rPr>
              <w:t>409</w:t>
            </w:r>
          </w:p>
        </w:tc>
        <w:tc>
          <w:tcPr>
            <w:tcW w:type="dxa" w:w="6192"/>
            <w:vAlign w:val="center"/>
          </w:tcPr>
          <w:p>
            <w:pPr>
              <w:spacing w:after="0"/>
            </w:pPr>
            <w:r/>
            <w:r>
              <w:rPr>
                <w:rFonts w:ascii="Arial" w:hAnsi="Arial"/>
                <w:b w:val="0"/>
                <w:sz w:val="15"/>
              </w:rPr>
              <w:t>External channel not eligible.</w:t>
            </w:r>
          </w:p>
        </w:tc>
      </w:tr>
      <w:tr>
        <w:tc>
          <w:tcPr>
            <w:tcW w:type="dxa" w:w="2160"/>
            <w:vAlign w:val="center"/>
          </w:tcPr>
          <w:p>
            <w:pPr>
              <w:spacing w:after="0"/>
            </w:pPr>
            <w:r/>
            <w:r>
              <w:rPr>
                <w:rFonts w:ascii="Arial" w:hAnsi="Arial"/>
                <w:b w:val="0"/>
                <w:sz w:val="15"/>
              </w:rPr>
              <w:t>CHAN_002</w:t>
            </w:r>
          </w:p>
        </w:tc>
        <w:tc>
          <w:tcPr>
            <w:tcW w:type="dxa" w:w="1440"/>
            <w:vAlign w:val="center"/>
          </w:tcPr>
          <w:p>
            <w:pPr>
              <w:spacing w:after="0"/>
            </w:pPr>
            <w:r/>
            <w:r>
              <w:rPr>
                <w:rFonts w:ascii="Arial" w:hAnsi="Arial"/>
                <w:b w:val="0"/>
                <w:sz w:val="15"/>
              </w:rPr>
              <w:t>502</w:t>
            </w:r>
          </w:p>
        </w:tc>
        <w:tc>
          <w:tcPr>
            <w:tcW w:type="dxa" w:w="6192"/>
            <w:vAlign w:val="center"/>
          </w:tcPr>
          <w:p>
            <w:pPr>
              <w:spacing w:after="0"/>
            </w:pPr>
            <w:r/>
            <w:r>
              <w:rPr>
                <w:rFonts w:ascii="Arial" w:hAnsi="Arial"/>
                <w:b w:val="0"/>
                <w:sz w:val="15"/>
              </w:rPr>
              <w:t>External channel configuration/provider error.</w:t>
            </w:r>
          </w:p>
        </w:tc>
      </w:tr>
      <w:tr>
        <w:tc>
          <w:tcPr>
            <w:tcW w:type="dxa" w:w="2160"/>
            <w:vAlign w:val="center"/>
          </w:tcPr>
          <w:p>
            <w:pPr>
              <w:spacing w:after="0"/>
            </w:pPr>
            <w:r/>
            <w:r>
              <w:rPr>
                <w:rFonts w:ascii="Arial" w:hAnsi="Arial"/>
                <w:b w:val="0"/>
                <w:sz w:val="15"/>
              </w:rPr>
              <w:t>AGENT_001</w:t>
            </w:r>
          </w:p>
        </w:tc>
        <w:tc>
          <w:tcPr>
            <w:tcW w:type="dxa" w:w="1440"/>
            <w:vAlign w:val="center"/>
          </w:tcPr>
          <w:p>
            <w:pPr>
              <w:spacing w:after="0"/>
            </w:pPr>
            <w:r/>
            <w:r>
              <w:rPr>
                <w:rFonts w:ascii="Arial" w:hAnsi="Arial"/>
                <w:b w:val="0"/>
                <w:sz w:val="15"/>
              </w:rPr>
              <w:t>503</w:t>
            </w:r>
          </w:p>
        </w:tc>
        <w:tc>
          <w:tcPr>
            <w:tcW w:type="dxa" w:w="6192"/>
            <w:vAlign w:val="center"/>
          </w:tcPr>
          <w:p>
            <w:pPr>
              <w:spacing w:after="0"/>
            </w:pPr>
            <w:r/>
            <w:r>
              <w:rPr>
                <w:rFonts w:ascii="Arial" w:hAnsi="Arial"/>
                <w:b w:val="0"/>
                <w:sz w:val="15"/>
              </w:rPr>
              <w:t>Partner Agent offline/stale.</w:t>
            </w:r>
          </w:p>
        </w:tc>
      </w:tr>
      <w:tr>
        <w:tc>
          <w:tcPr>
            <w:tcW w:type="dxa" w:w="2160"/>
            <w:vAlign w:val="center"/>
          </w:tcPr>
          <w:p>
            <w:pPr>
              <w:spacing w:after="0"/>
            </w:pPr>
            <w:r/>
            <w:r>
              <w:rPr>
                <w:rFonts w:ascii="Arial" w:hAnsi="Arial"/>
                <w:b w:val="0"/>
                <w:sz w:val="15"/>
              </w:rPr>
              <w:t>SYS_001</w:t>
            </w:r>
          </w:p>
        </w:tc>
        <w:tc>
          <w:tcPr>
            <w:tcW w:type="dxa" w:w="1440"/>
            <w:vAlign w:val="center"/>
          </w:tcPr>
          <w:p>
            <w:pPr>
              <w:spacing w:after="0"/>
            </w:pPr>
            <w:r/>
            <w:r>
              <w:rPr>
                <w:rFonts w:ascii="Arial" w:hAnsi="Arial"/>
                <w:b w:val="0"/>
                <w:sz w:val="15"/>
              </w:rPr>
              <w:t>429</w:t>
            </w:r>
          </w:p>
        </w:tc>
        <w:tc>
          <w:tcPr>
            <w:tcW w:type="dxa" w:w="6192"/>
            <w:vAlign w:val="center"/>
          </w:tcPr>
          <w:p>
            <w:pPr>
              <w:spacing w:after="0"/>
            </w:pPr>
            <w:r/>
            <w:r>
              <w:rPr>
                <w:rFonts w:ascii="Arial" w:hAnsi="Arial"/>
                <w:b w:val="0"/>
                <w:sz w:val="15"/>
              </w:rPr>
              <w:t>Rate limit exceeded.</w:t>
            </w:r>
          </w:p>
        </w:tc>
      </w:tr>
      <w:tr>
        <w:tc>
          <w:tcPr>
            <w:tcW w:type="dxa" w:w="2160"/>
            <w:vAlign w:val="center"/>
          </w:tcPr>
          <w:p>
            <w:pPr>
              <w:spacing w:after="0"/>
            </w:pPr>
            <w:r/>
            <w:r>
              <w:rPr>
                <w:rFonts w:ascii="Arial" w:hAnsi="Arial"/>
                <w:b w:val="0"/>
                <w:sz w:val="15"/>
              </w:rPr>
              <w:t>SYS_002</w:t>
            </w:r>
          </w:p>
        </w:tc>
        <w:tc>
          <w:tcPr>
            <w:tcW w:type="dxa" w:w="1440"/>
            <w:vAlign w:val="center"/>
          </w:tcPr>
          <w:p>
            <w:pPr>
              <w:spacing w:after="0"/>
            </w:pPr>
            <w:r/>
            <w:r>
              <w:rPr>
                <w:rFonts w:ascii="Arial" w:hAnsi="Arial"/>
                <w:b w:val="0"/>
                <w:sz w:val="15"/>
              </w:rPr>
              <w:t>503</w:t>
            </w:r>
          </w:p>
        </w:tc>
        <w:tc>
          <w:tcPr>
            <w:tcW w:type="dxa" w:w="6192"/>
            <w:vAlign w:val="center"/>
          </w:tcPr>
          <w:p>
            <w:pPr>
              <w:spacing w:after="0"/>
            </w:pPr>
            <w:r/>
            <w:r>
              <w:rPr>
                <w:rFonts w:ascii="Arial" w:hAnsi="Arial"/>
                <w:b w:val="0"/>
                <w:sz w:val="15"/>
              </w:rPr>
              <w:t>Service unavailable.</w:t>
            </w:r>
          </w:p>
        </w:tc>
      </w:tr>
    </w:tbl>
    <w:p/>
    <w:p>
      <w:pPr>
        <w:pStyle w:val="Heading2"/>
      </w:pPr>
      <w:r>
        <w:t>77.3 Reconciliation tolerance</w:t>
      </w:r>
    </w:p>
    <w:p>
      <w:pPr>
        <w:pStyle w:val="ListBullet"/>
        <w:spacing w:after="40"/>
      </w:pPr>
      <w:r>
        <w:t>Pilot acceptance threshold for Partner-owned counters: absolute difference &lt;= max(10 events, 0.5% of Partner Agent accepted count) per activation/day.</w:t>
      </w:r>
    </w:p>
    <w:p>
      <w:pPr>
        <w:pStyle w:val="ListBullet"/>
        <w:spacing w:after="40"/>
      </w:pPr>
      <w:r>
        <w:t>Differences above threshold create RECONCILIATION_REVIEW; they do not automatically alter Partner payout.</w:t>
      </w:r>
    </w:p>
    <w:p>
      <w:pPr>
        <w:pStyle w:val="ListBullet"/>
        <w:spacing w:after="40"/>
      </w:pPr>
      <w:r>
        <w:t>Financial payout uses verified settlement inputs, not unverified browser-side counters.</w:t>
      </w:r>
    </w:p>
    <w:p>
      <w:pPr>
        <w:pStyle w:val="Heading1"/>
      </w:pPr>
      <w:r>
        <w:t>78. Logging, Metrics, Alert Thresholds and Performance Budgets</w:t>
      </w:r>
    </w:p>
    <w:p>
      <w:pPr>
        <w:pStyle w:val="Heading2"/>
      </w:pPr>
      <w:r>
        <w:t>78.1 Structured logging</w:t>
      </w:r>
    </w:p>
    <w:p>
      <w:pPr>
        <w:spacing w:before="40" w:after="80"/>
        <w:ind w:left="259" w:right="144"/>
        <w:shd w:fill="F3F4F6"/>
      </w:pPr>
      <w:r>
        <w:rPr>
          <w:rFonts w:ascii="Courier New" w:hAnsi="Courier New"/>
          <w:sz w:val="14"/>
        </w:rPr>
        <w:t>{</w:t>
        <w:br/>
        <w:t xml:space="preserve">  "timestamp":"...",</w:t>
        <w:br/>
        <w:t xml:space="preserve">  "level":"INFO",</w:t>
        <w:br/>
        <w:t xml:space="preserve">  "service":"campaign-api",</w:t>
        <w:br/>
        <w:t xml:space="preserve">  "environment":"prod",</w:t>
        <w:br/>
        <w:t xml:space="preserve">  "correlation_id":"corr_...",</w:t>
        <w:br/>
        <w:t xml:space="preserve">  "org_id":"org_...",</w:t>
        <w:br/>
        <w:t xml:space="preserve">  "entity_type":"activation",</w:t>
        <w:br/>
        <w:t xml:space="preserve">  "entity_id":"act_...",</w:t>
        <w:br/>
        <w:t xml:space="preserve">  "event":"ACTIVATION_LIVE",</w:t>
        <w:br/>
        <w:t xml:space="preserve">  "message":"activation transitioned to LIVE"</w:t>
        <w:br/>
        <w:t>}</w:t>
      </w:r>
    </w:p>
    <w:p>
      <w:pPr>
        <w:pStyle w:val="ListBullet"/>
        <w:spacing w:after="40"/>
      </w:pPr>
      <w:r>
        <w:t>Levels: DEBUG (non-production by default), INFO (state/normal ops), WARN (degraded/retryable), ERROR (failed business/system action), FATAL (process cannot continue).</w:t>
      </w:r>
    </w:p>
    <w:p>
      <w:pPr>
        <w:pStyle w:val="ListBullet"/>
        <w:spacing w:after="40"/>
      </w:pPr>
      <w:r>
        <w:t>Never log customer email/phone/mobile ID, Partner raw user ID, raw click token, OAuth secrets, DB passwords or external matching payloads.</w:t>
      </w:r>
    </w:p>
    <w:p>
      <w:pPr>
        <w:pStyle w:val="ListBullet"/>
        <w:spacing w:after="40"/>
      </w:pPr>
      <w:r>
        <w:t>Use explicit redaction middleware and field allow-lists rather than relying only on developer discipline.</w:t>
      </w:r>
    </w:p>
    <w:p>
      <w:pPr>
        <w:pStyle w:val="Heading2"/>
      </w:pPr>
      <w:r>
        <w:t>78.2 Canonical alerts</w:t>
      </w:r>
    </w:p>
    <w:tbl>
      <w:tblPr>
        <w:tblStyle w:val="TableGrid"/>
        <w:tblW w:type="auto" w:w="0"/>
        <w:jc w:val="center"/>
        <w:tblLook w:firstColumn="1" w:firstRow="1" w:lastColumn="0" w:lastRow="0" w:noHBand="0" w:noVBand="1" w:val="04A0"/>
      </w:tblPr>
      <w:tblGrid>
        <w:gridCol w:w="5227"/>
        <w:gridCol w:w="5227"/>
      </w:tblGrid>
      <w:tr>
        <w:tc>
          <w:tcPr>
            <w:tcW w:type="dxa" w:w="3312"/>
            <w:vAlign w:val="center"/>
            <w:shd w:fill="1B4363"/>
          </w:tcPr>
          <w:p>
            <w:pPr>
              <w:spacing w:after="0"/>
            </w:pPr>
            <w:r/>
            <w:r>
              <w:rPr>
                <w:rFonts w:ascii="Arial" w:hAnsi="Arial"/>
                <w:b/>
                <w:color w:val="FFFFFF"/>
                <w:sz w:val="16"/>
              </w:rPr>
              <w:t>Signal</w:t>
            </w:r>
          </w:p>
        </w:tc>
        <w:tc>
          <w:tcPr>
            <w:tcW w:type="dxa" w:w="6480"/>
            <w:vAlign w:val="center"/>
            <w:shd w:fill="1B4363"/>
          </w:tcPr>
          <w:p>
            <w:pPr>
              <w:spacing w:after="0"/>
            </w:pPr>
            <w:r/>
            <w:r>
              <w:rPr>
                <w:rFonts w:ascii="Arial" w:hAnsi="Arial"/>
                <w:b/>
                <w:color w:val="FFFFFF"/>
                <w:sz w:val="16"/>
              </w:rPr>
              <w:t>Alert threshold</w:t>
            </w:r>
          </w:p>
        </w:tc>
      </w:tr>
      <w:tr>
        <w:tc>
          <w:tcPr>
            <w:tcW w:type="dxa" w:w="3312"/>
            <w:vAlign w:val="center"/>
          </w:tcPr>
          <w:p>
            <w:pPr>
              <w:spacing w:after="0"/>
            </w:pPr>
            <w:r/>
            <w:r>
              <w:rPr>
                <w:rFonts w:ascii="Arial" w:hAnsi="Arial"/>
                <w:b w:val="0"/>
                <w:sz w:val="15"/>
              </w:rPr>
              <w:t>Partner Agent heartbeat</w:t>
            </w:r>
          </w:p>
        </w:tc>
        <w:tc>
          <w:tcPr>
            <w:tcW w:type="dxa" w:w="6480"/>
            <w:vAlign w:val="center"/>
          </w:tcPr>
          <w:p>
            <w:pPr>
              <w:spacing w:after="0"/>
            </w:pPr>
            <w:r/>
            <w:r>
              <w:rPr>
                <w:rFonts w:ascii="Arial" w:hAnsi="Arial"/>
                <w:b w:val="0"/>
                <w:sz w:val="15"/>
              </w:rPr>
              <w:t>age &gt; 5 min</w:t>
            </w:r>
          </w:p>
        </w:tc>
      </w:tr>
      <w:tr>
        <w:tc>
          <w:tcPr>
            <w:tcW w:type="dxa" w:w="3312"/>
            <w:vAlign w:val="center"/>
          </w:tcPr>
          <w:p>
            <w:pPr>
              <w:spacing w:after="0"/>
            </w:pPr>
            <w:r/>
            <w:r>
              <w:rPr>
                <w:rFonts w:ascii="Arial" w:hAnsi="Arial"/>
                <w:b w:val="0"/>
                <w:sz w:val="15"/>
              </w:rPr>
              <w:t>Control sync lag</w:t>
            </w:r>
          </w:p>
        </w:tc>
        <w:tc>
          <w:tcPr>
            <w:tcW w:type="dxa" w:w="6480"/>
            <w:vAlign w:val="center"/>
          </w:tcPr>
          <w:p>
            <w:pPr>
              <w:spacing w:after="0"/>
            </w:pPr>
            <w:r/>
            <w:r>
              <w:rPr>
                <w:rFonts w:ascii="Arial" w:hAnsi="Arial"/>
                <w:b w:val="0"/>
                <w:sz w:val="15"/>
              </w:rPr>
              <w:t>config age &gt; 5 min; critical &gt; 15 min</w:t>
            </w:r>
          </w:p>
        </w:tc>
      </w:tr>
      <w:tr>
        <w:tc>
          <w:tcPr>
            <w:tcW w:type="dxa" w:w="3312"/>
            <w:vAlign w:val="center"/>
          </w:tcPr>
          <w:p>
            <w:pPr>
              <w:spacing w:after="0"/>
            </w:pPr>
            <w:r/>
            <w:r>
              <w:rPr>
                <w:rFonts w:ascii="Arial" w:hAnsi="Arial"/>
                <w:b w:val="0"/>
                <w:sz w:val="15"/>
              </w:rPr>
              <w:t>Ad decision latency</w:t>
            </w:r>
          </w:p>
        </w:tc>
        <w:tc>
          <w:tcPr>
            <w:tcW w:type="dxa" w:w="6480"/>
            <w:vAlign w:val="center"/>
          </w:tcPr>
          <w:p>
            <w:pPr>
              <w:spacing w:after="0"/>
            </w:pPr>
            <w:r/>
            <w:r>
              <w:rPr>
                <w:rFonts w:ascii="Arial" w:hAnsi="Arial"/>
                <w:b w:val="0"/>
                <w:sz w:val="15"/>
              </w:rPr>
              <w:t>p95 &gt; 100 ms for 10 min; hard timeout 150 ms</w:t>
            </w:r>
          </w:p>
        </w:tc>
      </w:tr>
      <w:tr>
        <w:tc>
          <w:tcPr>
            <w:tcW w:type="dxa" w:w="3312"/>
            <w:vAlign w:val="center"/>
          </w:tcPr>
          <w:p>
            <w:pPr>
              <w:spacing w:after="0"/>
            </w:pPr>
            <w:r/>
            <w:r>
              <w:rPr>
                <w:rFonts w:ascii="Arial" w:hAnsi="Arial"/>
                <w:b w:val="0"/>
                <w:sz w:val="15"/>
              </w:rPr>
              <w:t>Segment lookup</w:t>
            </w:r>
          </w:p>
        </w:tc>
        <w:tc>
          <w:tcPr>
            <w:tcW w:type="dxa" w:w="6480"/>
            <w:vAlign w:val="center"/>
          </w:tcPr>
          <w:p>
            <w:pPr>
              <w:spacing w:after="0"/>
            </w:pPr>
            <w:r/>
            <w:r>
              <w:rPr>
                <w:rFonts w:ascii="Arial" w:hAnsi="Arial"/>
                <w:b w:val="0"/>
                <w:sz w:val="15"/>
              </w:rPr>
              <w:t>p95 &gt; 30 ms for 10 min</w:t>
            </w:r>
          </w:p>
        </w:tc>
      </w:tr>
      <w:tr>
        <w:tc>
          <w:tcPr>
            <w:tcW w:type="dxa" w:w="3312"/>
            <w:vAlign w:val="center"/>
          </w:tcPr>
          <w:p>
            <w:pPr>
              <w:spacing w:after="0"/>
            </w:pPr>
            <w:r/>
            <w:r>
              <w:rPr>
                <w:rFonts w:ascii="Arial" w:hAnsi="Arial"/>
                <w:b w:val="0"/>
                <w:sz w:val="15"/>
              </w:rPr>
              <w:t>Oolix API 5xx</w:t>
            </w:r>
          </w:p>
        </w:tc>
        <w:tc>
          <w:tcPr>
            <w:tcW w:type="dxa" w:w="6480"/>
            <w:vAlign w:val="center"/>
          </w:tcPr>
          <w:p>
            <w:pPr>
              <w:spacing w:after="0"/>
            </w:pPr>
            <w:r/>
            <w:r>
              <w:rPr>
                <w:rFonts w:ascii="Arial" w:hAnsi="Arial"/>
                <w:b w:val="0"/>
                <w:sz w:val="15"/>
              </w:rPr>
              <w:t>error rate &gt; 2% for 5 min</w:t>
            </w:r>
          </w:p>
        </w:tc>
      </w:tr>
      <w:tr>
        <w:tc>
          <w:tcPr>
            <w:tcW w:type="dxa" w:w="3312"/>
            <w:vAlign w:val="center"/>
          </w:tcPr>
          <w:p>
            <w:pPr>
              <w:spacing w:after="0"/>
            </w:pPr>
            <w:r/>
            <w:r>
              <w:rPr>
                <w:rFonts w:ascii="Arial" w:hAnsi="Arial"/>
                <w:b w:val="0"/>
                <w:sz w:val="15"/>
              </w:rPr>
              <w:t>Queue lag</w:t>
            </w:r>
          </w:p>
        </w:tc>
        <w:tc>
          <w:tcPr>
            <w:tcW w:type="dxa" w:w="6480"/>
            <w:vAlign w:val="center"/>
          </w:tcPr>
          <w:p>
            <w:pPr>
              <w:spacing w:after="0"/>
            </w:pPr>
            <w:r/>
            <w:r>
              <w:rPr>
                <w:rFonts w:ascii="Arial" w:hAnsi="Arial"/>
                <w:b w:val="0"/>
                <w:sz w:val="15"/>
              </w:rPr>
              <w:t>oldest message &gt; 2 min for 10 min</w:t>
            </w:r>
          </w:p>
        </w:tc>
      </w:tr>
      <w:tr>
        <w:tc>
          <w:tcPr>
            <w:tcW w:type="dxa" w:w="3312"/>
            <w:vAlign w:val="center"/>
          </w:tcPr>
          <w:p>
            <w:pPr>
              <w:spacing w:after="0"/>
            </w:pPr>
            <w:r/>
            <w:r>
              <w:rPr>
                <w:rFonts w:ascii="Arial" w:hAnsi="Arial"/>
                <w:b w:val="0"/>
                <w:sz w:val="15"/>
              </w:rPr>
              <w:t>DLQ</w:t>
            </w:r>
          </w:p>
        </w:tc>
        <w:tc>
          <w:tcPr>
            <w:tcW w:type="dxa" w:w="6480"/>
            <w:vAlign w:val="center"/>
          </w:tcPr>
          <w:p>
            <w:pPr>
              <w:spacing w:after="0"/>
            </w:pPr>
            <w:r/>
            <w:r>
              <w:rPr>
                <w:rFonts w:ascii="Arial" w:hAnsi="Arial"/>
                <w:b w:val="0"/>
                <w:sz w:val="15"/>
              </w:rPr>
              <w:t>any production message</w:t>
            </w:r>
          </w:p>
        </w:tc>
      </w:tr>
      <w:tr>
        <w:tc>
          <w:tcPr>
            <w:tcW w:type="dxa" w:w="3312"/>
            <w:vAlign w:val="center"/>
          </w:tcPr>
          <w:p>
            <w:pPr>
              <w:spacing w:after="0"/>
            </w:pPr>
            <w:r/>
            <w:r>
              <w:rPr>
                <w:rFonts w:ascii="Arial" w:hAnsi="Arial"/>
                <w:b w:val="0"/>
                <w:sz w:val="15"/>
              </w:rPr>
              <w:t>Report batch lag</w:t>
            </w:r>
          </w:p>
        </w:tc>
        <w:tc>
          <w:tcPr>
            <w:tcW w:type="dxa" w:w="6480"/>
            <w:vAlign w:val="center"/>
          </w:tcPr>
          <w:p>
            <w:pPr>
              <w:spacing w:after="0"/>
            </w:pPr>
            <w:r/>
            <w:r>
              <w:rPr>
                <w:rFonts w:ascii="Arial" w:hAnsi="Arial"/>
                <w:b w:val="0"/>
                <w:sz w:val="15"/>
              </w:rPr>
              <w:t>&gt; 5 min</w:t>
            </w:r>
          </w:p>
        </w:tc>
      </w:tr>
      <w:tr>
        <w:tc>
          <w:tcPr>
            <w:tcW w:type="dxa" w:w="3312"/>
            <w:vAlign w:val="center"/>
          </w:tcPr>
          <w:p>
            <w:pPr>
              <w:spacing w:after="0"/>
            </w:pPr>
            <w:r/>
            <w:r>
              <w:rPr>
                <w:rFonts w:ascii="Arial" w:hAnsi="Arial"/>
                <w:b w:val="0"/>
                <w:sz w:val="15"/>
              </w:rPr>
              <w:t>External sync failures</w:t>
            </w:r>
          </w:p>
        </w:tc>
        <w:tc>
          <w:tcPr>
            <w:tcW w:type="dxa" w:w="6480"/>
            <w:vAlign w:val="center"/>
          </w:tcPr>
          <w:p>
            <w:pPr>
              <w:spacing w:after="0"/>
            </w:pPr>
            <w:r/>
            <w:r>
              <w:rPr>
                <w:rFonts w:ascii="Arial" w:hAnsi="Arial"/>
                <w:b w:val="0"/>
                <w:sz w:val="15"/>
              </w:rPr>
              <w:t>&gt; 5% over 15 min or one activation stuck &gt; 30 min</w:t>
            </w:r>
          </w:p>
        </w:tc>
      </w:tr>
      <w:tr>
        <w:tc>
          <w:tcPr>
            <w:tcW w:type="dxa" w:w="3312"/>
            <w:vAlign w:val="center"/>
          </w:tcPr>
          <w:p>
            <w:pPr>
              <w:spacing w:after="0"/>
            </w:pPr>
            <w:r/>
            <w:r>
              <w:rPr>
                <w:rFonts w:ascii="Arial" w:hAnsi="Arial"/>
                <w:b w:val="0"/>
                <w:sz w:val="15"/>
              </w:rPr>
              <w:t>CRM callback failure</w:t>
            </w:r>
          </w:p>
        </w:tc>
        <w:tc>
          <w:tcPr>
            <w:tcW w:type="dxa" w:w="6480"/>
            <w:vAlign w:val="center"/>
          </w:tcPr>
          <w:p>
            <w:pPr>
              <w:spacing w:after="0"/>
            </w:pPr>
            <w:r/>
            <w:r>
              <w:rPr>
                <w:rFonts w:ascii="Arial" w:hAnsi="Arial"/>
                <w:b w:val="0"/>
                <w:sz w:val="15"/>
              </w:rPr>
              <w:t>&gt; 5% over 15 min</w:t>
            </w:r>
          </w:p>
        </w:tc>
      </w:tr>
      <w:tr>
        <w:tc>
          <w:tcPr>
            <w:tcW w:type="dxa" w:w="3312"/>
            <w:vAlign w:val="center"/>
          </w:tcPr>
          <w:p>
            <w:pPr>
              <w:spacing w:after="0"/>
            </w:pPr>
            <w:r/>
            <w:r>
              <w:rPr>
                <w:rFonts w:ascii="Arial" w:hAnsi="Arial"/>
                <w:b w:val="0"/>
                <w:sz w:val="15"/>
              </w:rPr>
              <w:t>Billing variance</w:t>
            </w:r>
          </w:p>
        </w:tc>
        <w:tc>
          <w:tcPr>
            <w:tcW w:type="dxa" w:w="6480"/>
            <w:vAlign w:val="center"/>
          </w:tcPr>
          <w:p>
            <w:pPr>
              <w:spacing w:after="0"/>
            </w:pPr>
            <w:r/>
            <w:r>
              <w:rPr>
                <w:rFonts w:ascii="Arial" w:hAnsi="Arial"/>
                <w:b w:val="0"/>
                <w:sz w:val="15"/>
              </w:rPr>
              <w:t>outside reconciliation tolerance</w:t>
            </w:r>
          </w:p>
        </w:tc>
      </w:tr>
      <w:tr>
        <w:tc>
          <w:tcPr>
            <w:tcW w:type="dxa" w:w="3312"/>
            <w:vAlign w:val="center"/>
          </w:tcPr>
          <w:p>
            <w:pPr>
              <w:spacing w:after="0"/>
            </w:pPr>
            <w:r/>
            <w:r>
              <w:rPr>
                <w:rFonts w:ascii="Arial" w:hAnsi="Arial"/>
                <w:b w:val="0"/>
                <w:sz w:val="15"/>
              </w:rPr>
              <w:t>Kill switch</w:t>
            </w:r>
          </w:p>
        </w:tc>
        <w:tc>
          <w:tcPr>
            <w:tcW w:type="dxa" w:w="6480"/>
            <w:vAlign w:val="center"/>
          </w:tcPr>
          <w:p>
            <w:pPr>
              <w:spacing w:after="0"/>
            </w:pPr>
            <w:r/>
            <w:r>
              <w:rPr>
                <w:rFonts w:ascii="Arial" w:hAnsi="Arial"/>
                <w:b w:val="0"/>
                <w:sz w:val="15"/>
              </w:rPr>
              <w:t>every production activation; immediate audit notification</w:t>
            </w:r>
          </w:p>
        </w:tc>
      </w:tr>
    </w:tbl>
    <w:p/>
    <w:p>
      <w:pPr>
        <w:pStyle w:val="ListBullet"/>
        <w:spacing w:after="40"/>
      </w:pPr>
      <w:r>
        <w:t>OpenTelemetry trace context propagates correlation_id from user/API to queue message and Agent/external-channel operation where possible.</w:t>
      </w:r>
    </w:p>
    <w:p>
      <w:pPr>
        <w:pStyle w:val="ListBullet"/>
        <w:spacing w:after="40"/>
      </w:pPr>
      <w:r>
        <w:t>Notification destination may be PagerDuty/Opsgenie for critical alerts and Slack/Teams for warnings; vendor choice is deployment configuration.</w:t>
      </w:r>
    </w:p>
    <w:p>
      <w:pPr>
        <w:pStyle w:val="ListBullet"/>
        <w:spacing w:after="40"/>
      </w:pPr>
      <w:r>
        <w:t>Cold starts are avoided by running long-lived API/worker/Agent processes.</w:t>
      </w:r>
    </w:p>
    <w:p>
      <w:pPr>
        <w:pStyle w:val="Heading1"/>
      </w:pPr>
      <w:r>
        <w:t>79. Testing Strategy and CI/CD Contract</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Layer</w:t>
            </w:r>
          </w:p>
        </w:tc>
        <w:tc>
          <w:tcPr>
            <w:tcW w:type="dxa" w:w="6912"/>
            <w:vAlign w:val="center"/>
            <w:shd w:fill="1B4363"/>
          </w:tcPr>
          <w:p>
            <w:pPr>
              <w:spacing w:after="0"/>
            </w:pPr>
            <w:r/>
            <w:r>
              <w:rPr>
                <w:rFonts w:ascii="Arial" w:hAnsi="Arial"/>
                <w:b/>
                <w:color w:val="FFFFFF"/>
                <w:sz w:val="16"/>
              </w:rPr>
              <w:t>Tool / expectation</w:t>
            </w:r>
          </w:p>
        </w:tc>
      </w:tr>
      <w:tr>
        <w:tc>
          <w:tcPr>
            <w:tcW w:type="dxa" w:w="2880"/>
            <w:vAlign w:val="center"/>
          </w:tcPr>
          <w:p>
            <w:pPr>
              <w:spacing w:after="0"/>
            </w:pPr>
            <w:r/>
            <w:r>
              <w:rPr>
                <w:rFonts w:ascii="Arial" w:hAnsi="Arial"/>
                <w:b w:val="0"/>
                <w:sz w:val="15"/>
              </w:rPr>
              <w:t>TypeScript unit</w:t>
            </w:r>
          </w:p>
        </w:tc>
        <w:tc>
          <w:tcPr>
            <w:tcW w:type="dxa" w:w="6912"/>
            <w:vAlign w:val="center"/>
          </w:tcPr>
          <w:p>
            <w:pPr>
              <w:spacing w:after="0"/>
            </w:pPr>
            <w:r/>
            <w:r>
              <w:rPr>
                <w:rFonts w:ascii="Arial" w:hAnsi="Arial"/>
                <w:b w:val="0"/>
                <w:sz w:val="15"/>
              </w:rPr>
              <w:t>Jest; pure domain/state/validation tests.</w:t>
            </w:r>
          </w:p>
        </w:tc>
      </w:tr>
      <w:tr>
        <w:tc>
          <w:tcPr>
            <w:tcW w:type="dxa" w:w="2880"/>
            <w:vAlign w:val="center"/>
          </w:tcPr>
          <w:p>
            <w:pPr>
              <w:spacing w:after="0"/>
            </w:pPr>
            <w:r/>
            <w:r>
              <w:rPr>
                <w:rFonts w:ascii="Arial" w:hAnsi="Arial"/>
                <w:b w:val="0"/>
                <w:sz w:val="15"/>
              </w:rPr>
              <w:t>React UI</w:t>
            </w:r>
          </w:p>
        </w:tc>
        <w:tc>
          <w:tcPr>
            <w:tcW w:type="dxa" w:w="6912"/>
            <w:vAlign w:val="center"/>
          </w:tcPr>
          <w:p>
            <w:pPr>
              <w:spacing w:after="0"/>
            </w:pPr>
            <w:r/>
            <w:r>
              <w:rPr>
                <w:rFonts w:ascii="Arial" w:hAnsi="Arial"/>
                <w:b w:val="0"/>
                <w:sz w:val="15"/>
              </w:rPr>
              <w:t>React Testing Library + Jest.</w:t>
            </w:r>
          </w:p>
        </w:tc>
      </w:tr>
      <w:tr>
        <w:tc>
          <w:tcPr>
            <w:tcW w:type="dxa" w:w="2880"/>
            <w:vAlign w:val="center"/>
          </w:tcPr>
          <w:p>
            <w:pPr>
              <w:spacing w:after="0"/>
            </w:pPr>
            <w:r/>
            <w:r>
              <w:rPr>
                <w:rFonts w:ascii="Arial" w:hAnsi="Arial"/>
                <w:b w:val="0"/>
                <w:sz w:val="15"/>
              </w:rPr>
              <w:t>API integration</w:t>
            </w:r>
          </w:p>
        </w:tc>
        <w:tc>
          <w:tcPr>
            <w:tcW w:type="dxa" w:w="6912"/>
            <w:vAlign w:val="center"/>
          </w:tcPr>
          <w:p>
            <w:pPr>
              <w:spacing w:after="0"/>
            </w:pPr>
            <w:r/>
            <w:r>
              <w:rPr>
                <w:rFonts w:ascii="Arial" w:hAnsi="Arial"/>
                <w:b w:val="0"/>
                <w:sz w:val="15"/>
              </w:rPr>
              <w:t>Jest + Testcontainers PostgreSQL/Redis; LocalStack for SQS/S3 tests.</w:t>
            </w:r>
          </w:p>
        </w:tc>
      </w:tr>
      <w:tr>
        <w:tc>
          <w:tcPr>
            <w:tcW w:type="dxa" w:w="2880"/>
            <w:vAlign w:val="center"/>
          </w:tcPr>
          <w:p>
            <w:pPr>
              <w:spacing w:after="0"/>
            </w:pPr>
            <w:r/>
            <w:r>
              <w:rPr>
                <w:rFonts w:ascii="Arial" w:hAnsi="Arial"/>
                <w:b w:val="0"/>
                <w:sz w:val="15"/>
              </w:rPr>
              <w:t>Partner Agent unit</w:t>
            </w:r>
          </w:p>
        </w:tc>
        <w:tc>
          <w:tcPr>
            <w:tcW w:type="dxa" w:w="6912"/>
            <w:vAlign w:val="center"/>
          </w:tcPr>
          <w:p>
            <w:pPr>
              <w:spacing w:after="0"/>
            </w:pPr>
            <w:r/>
            <w:r>
              <w:rPr>
                <w:rFonts w:ascii="Arial" w:hAnsi="Arial"/>
                <w:b w:val="0"/>
                <w:sz w:val="15"/>
              </w:rPr>
              <w:t>Go testing + table-driven tests.</w:t>
            </w:r>
          </w:p>
        </w:tc>
      </w:tr>
      <w:tr>
        <w:tc>
          <w:tcPr>
            <w:tcW w:type="dxa" w:w="2880"/>
            <w:vAlign w:val="center"/>
          </w:tcPr>
          <w:p>
            <w:pPr>
              <w:spacing w:after="0"/>
            </w:pPr>
            <w:r/>
            <w:r>
              <w:rPr>
                <w:rFonts w:ascii="Arial" w:hAnsi="Arial"/>
                <w:b w:val="0"/>
                <w:sz w:val="15"/>
              </w:rPr>
              <w:t>Agent connector integration</w:t>
            </w:r>
          </w:p>
        </w:tc>
        <w:tc>
          <w:tcPr>
            <w:tcW w:type="dxa" w:w="6912"/>
            <w:vAlign w:val="center"/>
          </w:tcPr>
          <w:p>
            <w:pPr>
              <w:spacing w:after="0"/>
            </w:pPr>
            <w:r/>
            <w:r>
              <w:rPr>
                <w:rFonts w:ascii="Arial" w:hAnsi="Arial"/>
                <w:b w:val="0"/>
                <w:sz w:val="15"/>
              </w:rPr>
              <w:t>Testcontainers or mock Partner DB/API.</w:t>
            </w:r>
          </w:p>
        </w:tc>
      </w:tr>
      <w:tr>
        <w:tc>
          <w:tcPr>
            <w:tcW w:type="dxa" w:w="2880"/>
            <w:vAlign w:val="center"/>
          </w:tcPr>
          <w:p>
            <w:pPr>
              <w:spacing w:after="0"/>
            </w:pPr>
            <w:r/>
            <w:r>
              <w:rPr>
                <w:rFonts w:ascii="Arial" w:hAnsi="Arial"/>
                <w:b w:val="0"/>
                <w:sz w:val="15"/>
              </w:rPr>
              <w:t>End-to-end</w:t>
            </w:r>
          </w:p>
        </w:tc>
        <w:tc>
          <w:tcPr>
            <w:tcW w:type="dxa" w:w="6912"/>
            <w:vAlign w:val="center"/>
          </w:tcPr>
          <w:p>
            <w:pPr>
              <w:spacing w:after="0"/>
            </w:pPr>
            <w:r/>
            <w:r>
              <w:rPr>
                <w:rFonts w:ascii="Arial" w:hAnsi="Arial"/>
                <w:b w:val="0"/>
                <w:sz w:val="15"/>
              </w:rPr>
              <w:t>Playwright against full docker-compose stack.</w:t>
            </w:r>
          </w:p>
        </w:tc>
      </w:tr>
      <w:tr>
        <w:tc>
          <w:tcPr>
            <w:tcW w:type="dxa" w:w="2880"/>
            <w:vAlign w:val="center"/>
          </w:tcPr>
          <w:p>
            <w:pPr>
              <w:spacing w:after="0"/>
            </w:pPr>
            <w:r/>
            <w:r>
              <w:rPr>
                <w:rFonts w:ascii="Arial" w:hAnsi="Arial"/>
                <w:b w:val="0"/>
                <w:sz w:val="15"/>
              </w:rPr>
              <w:t>Contract tests</w:t>
            </w:r>
          </w:p>
        </w:tc>
        <w:tc>
          <w:tcPr>
            <w:tcW w:type="dxa" w:w="6912"/>
            <w:vAlign w:val="center"/>
          </w:tcPr>
          <w:p>
            <w:pPr>
              <w:spacing w:after="0"/>
            </w:pPr>
            <w:r/>
            <w:r>
              <w:rPr>
                <w:rFonts w:ascii="Arial" w:hAnsi="Arial"/>
                <w:b w:val="0"/>
                <w:sz w:val="15"/>
              </w:rPr>
              <w:t>OpenAPI schema validation + manifest JSON schema + Agent compatibility tests.</w:t>
            </w:r>
          </w:p>
        </w:tc>
      </w:tr>
      <w:tr>
        <w:tc>
          <w:tcPr>
            <w:tcW w:type="dxa" w:w="2880"/>
            <w:vAlign w:val="center"/>
          </w:tcPr>
          <w:p>
            <w:pPr>
              <w:spacing w:after="0"/>
            </w:pPr>
            <w:r/>
            <w:r>
              <w:rPr>
                <w:rFonts w:ascii="Arial" w:hAnsi="Arial"/>
                <w:b w:val="0"/>
                <w:sz w:val="15"/>
              </w:rPr>
              <w:t>Security</w:t>
            </w:r>
          </w:p>
        </w:tc>
        <w:tc>
          <w:tcPr>
            <w:tcW w:type="dxa" w:w="6912"/>
            <w:vAlign w:val="center"/>
          </w:tcPr>
          <w:p>
            <w:pPr>
              <w:spacing w:after="0"/>
            </w:pPr>
            <w:r/>
            <w:r>
              <w:rPr>
                <w:rFonts w:ascii="Arial" w:hAnsi="Arial"/>
                <w:b w:val="0"/>
                <w:sz w:val="15"/>
              </w:rPr>
              <w:t>dependency scan, secret scan, SAST, container image scan.</w:t>
            </w:r>
          </w:p>
        </w:tc>
      </w:tr>
      <w:tr>
        <w:tc>
          <w:tcPr>
            <w:tcW w:type="dxa" w:w="2880"/>
            <w:vAlign w:val="center"/>
          </w:tcPr>
          <w:p>
            <w:pPr>
              <w:spacing w:after="0"/>
            </w:pPr>
            <w:r/>
            <w:r>
              <w:rPr>
                <w:rFonts w:ascii="Arial" w:hAnsi="Arial"/>
                <w:b w:val="0"/>
                <w:sz w:val="15"/>
              </w:rPr>
              <w:t>Performance</w:t>
            </w:r>
          </w:p>
        </w:tc>
        <w:tc>
          <w:tcPr>
            <w:tcW w:type="dxa" w:w="6912"/>
            <w:vAlign w:val="center"/>
          </w:tcPr>
          <w:p>
            <w:pPr>
              <w:spacing w:after="0"/>
            </w:pPr>
            <w:r/>
            <w:r>
              <w:rPr>
                <w:rFonts w:ascii="Arial" w:hAnsi="Arial"/>
                <w:b w:val="0"/>
                <w:sz w:val="15"/>
              </w:rPr>
              <w:t>k6/Locust for cloud; dedicated ad-decision benchmark inside mock Partner environment.</w:t>
            </w:r>
          </w:p>
        </w:tc>
      </w:tr>
    </w:tbl>
    <w:p/>
    <w:p>
      <w:pPr>
        <w:pStyle w:val="Heading2"/>
      </w:pPr>
      <w:r>
        <w:t>79.1 CI pipeline</w:t>
      </w:r>
    </w:p>
    <w:p>
      <w:pPr>
        <w:pStyle w:val="ListNumber"/>
        <w:spacing w:after="40"/>
      </w:pPr>
      <w:r>
        <w:t>lint/format/typecheck</w:t>
      </w:r>
    </w:p>
    <w:p>
      <w:pPr>
        <w:pStyle w:val="ListNumber"/>
        <w:spacing w:after="40"/>
      </w:pPr>
      <w:r>
        <w:t>unit tests</w:t>
      </w:r>
    </w:p>
    <w:p>
      <w:pPr>
        <w:pStyle w:val="ListNumber"/>
        <w:spacing w:after="40"/>
      </w:pPr>
      <w:r>
        <w:t>build web/API/worker/Agent/SDK</w:t>
      </w:r>
    </w:p>
    <w:p>
      <w:pPr>
        <w:pStyle w:val="ListNumber"/>
        <w:spacing w:after="40"/>
      </w:pPr>
      <w:r>
        <w:t>integration tests with ephemeral dependencies</w:t>
      </w:r>
    </w:p>
    <w:p>
      <w:pPr>
        <w:pStyle w:val="ListNumber"/>
        <w:spacing w:after="40"/>
      </w:pPr>
      <w:r>
        <w:t>OpenAPI/manifest backward-compatibility check</w:t>
      </w:r>
    </w:p>
    <w:p>
      <w:pPr>
        <w:pStyle w:val="ListNumber"/>
        <w:spacing w:after="40"/>
      </w:pPr>
      <w:r>
        <w:t>container build + vulnerability scan</w:t>
      </w:r>
    </w:p>
    <w:p>
      <w:pPr>
        <w:pStyle w:val="ListNumber"/>
        <w:spacing w:after="40"/>
      </w:pPr>
      <w:r>
        <w:t>database migration dry-run on disposable database</w:t>
      </w:r>
    </w:p>
    <w:p>
      <w:pPr>
        <w:pStyle w:val="ListNumber"/>
        <w:spacing w:after="40"/>
      </w:pPr>
      <w:r>
        <w:t>Playwright smoke test</w:t>
      </w:r>
    </w:p>
    <w:p>
      <w:pPr>
        <w:pStyle w:val="ListNumber"/>
        <w:spacing w:after="40"/>
      </w:pPr>
      <w:r>
        <w:t>publish immutable versioned artifacts on main/release</w:t>
      </w:r>
    </w:p>
    <w:p>
      <w:pPr>
        <w:pStyle w:val="ListNumber"/>
        <w:spacing w:after="40"/>
      </w:pPr>
      <w:r>
        <w:t>deploy dev -&gt; staging -&gt; production with approval gate</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Seed and sandbox</w:t>
            </w:r>
          </w:p>
          <w:p>
            <w:pPr>
              <w:spacing w:after="0"/>
            </w:pPr>
            <w:r>
              <w:rPr>
                <w:rFonts w:ascii="Arial" w:hAnsi="Arial"/>
                <w:sz w:val="17"/>
              </w:rPr>
              <w:t>Repository must include a mock Partner backend, mock Partner Agent data source and deterministic seed data so developers can demo campaign -&gt; approval -&gt; local ad -&gt; click -&gt; qualified lead without a real Data Partner.</w:t>
            </w:r>
          </w:p>
        </w:tc>
      </w:tr>
    </w:tbl>
    <w:p/>
    <w:p>
      <w:pPr>
        <w:pStyle w:val="Heading1"/>
      </w:pPr>
      <w:r>
        <w:t>80. Production Deployment, Agent Rollout and Disaster Recovery</w:t>
      </w:r>
    </w:p>
    <w:p>
      <w:pPr>
        <w:pStyle w:val="ListBullet"/>
        <w:spacing w:after="40"/>
      </w:pPr>
      <w:r>
        <w:t>Oolix Cloud runs separate dev/staging/prod accounts/projects. No production credentials in lower environments.</w:t>
      </w:r>
    </w:p>
    <w:p>
      <w:pPr>
        <w:pStyle w:val="ListBullet"/>
        <w:spacing w:after="40"/>
      </w:pPr>
      <w:r>
        <w:t>API and worker use rolling deployments with health gates. Database migrations run as controlled release jobs.</w:t>
      </w:r>
    </w:p>
    <w:p>
      <w:pPr>
        <w:pStyle w:val="ListBullet"/>
        <w:spacing w:after="40"/>
      </w:pPr>
      <w:r>
        <w:t>Partner Agent images are immutable and versioned (for example 0.4.3). Agent reports version/capability set to Oolix.</w:t>
      </w:r>
    </w:p>
    <w:p>
      <w:pPr>
        <w:pStyle w:val="ListBullet"/>
        <w:spacing w:after="40"/>
      </w:pPr>
      <w:r>
        <w:t>Agent rollout: internal sandbox -&gt; design Partner staging -&gt; 1 canary Partner production -&gt; 10-25% Partner cohort -&gt; full. Keep N-1 control-protocol compatibility during rollout.</w:t>
      </w:r>
    </w:p>
    <w:p>
      <w:pPr>
        <w:pStyle w:val="ListBullet"/>
        <w:spacing w:after="40"/>
      </w:pPr>
      <w:r>
        <w:t>Oolix can mark Agent versions MIN_SUPPORTED, RECOMMENDED or BLOCKED. BLOCKED is used only for critical security issues.</w:t>
      </w:r>
    </w:p>
    <w:p>
      <w:pPr>
        <w:pStyle w:val="ListBullet"/>
        <w:spacing w:after="40"/>
      </w:pPr>
      <w:r>
        <w:t>Control plane RPO target: &lt;= 15 minutes using managed PostgreSQL point-in-time recovery. RTO target: &lt;= 4 hours for MVP.</w:t>
      </w:r>
    </w:p>
    <w:p>
      <w:pPr>
        <w:pStyle w:val="ListBullet"/>
        <w:spacing w:after="40"/>
      </w:pPr>
      <w:r>
        <w:t>Daily restore test in staging is preferable; at minimum perform scheduled restore drills before production launch.</w:t>
      </w:r>
    </w:p>
    <w:p>
      <w:pPr>
        <w:pStyle w:val="ListBullet"/>
        <w:spacing w:after="40"/>
      </w:pPr>
      <w:r>
        <w:t>S3 versioning enabled for creative objects. Financial/audit data backup follows database backup policy.</w:t>
      </w:r>
    </w:p>
    <w:p>
      <w:pPr>
        <w:pStyle w:val="Heading2"/>
      </w:pPr>
      <w:r>
        <w:t>80.1 Organization/Partner offboarding</w:t>
      </w:r>
    </w:p>
    <w:p>
      <w:pPr>
        <w:pStyle w:val="ListNumber"/>
        <w:spacing w:after="40"/>
      </w:pPr>
      <w:r>
        <w:t>Block new campaign/request creation.</w:t>
      </w:r>
    </w:p>
    <w:p>
      <w:pPr>
        <w:pStyle w:val="ListNumber"/>
        <w:spacing w:after="40"/>
      </w:pPr>
      <w:r>
        <w:t>Revoke Partner/Buyer channel connection tokens and Agent workload identities.</w:t>
      </w:r>
    </w:p>
    <w:p>
      <w:pPr>
        <w:pStyle w:val="ListNumber"/>
        <w:spacing w:after="40"/>
      </w:pPr>
      <w:r>
        <w:t>Transition active activations to ENDING and execute external cleanup.</w:t>
      </w:r>
    </w:p>
    <w:p>
      <w:pPr>
        <w:pStyle w:val="ListNumber"/>
        <w:spacing w:after="40"/>
      </w:pPr>
      <w:r>
        <w:t>Stop Partner Agent control access; Partner may uninstall it after cleanup confirmation.</w:t>
      </w:r>
    </w:p>
    <w:p>
      <w:pPr>
        <w:pStyle w:val="ListNumber"/>
        <w:spacing w:after="40"/>
      </w:pPr>
      <w:r>
        <w:t>Settle/hold invoices and payouts according to contract.</w:t>
      </w:r>
    </w:p>
    <w:p>
      <w:pPr>
        <w:pStyle w:val="ListNumber"/>
        <w:spacing w:after="40"/>
      </w:pPr>
      <w:r>
        <w:t>Export the organization's own business/campaign/report data when requested and authorized.</w:t>
      </w:r>
    </w:p>
    <w:p>
      <w:pPr>
        <w:pStyle w:val="ListNumber"/>
        <w:spacing w:after="40"/>
      </w:pPr>
      <w:r>
        <w:t>Apply retention/deletion policy to Oolix-held metadata. Oolix never exports or deletes Partner raw customer data because it never held it.</w:t>
      </w:r>
    </w:p>
    <w:p>
      <w:pPr>
        <w:pStyle w:val="Heading1"/>
      </w:pPr>
      <w:r>
        <w:t>81. Data Retention, Consent Withdrawal and India DPDP Readiness</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Legal review required</w:t>
            </w:r>
          </w:p>
          <w:p>
            <w:pPr>
              <w:spacing w:after="0"/>
            </w:pPr>
            <w:r>
              <w:rPr>
                <w:rFonts w:ascii="Arial" w:hAnsi="Arial"/>
                <w:sz w:val="17"/>
              </w:rPr>
              <w:t>This is an engineering control model, not legal advice. Launch jurisdictions require counsel review. For India, the DPDP Act/Rules commencement schedule is now phased and should be treated as a build-time requirement, not a future footnote.</w:t>
            </w:r>
          </w:p>
        </w:tc>
      </w:tr>
    </w:tbl>
    <w:p/>
    <w:p>
      <w:pPr>
        <w:pStyle w:val="ListBullet"/>
        <w:spacing w:after="40"/>
      </w:pPr>
      <w:r>
        <w:t>The Government of India notified commencement on 13 November 2025. Certain provisions started immediately, one set starts one year later, and core processing obligations specified in the commencement notification start eighteen months later.</w:t>
      </w:r>
    </w:p>
    <w:p>
      <w:pPr>
        <w:pStyle w:val="ListBullet"/>
        <w:spacing w:after="40"/>
      </w:pPr>
      <w:r>
        <w:t>The Digital Personal Data Protection Rules, 2025 were also notified on 13 November 2025: Rules 1,2,17-21 began on publication; Rule 4 begins one year later; Rules 3,5-16,22-23 begin eighteen months later.</w:t>
      </w:r>
    </w:p>
    <w:p>
      <w:pPr>
        <w:pStyle w:val="ListBullet"/>
        <w:spacing w:after="40"/>
      </w:pPr>
      <w:r>
        <w:t>Engineering implication: represent purpose_id, consent/policy version, notice version and withdrawal/revocation hooks explicitly. Do not reduce consent to a permanent 'eligible' boolean.</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Data class</w:t>
            </w:r>
          </w:p>
        </w:tc>
        <w:tc>
          <w:tcPr>
            <w:tcW w:type="dxa" w:w="6912"/>
            <w:vAlign w:val="center"/>
            <w:shd w:fill="1B4363"/>
          </w:tcPr>
          <w:p>
            <w:pPr>
              <w:spacing w:after="0"/>
            </w:pPr>
            <w:r/>
            <w:r>
              <w:rPr>
                <w:rFonts w:ascii="Arial" w:hAnsi="Arial"/>
                <w:b/>
                <w:color w:val="FFFFFF"/>
                <w:sz w:val="16"/>
              </w:rPr>
              <w:t>Default MVP retention</w:t>
            </w:r>
          </w:p>
        </w:tc>
      </w:tr>
      <w:tr>
        <w:tc>
          <w:tcPr>
            <w:tcW w:type="dxa" w:w="2880"/>
            <w:vAlign w:val="center"/>
          </w:tcPr>
          <w:p>
            <w:pPr>
              <w:spacing w:after="0"/>
            </w:pPr>
            <w:r/>
            <w:r>
              <w:rPr>
                <w:rFonts w:ascii="Arial" w:hAnsi="Arial"/>
                <w:b w:val="0"/>
                <w:sz w:val="15"/>
              </w:rPr>
              <w:t>Raw Partner customer data</w:t>
            </w:r>
          </w:p>
        </w:tc>
        <w:tc>
          <w:tcPr>
            <w:tcW w:type="dxa" w:w="6912"/>
            <w:vAlign w:val="center"/>
          </w:tcPr>
          <w:p>
            <w:pPr>
              <w:spacing w:after="0"/>
            </w:pPr>
            <w:r/>
            <w:r>
              <w:rPr>
                <w:rFonts w:ascii="Arial" w:hAnsi="Arial"/>
                <w:b w:val="0"/>
                <w:sz w:val="15"/>
              </w:rPr>
              <w:t>Never stored centrally.</w:t>
            </w:r>
          </w:p>
        </w:tc>
      </w:tr>
      <w:tr>
        <w:tc>
          <w:tcPr>
            <w:tcW w:type="dxa" w:w="2880"/>
            <w:vAlign w:val="center"/>
          </w:tcPr>
          <w:p>
            <w:pPr>
              <w:spacing w:after="0"/>
            </w:pPr>
            <w:r/>
            <w:r>
              <w:rPr>
                <w:rFonts w:ascii="Arial" w:hAnsi="Arial"/>
                <w:b w:val="0"/>
                <w:sz w:val="15"/>
              </w:rPr>
              <w:t>Click token record</w:t>
            </w:r>
          </w:p>
        </w:tc>
        <w:tc>
          <w:tcPr>
            <w:tcW w:type="dxa" w:w="6912"/>
            <w:vAlign w:val="center"/>
          </w:tcPr>
          <w:p>
            <w:pPr>
              <w:spacing w:after="0"/>
            </w:pPr>
            <w:r/>
            <w:r>
              <w:rPr>
                <w:rFonts w:ascii="Arial" w:hAnsi="Arial"/>
                <w:b w:val="0"/>
                <w:sz w:val="15"/>
              </w:rPr>
              <w:t>7 days active, then hashed attribution record retained only as needed for campaign/finance audit.</w:t>
            </w:r>
          </w:p>
        </w:tc>
      </w:tr>
      <w:tr>
        <w:tc>
          <w:tcPr>
            <w:tcW w:type="dxa" w:w="2880"/>
            <w:vAlign w:val="center"/>
          </w:tcPr>
          <w:p>
            <w:pPr>
              <w:spacing w:after="0"/>
            </w:pPr>
            <w:r/>
            <w:r>
              <w:rPr>
                <w:rFonts w:ascii="Arial" w:hAnsi="Arial"/>
                <w:b w:val="0"/>
                <w:sz w:val="15"/>
              </w:rPr>
              <w:t>Application logs</w:t>
            </w:r>
          </w:p>
        </w:tc>
        <w:tc>
          <w:tcPr>
            <w:tcW w:type="dxa" w:w="6912"/>
            <w:vAlign w:val="center"/>
          </w:tcPr>
          <w:p>
            <w:pPr>
              <w:spacing w:after="0"/>
            </w:pPr>
            <w:r/>
            <w:r>
              <w:rPr>
                <w:rFonts w:ascii="Arial" w:hAnsi="Arial"/>
                <w:b w:val="0"/>
                <w:sz w:val="15"/>
              </w:rPr>
              <w:t>30 days hot; longer only when justified and redacted.</w:t>
            </w:r>
          </w:p>
        </w:tc>
      </w:tr>
      <w:tr>
        <w:tc>
          <w:tcPr>
            <w:tcW w:type="dxa" w:w="2880"/>
            <w:vAlign w:val="center"/>
          </w:tcPr>
          <w:p>
            <w:pPr>
              <w:spacing w:after="0"/>
            </w:pPr>
            <w:r/>
            <w:r>
              <w:rPr>
                <w:rFonts w:ascii="Arial" w:hAnsi="Arial"/>
                <w:b w:val="0"/>
                <w:sz w:val="15"/>
              </w:rPr>
              <w:t>Audit/security events</w:t>
            </w:r>
          </w:p>
        </w:tc>
        <w:tc>
          <w:tcPr>
            <w:tcW w:type="dxa" w:w="6912"/>
            <w:vAlign w:val="center"/>
          </w:tcPr>
          <w:p>
            <w:pPr>
              <w:spacing w:after="0"/>
            </w:pPr>
            <w:r/>
            <w:r>
              <w:rPr>
                <w:rFonts w:ascii="Arial" w:hAnsi="Arial"/>
                <w:b w:val="0"/>
                <w:sz w:val="15"/>
              </w:rPr>
              <w:t>24 months default; configurable to legal/security requirements.</w:t>
            </w:r>
          </w:p>
        </w:tc>
      </w:tr>
      <w:tr>
        <w:tc>
          <w:tcPr>
            <w:tcW w:type="dxa" w:w="2880"/>
            <w:vAlign w:val="center"/>
          </w:tcPr>
          <w:p>
            <w:pPr>
              <w:spacing w:after="0"/>
            </w:pPr>
            <w:r/>
            <w:r>
              <w:rPr>
                <w:rFonts w:ascii="Arial" w:hAnsi="Arial"/>
                <w:b w:val="0"/>
                <w:sz w:val="15"/>
              </w:rPr>
              <w:t>Aggregate campaign metrics</w:t>
            </w:r>
          </w:p>
        </w:tc>
        <w:tc>
          <w:tcPr>
            <w:tcW w:type="dxa" w:w="6912"/>
            <w:vAlign w:val="center"/>
          </w:tcPr>
          <w:p>
            <w:pPr>
              <w:spacing w:after="0"/>
            </w:pPr>
            <w:r/>
            <w:r>
              <w:rPr>
                <w:rFonts w:ascii="Arial" w:hAnsi="Arial"/>
                <w:b w:val="0"/>
                <w:sz w:val="15"/>
              </w:rPr>
              <w:t>24 months default; configurable contractually.</w:t>
            </w:r>
          </w:p>
        </w:tc>
      </w:tr>
      <w:tr>
        <w:tc>
          <w:tcPr>
            <w:tcW w:type="dxa" w:w="2880"/>
            <w:vAlign w:val="center"/>
          </w:tcPr>
          <w:p>
            <w:pPr>
              <w:spacing w:after="0"/>
            </w:pPr>
            <w:r/>
            <w:r>
              <w:rPr>
                <w:rFonts w:ascii="Arial" w:hAnsi="Arial"/>
                <w:b w:val="0"/>
                <w:sz w:val="15"/>
              </w:rPr>
              <w:t>Financial records</w:t>
            </w:r>
          </w:p>
        </w:tc>
        <w:tc>
          <w:tcPr>
            <w:tcW w:type="dxa" w:w="6912"/>
            <w:vAlign w:val="center"/>
          </w:tcPr>
          <w:p>
            <w:pPr>
              <w:spacing w:after="0"/>
            </w:pPr>
            <w:r/>
            <w:r>
              <w:rPr>
                <w:rFonts w:ascii="Arial" w:hAnsi="Arial"/>
                <w:b w:val="0"/>
                <w:sz w:val="15"/>
              </w:rPr>
              <w:t>Retain according to applicable statutory/accounting requirements; do not hard-code one jurisdiction globally.</w:t>
            </w:r>
          </w:p>
        </w:tc>
      </w:tr>
      <w:tr>
        <w:tc>
          <w:tcPr>
            <w:tcW w:type="dxa" w:w="2880"/>
            <w:vAlign w:val="center"/>
          </w:tcPr>
          <w:p>
            <w:pPr>
              <w:spacing w:after="0"/>
            </w:pPr>
            <w:r/>
            <w:r>
              <w:rPr>
                <w:rFonts w:ascii="Arial" w:hAnsi="Arial"/>
                <w:b w:val="0"/>
                <w:sz w:val="15"/>
              </w:rPr>
              <w:t>External audience resources</w:t>
            </w:r>
          </w:p>
        </w:tc>
        <w:tc>
          <w:tcPr>
            <w:tcW w:type="dxa" w:w="6912"/>
            <w:vAlign w:val="center"/>
          </w:tcPr>
          <w:p>
            <w:pPr>
              <w:spacing w:after="0"/>
            </w:pPr>
            <w:r/>
            <w:r>
              <w:rPr>
                <w:rFonts w:ascii="Arial" w:hAnsi="Arial"/>
                <w:b w:val="0"/>
                <w:sz w:val="15"/>
              </w:rPr>
              <w:t>Stop/remove/update on expiry/revocation; retain only resource IDs/status/audit evidence as needed.</w:t>
            </w:r>
          </w:p>
        </w:tc>
      </w:tr>
    </w:tbl>
    <w:p/>
    <w:p>
      <w:pPr>
        <w:pStyle w:val="Heading2"/>
      </w:pPr>
      <w:r>
        <w:t>81.1 Consent withdrawal</w:t>
      </w:r>
    </w:p>
    <w:p>
      <w:pPr>
        <w:pStyle w:val="ListNumber"/>
        <w:spacing w:after="40"/>
      </w:pPr>
      <w:r>
        <w:t>Data Partner records withdrawal in its own consent/eligibility system.</w:t>
      </w:r>
    </w:p>
    <w:p>
      <w:pPr>
        <w:pStyle w:val="ListNumber"/>
        <w:spacing w:after="40"/>
      </w:pPr>
      <w:r>
        <w:t>Next local ad decision immediately returns ineligible for the relevant purpose.</w:t>
      </w:r>
    </w:p>
    <w:p>
      <w:pPr>
        <w:pStyle w:val="ListNumber"/>
        <w:spacing w:after="40"/>
      </w:pPr>
      <w:r>
        <w:t>Partner Agent enqueues external member removal/update for affected approved external audiences when the selected provider workflow supports it.</w:t>
      </w:r>
    </w:p>
    <w:p>
      <w:pPr>
        <w:pStyle w:val="ListNumber"/>
        <w:spacing w:after="40"/>
      </w:pPr>
      <w:r>
        <w:t>Target Oolix/Agent dispatch latency for withdrawal-driven external cleanup: &lt;= 15 minutes; provider processing time is outside Oolix control and must not be misrepresented.</w:t>
      </w:r>
    </w:p>
    <w:p>
      <w:pPr>
        <w:pStyle w:val="ListNumber"/>
        <w:spacing w:after="40"/>
      </w:pPr>
      <w:r>
        <w:t>Audit records contain purpose/policy/resource references, not the person's raw identity.</w:t>
      </w:r>
    </w:p>
    <w:p>
      <w:r>
        <w:t>Official India references: https://www.meity.gov.in/static/uploads/2025/11/c56ceae6c383460ca69577428d36828b.pdf and https://www.meity.gov.in/static/uploads/2025/11/53450e6e5dc0bfa85ebd78686cadad39.pdf</w:t>
      </w:r>
    </w:p>
    <w:p>
      <w:pPr>
        <w:pStyle w:val="Heading1"/>
      </w:pPr>
      <w:r>
        <w:t>82. Security Implementation Checklist</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Control</w:t>
            </w:r>
          </w:p>
        </w:tc>
        <w:tc>
          <w:tcPr>
            <w:tcW w:type="dxa" w:w="6912"/>
            <w:vAlign w:val="center"/>
            <w:shd w:fill="1B4363"/>
          </w:tcPr>
          <w:p>
            <w:pPr>
              <w:spacing w:after="0"/>
            </w:pPr>
            <w:r/>
            <w:r>
              <w:rPr>
                <w:rFonts w:ascii="Arial" w:hAnsi="Arial"/>
                <w:b/>
                <w:color w:val="FFFFFF"/>
                <w:sz w:val="16"/>
              </w:rPr>
              <w:t>Launch requirement</w:t>
            </w:r>
          </w:p>
        </w:tc>
      </w:tr>
      <w:tr>
        <w:tc>
          <w:tcPr>
            <w:tcW w:type="dxa" w:w="2880"/>
            <w:vAlign w:val="center"/>
          </w:tcPr>
          <w:p>
            <w:pPr>
              <w:spacing w:after="0"/>
            </w:pPr>
            <w:r/>
            <w:r>
              <w:rPr>
                <w:rFonts w:ascii="Arial" w:hAnsi="Arial"/>
                <w:b w:val="0"/>
                <w:sz w:val="15"/>
              </w:rPr>
              <w:t>Secrets</w:t>
            </w:r>
          </w:p>
        </w:tc>
        <w:tc>
          <w:tcPr>
            <w:tcW w:type="dxa" w:w="6912"/>
            <w:vAlign w:val="center"/>
          </w:tcPr>
          <w:p>
            <w:pPr>
              <w:spacing w:after="0"/>
            </w:pPr>
            <w:r/>
            <w:r>
              <w:rPr>
                <w:rFonts w:ascii="Arial" w:hAnsi="Arial"/>
                <w:b w:val="0"/>
                <w:sz w:val="15"/>
              </w:rPr>
              <w:t>All non-local secrets in secret manager; no hard-coded credentials.</w:t>
            </w:r>
          </w:p>
        </w:tc>
      </w:tr>
      <w:tr>
        <w:tc>
          <w:tcPr>
            <w:tcW w:type="dxa" w:w="2880"/>
            <w:vAlign w:val="center"/>
          </w:tcPr>
          <w:p>
            <w:pPr>
              <w:spacing w:after="0"/>
            </w:pPr>
            <w:r/>
            <w:r>
              <w:rPr>
                <w:rFonts w:ascii="Arial" w:hAnsi="Arial"/>
                <w:b w:val="0"/>
                <w:sz w:val="15"/>
              </w:rPr>
              <w:t>TLS</w:t>
            </w:r>
          </w:p>
        </w:tc>
        <w:tc>
          <w:tcPr>
            <w:tcW w:type="dxa" w:w="6912"/>
            <w:vAlign w:val="center"/>
          </w:tcPr>
          <w:p>
            <w:pPr>
              <w:spacing w:after="0"/>
            </w:pPr>
            <w:r/>
            <w:r>
              <w:rPr>
                <w:rFonts w:ascii="Arial" w:hAnsi="Arial"/>
                <w:b w:val="0"/>
                <w:sz w:val="15"/>
              </w:rPr>
              <w:t>HTTPS/TLS enforced; HSTS at public edge.</w:t>
            </w:r>
          </w:p>
        </w:tc>
      </w:tr>
      <w:tr>
        <w:tc>
          <w:tcPr>
            <w:tcW w:type="dxa" w:w="2880"/>
            <w:vAlign w:val="center"/>
          </w:tcPr>
          <w:p>
            <w:pPr>
              <w:spacing w:after="0"/>
            </w:pPr>
            <w:r/>
            <w:r>
              <w:rPr>
                <w:rFonts w:ascii="Arial" w:hAnsi="Arial"/>
                <w:b w:val="0"/>
                <w:sz w:val="15"/>
              </w:rPr>
              <w:t>CORS</w:t>
            </w:r>
          </w:p>
        </w:tc>
        <w:tc>
          <w:tcPr>
            <w:tcW w:type="dxa" w:w="6912"/>
            <w:vAlign w:val="center"/>
          </w:tcPr>
          <w:p>
            <w:pPr>
              <w:spacing w:after="0"/>
            </w:pPr>
            <w:r/>
            <w:r>
              <w:rPr>
                <w:rFonts w:ascii="Arial" w:hAnsi="Arial"/>
                <w:b w:val="0"/>
                <w:sz w:val="15"/>
              </w:rPr>
              <w:t>Oolix web API permits only Oolix portal origins. Partner SDK calls Partner backend, not Oolix cross-origin.</w:t>
            </w:r>
          </w:p>
        </w:tc>
      </w:tr>
      <w:tr>
        <w:tc>
          <w:tcPr>
            <w:tcW w:type="dxa" w:w="2880"/>
            <w:vAlign w:val="center"/>
          </w:tcPr>
          <w:p>
            <w:pPr>
              <w:spacing w:after="0"/>
            </w:pPr>
            <w:r/>
            <w:r>
              <w:rPr>
                <w:rFonts w:ascii="Arial" w:hAnsi="Arial"/>
                <w:b w:val="0"/>
                <w:sz w:val="15"/>
              </w:rPr>
              <w:t>CSP/security headers</w:t>
            </w:r>
          </w:p>
        </w:tc>
        <w:tc>
          <w:tcPr>
            <w:tcW w:type="dxa" w:w="6912"/>
            <w:vAlign w:val="center"/>
          </w:tcPr>
          <w:p>
            <w:pPr>
              <w:spacing w:after="0"/>
            </w:pPr>
            <w:r/>
            <w:r>
              <w:rPr>
                <w:rFonts w:ascii="Arial" w:hAnsi="Arial"/>
                <w:b w:val="0"/>
                <w:sz w:val="15"/>
              </w:rPr>
              <w:t>CSP, frame-ancestors, X-Content-Type-Options, Referrer-Policy configured.</w:t>
            </w:r>
          </w:p>
        </w:tc>
      </w:tr>
      <w:tr>
        <w:tc>
          <w:tcPr>
            <w:tcW w:type="dxa" w:w="2880"/>
            <w:vAlign w:val="center"/>
          </w:tcPr>
          <w:p>
            <w:pPr>
              <w:spacing w:after="0"/>
            </w:pPr>
            <w:r/>
            <w:r>
              <w:rPr>
                <w:rFonts w:ascii="Arial" w:hAnsi="Arial"/>
                <w:b w:val="0"/>
                <w:sz w:val="15"/>
              </w:rPr>
              <w:t>Input validation</w:t>
            </w:r>
          </w:p>
        </w:tc>
        <w:tc>
          <w:tcPr>
            <w:tcW w:type="dxa" w:w="6912"/>
            <w:vAlign w:val="center"/>
          </w:tcPr>
          <w:p>
            <w:pPr>
              <w:spacing w:after="0"/>
            </w:pPr>
            <w:r/>
            <w:r>
              <w:rPr>
                <w:rFonts w:ascii="Arial" w:hAnsi="Arial"/>
                <w:b w:val="0"/>
                <w:sz w:val="15"/>
              </w:rPr>
              <w:t>Schema validation for every request; output encoding; file MIME/size checks.</w:t>
            </w:r>
          </w:p>
        </w:tc>
      </w:tr>
      <w:tr>
        <w:tc>
          <w:tcPr>
            <w:tcW w:type="dxa" w:w="2880"/>
            <w:vAlign w:val="center"/>
          </w:tcPr>
          <w:p>
            <w:pPr>
              <w:spacing w:after="0"/>
            </w:pPr>
            <w:r/>
            <w:r>
              <w:rPr>
                <w:rFonts w:ascii="Arial" w:hAnsi="Arial"/>
                <w:b w:val="0"/>
                <w:sz w:val="15"/>
              </w:rPr>
              <w:t>Rate limiting</w:t>
            </w:r>
          </w:p>
        </w:tc>
        <w:tc>
          <w:tcPr>
            <w:tcW w:type="dxa" w:w="6912"/>
            <w:vAlign w:val="center"/>
          </w:tcPr>
          <w:p>
            <w:pPr>
              <w:spacing w:after="0"/>
            </w:pPr>
            <w:r/>
            <w:r>
              <w:rPr>
                <w:rFonts w:ascii="Arial" w:hAnsi="Arial"/>
                <w:b w:val="0"/>
                <w:sz w:val="15"/>
              </w:rPr>
              <w:t>Signup/login and organization/API rate limits; Agent/CRM quotas.</w:t>
            </w:r>
          </w:p>
        </w:tc>
      </w:tr>
      <w:tr>
        <w:tc>
          <w:tcPr>
            <w:tcW w:type="dxa" w:w="2880"/>
            <w:vAlign w:val="center"/>
          </w:tcPr>
          <w:p>
            <w:pPr>
              <w:spacing w:after="0"/>
            </w:pPr>
            <w:r/>
            <w:r>
              <w:rPr>
                <w:rFonts w:ascii="Arial" w:hAnsi="Arial"/>
                <w:b w:val="0"/>
                <w:sz w:val="15"/>
              </w:rPr>
              <w:t>RBAC</w:t>
            </w:r>
          </w:p>
        </w:tc>
        <w:tc>
          <w:tcPr>
            <w:tcW w:type="dxa" w:w="6912"/>
            <w:vAlign w:val="center"/>
          </w:tcPr>
          <w:p>
            <w:pPr>
              <w:spacing w:after="0"/>
            </w:pPr>
            <w:r/>
            <w:r>
              <w:rPr>
                <w:rFonts w:ascii="Arial" w:hAnsi="Arial"/>
                <w:b w:val="0"/>
                <w:sz w:val="15"/>
              </w:rPr>
              <w:t>Server-side org/network scope on every endpoint.</w:t>
            </w:r>
          </w:p>
        </w:tc>
      </w:tr>
      <w:tr>
        <w:tc>
          <w:tcPr>
            <w:tcW w:type="dxa" w:w="2880"/>
            <w:vAlign w:val="center"/>
          </w:tcPr>
          <w:p>
            <w:pPr>
              <w:spacing w:after="0"/>
            </w:pPr>
            <w:r/>
            <w:r>
              <w:rPr>
                <w:rFonts w:ascii="Arial" w:hAnsi="Arial"/>
                <w:b w:val="0"/>
                <w:sz w:val="15"/>
              </w:rPr>
              <w:t>Agent identity</w:t>
            </w:r>
          </w:p>
        </w:tc>
        <w:tc>
          <w:tcPr>
            <w:tcW w:type="dxa" w:w="6912"/>
            <w:vAlign w:val="center"/>
          </w:tcPr>
          <w:p>
            <w:pPr>
              <w:spacing w:after="0"/>
            </w:pPr>
            <w:r/>
            <w:r>
              <w:rPr>
                <w:rFonts w:ascii="Arial" w:hAnsi="Arial"/>
                <w:b w:val="0"/>
                <w:sz w:val="15"/>
              </w:rPr>
              <w:t>Bootstrap single-use; short-lived access; key rotation/revocation tested.</w:t>
            </w:r>
          </w:p>
        </w:tc>
      </w:tr>
      <w:tr>
        <w:tc>
          <w:tcPr>
            <w:tcW w:type="dxa" w:w="2880"/>
            <w:vAlign w:val="center"/>
          </w:tcPr>
          <w:p>
            <w:pPr>
              <w:spacing w:after="0"/>
            </w:pPr>
            <w:r/>
            <w:r>
              <w:rPr>
                <w:rFonts w:ascii="Arial" w:hAnsi="Arial"/>
                <w:b w:val="0"/>
                <w:sz w:val="15"/>
              </w:rPr>
              <w:t>Manifest signatures</w:t>
            </w:r>
          </w:p>
        </w:tc>
        <w:tc>
          <w:tcPr>
            <w:tcW w:type="dxa" w:w="6912"/>
            <w:vAlign w:val="center"/>
          </w:tcPr>
          <w:p>
            <w:pPr>
              <w:spacing w:after="0"/>
            </w:pPr>
            <w:r/>
            <w:r>
              <w:rPr>
                <w:rFonts w:ascii="Arial" w:hAnsi="Arial"/>
                <w:b w:val="0"/>
                <w:sz w:val="15"/>
              </w:rPr>
              <w:t>ES256 verification, kid/issuer/audience/time bounds enforced.</w:t>
            </w:r>
          </w:p>
        </w:tc>
      </w:tr>
      <w:tr>
        <w:tc>
          <w:tcPr>
            <w:tcW w:type="dxa" w:w="2880"/>
            <w:vAlign w:val="center"/>
          </w:tcPr>
          <w:p>
            <w:pPr>
              <w:spacing w:after="0"/>
            </w:pPr>
            <w:r/>
            <w:r>
              <w:rPr>
                <w:rFonts w:ascii="Arial" w:hAnsi="Arial"/>
                <w:b w:val="0"/>
                <w:sz w:val="15"/>
              </w:rPr>
              <w:t>PII logging</w:t>
            </w:r>
          </w:p>
        </w:tc>
        <w:tc>
          <w:tcPr>
            <w:tcW w:type="dxa" w:w="6912"/>
            <w:vAlign w:val="center"/>
          </w:tcPr>
          <w:p>
            <w:pPr>
              <w:spacing w:after="0"/>
            </w:pPr>
            <w:r/>
            <w:r>
              <w:rPr>
                <w:rFonts w:ascii="Arial" w:hAnsi="Arial"/>
                <w:b w:val="0"/>
                <w:sz w:val="15"/>
              </w:rPr>
              <w:t>Automated redaction tests and log scanning.</w:t>
            </w:r>
          </w:p>
        </w:tc>
      </w:tr>
      <w:tr>
        <w:tc>
          <w:tcPr>
            <w:tcW w:type="dxa" w:w="2880"/>
            <w:vAlign w:val="center"/>
          </w:tcPr>
          <w:p>
            <w:pPr>
              <w:spacing w:after="0"/>
            </w:pPr>
            <w:r/>
            <w:r>
              <w:rPr>
                <w:rFonts w:ascii="Arial" w:hAnsi="Arial"/>
                <w:b w:val="0"/>
                <w:sz w:val="15"/>
              </w:rPr>
              <w:t>Kill switches</w:t>
            </w:r>
          </w:p>
        </w:tc>
        <w:tc>
          <w:tcPr>
            <w:tcW w:type="dxa" w:w="6912"/>
            <w:vAlign w:val="center"/>
          </w:tcPr>
          <w:p>
            <w:pPr>
              <w:spacing w:after="0"/>
            </w:pPr>
            <w:r/>
            <w:r>
              <w:rPr>
                <w:rFonts w:ascii="Arial" w:hAnsi="Arial"/>
                <w:b w:val="0"/>
                <w:sz w:val="15"/>
              </w:rPr>
              <w:t>Partner + Oolix incident revocation tested.</w:t>
            </w:r>
          </w:p>
        </w:tc>
      </w:tr>
      <w:tr>
        <w:tc>
          <w:tcPr>
            <w:tcW w:type="dxa" w:w="2880"/>
            <w:vAlign w:val="center"/>
          </w:tcPr>
          <w:p>
            <w:pPr>
              <w:spacing w:after="0"/>
            </w:pPr>
            <w:r/>
            <w:r>
              <w:rPr>
                <w:rFonts w:ascii="Arial" w:hAnsi="Arial"/>
                <w:b w:val="0"/>
                <w:sz w:val="15"/>
              </w:rPr>
              <w:t>External gates</w:t>
            </w:r>
          </w:p>
        </w:tc>
        <w:tc>
          <w:tcPr>
            <w:tcW w:type="dxa" w:w="6912"/>
            <w:vAlign w:val="center"/>
          </w:tcPr>
          <w:p>
            <w:pPr>
              <w:spacing w:after="0"/>
            </w:pPr>
            <w:r/>
            <w:r>
              <w:rPr>
                <w:rFonts w:ascii="Arial" w:hAnsi="Arial"/>
                <w:b w:val="0"/>
                <w:sz w:val="15"/>
              </w:rPr>
              <w:t>No Meta/Google activation without eligibility + explicit Partner approval.</w:t>
            </w:r>
          </w:p>
        </w:tc>
      </w:tr>
      <w:tr>
        <w:tc>
          <w:tcPr>
            <w:tcW w:type="dxa" w:w="2880"/>
            <w:vAlign w:val="center"/>
          </w:tcPr>
          <w:p>
            <w:pPr>
              <w:spacing w:after="0"/>
            </w:pPr>
            <w:r/>
            <w:r>
              <w:rPr>
                <w:rFonts w:ascii="Arial" w:hAnsi="Arial"/>
                <w:b w:val="0"/>
                <w:sz w:val="15"/>
              </w:rPr>
              <w:t>Dependency/container security</w:t>
            </w:r>
          </w:p>
        </w:tc>
        <w:tc>
          <w:tcPr>
            <w:tcW w:type="dxa" w:w="6912"/>
            <w:vAlign w:val="center"/>
          </w:tcPr>
          <w:p>
            <w:pPr>
              <w:spacing w:after="0"/>
            </w:pPr>
            <w:r/>
            <w:r>
              <w:rPr>
                <w:rFonts w:ascii="Arial" w:hAnsi="Arial"/>
                <w:b w:val="0"/>
                <w:sz w:val="15"/>
              </w:rPr>
              <w:t>SCA/SAST/container scan in CI.</w:t>
            </w:r>
          </w:p>
        </w:tc>
      </w:tr>
      <w:tr>
        <w:tc>
          <w:tcPr>
            <w:tcW w:type="dxa" w:w="2880"/>
            <w:vAlign w:val="center"/>
          </w:tcPr>
          <w:p>
            <w:pPr>
              <w:spacing w:after="0"/>
            </w:pPr>
            <w:r/>
            <w:r>
              <w:rPr>
                <w:rFonts w:ascii="Arial" w:hAnsi="Arial"/>
                <w:b w:val="0"/>
                <w:sz w:val="15"/>
              </w:rPr>
              <w:t>Backups/restore</w:t>
            </w:r>
          </w:p>
        </w:tc>
        <w:tc>
          <w:tcPr>
            <w:tcW w:type="dxa" w:w="6912"/>
            <w:vAlign w:val="center"/>
          </w:tcPr>
          <w:p>
            <w:pPr>
              <w:spacing w:after="0"/>
            </w:pPr>
            <w:r/>
            <w:r>
              <w:rPr>
                <w:rFonts w:ascii="Arial" w:hAnsi="Arial"/>
                <w:b w:val="0"/>
                <w:sz w:val="15"/>
              </w:rPr>
              <w:t>PITR configured and restore drill completed.</w:t>
            </w:r>
          </w:p>
        </w:tc>
      </w:tr>
    </w:tbl>
    <w:p/>
    <w:p>
      <w:pPr>
        <w:pStyle w:val="Heading1"/>
      </w:pPr>
      <w:r>
        <w:t>83. Approval SLA, Payout Disputes and Operational Tasks</w:t>
      </w:r>
    </w:p>
    <w:p>
      <w:pPr>
        <w:pStyle w:val="ListBullet"/>
        <w:spacing w:after="40"/>
      </w:pPr>
      <w:r>
        <w:t>Default Partner request expiry: 7 calendar days if no decision; request moves to EXPIRED operational status and Buyer may resubmit. This is not an automatic approval or rejection.</w:t>
      </w:r>
    </w:p>
    <w:p>
      <w:pPr>
        <w:pStyle w:val="ListBullet"/>
        <w:spacing w:after="40"/>
      </w:pPr>
      <w:r>
        <w:t>Reminder notifications at 48 hours and 24 hours before expiry. Network/Admin cannot approve on Partner's behalf.</w:t>
      </w:r>
    </w:p>
    <w:p>
      <w:pPr>
        <w:pStyle w:val="ListBullet"/>
        <w:spacing w:after="40"/>
      </w:pPr>
      <w:r>
        <w:t>If an approver is unavailable, Partner Admin may add another PARTNER_CAMPAIGN_APPROVER; Oolix Support cannot impersonate approval.</w:t>
      </w:r>
    </w:p>
    <w:p>
      <w:pPr>
        <w:pStyle w:val="ListBullet"/>
        <w:spacing w:after="40"/>
      </w:pPr>
      <w:r>
        <w:t>Every approval/change/rejection/revocation records actor, timestamp, request_version, policy_version, creative_version and reason.</w:t>
      </w:r>
    </w:p>
    <w:p>
      <w:pPr>
        <w:pStyle w:val="Heading2"/>
      </w:pPr>
      <w:r>
        <w:t>83.1 Payout dispute workflow</w:t>
      </w:r>
    </w:p>
    <w:p>
      <w:pPr>
        <w:spacing w:before="40" w:after="80"/>
        <w:ind w:left="259" w:right="144"/>
        <w:shd w:fill="F3F4F6"/>
      </w:pPr>
      <w:r>
        <w:rPr>
          <w:rFonts w:ascii="Courier New" w:hAnsi="Courier New"/>
          <w:sz w:val="14"/>
        </w:rPr>
        <w:t>CALCULATED -&gt; REVIEWED -&gt; APPROVED -&gt; PAID</w:t>
        <w:br/>
        <w:t xml:space="preserve">                   |</w:t>
        <w:br/>
        <w:t xml:space="preserve">                   -&gt; DISPUTED -&gt; ADJUSTED -&gt; APPROVED</w:t>
        <w:br/>
        <w:t xml:space="preserve">                               -&gt; REJECTED_DISPUTE -&gt; APPROVED</w:t>
      </w:r>
    </w:p>
    <w:p>
      <w:pPr>
        <w:pStyle w:val="ListBullet"/>
        <w:spacing w:after="40"/>
      </w:pPr>
      <w:r>
        <w:t>Dispute must reference immutable settlement inputs and reason code.</w:t>
      </w:r>
    </w:p>
    <w:p>
      <w:pPr>
        <w:pStyle w:val="ListBullet"/>
        <w:spacing w:after="40"/>
      </w:pPr>
      <w:r>
        <w:t>Corrections create adjustment FinancialEvents; never mutate historical FinancialEvents.</w:t>
      </w:r>
    </w:p>
    <w:p>
      <w:pPr>
        <w:pStyle w:val="ListBullet"/>
        <w:spacing w:after="40"/>
      </w:pPr>
      <w:r>
        <w:t>Payout remains on hold while DISPUTED.</w:t>
      </w:r>
    </w:p>
    <w:p>
      <w:pPr>
        <w:pStyle w:val="Heading1"/>
      </w:pPr>
      <w:r>
        <w:t>84. External Channel Current Implementation Notes - August 2026</w:t>
      </w:r>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Google correction</w:t>
            </w:r>
          </w:p>
          <w:p>
            <w:pPr>
              <w:spacing w:after="0"/>
            </w:pPr>
            <w:r>
              <w:rPr>
                <w:rFonts w:ascii="Arial" w:hAnsi="Arial"/>
                <w:sz w:val="17"/>
              </w:rPr>
              <w:t>Do not state that Google Ads API Customer Match is universally shut off. As of 1 April 2026, developer tokens without prior Customer Match usage are restricted from Customer Match in Google Ads API and should use Data Manager API. Google states most new Customer Match integrations must use Data Manager API. Data Manager API itself has been generally available since October 2025, although some partner-audience or specialized uploaded-data features/accounts can still require allowlisting.</w:t>
            </w:r>
          </w:p>
        </w:tc>
      </w:tr>
    </w:tbl>
    <w:p/>
    <w:p>
      <w:pPr>
        <w:pStyle w:val="ListBullet"/>
        <w:spacing w:after="40"/>
      </w:pPr>
      <w:r>
        <w:t>Use Data Manager API as Oolix's default new Google integration path.</w:t>
      </w:r>
    </w:p>
    <w:p>
      <w:pPr>
        <w:pStyle w:val="ListBullet"/>
        <w:spacing w:after="40"/>
      </w:pPr>
      <w:r>
        <w:t>Treat partner/third-party audience capabilities as capability flags discovered/verified per account; Google documents allowlist-related error reasons for some uploaded-data/partner audience types.</w:t>
      </w:r>
    </w:p>
    <w:p>
      <w:pPr>
        <w:pStyle w:val="ListBullet"/>
        <w:spacing w:after="40"/>
      </w:pPr>
      <w:r>
        <w:t>Do not sell Google availability before the exact Partner/Buyer/account/licensing model passes a real API proof.</w:t>
      </w:r>
    </w:p>
    <w:p>
      <w:pPr>
        <w:pStyle w:val="ListBullet"/>
        <w:spacing w:after="40"/>
      </w:pPr>
      <w:r>
        <w:t>Meta remains a separate adapter with Partner approval, delegated account authorization, Buyer identity/asset permissions and current Customer List Custom Audience terms checks.</w:t>
      </w:r>
    </w:p>
    <w:p>
      <w:r>
        <w:t>Current Google references: https://developers.google.com/google-ads/api/docs/deprecations ; https://developers.google.com/data-manager/api ; https://developers.google.com/data-manager/api/devguides/audiences/google-ads/customer-match ; https://developers.google.com/data-manager/api/reference/rest/v1/ErrorReason</w:t>
      </w:r>
    </w:p>
    <w:p>
      <w:r>
        <w:t>Meta reference: https://www.facebook.com/legal/terms/customaudience</w:t>
      </w:r>
    </w:p>
    <w:p>
      <w:pPr>
        <w:pStyle w:val="Heading1"/>
      </w:pPr>
      <w:r>
        <w:t>85. One Canonical MVP Build Sequence - Supersedes §29 and §60</w:t>
      </w:r>
    </w:p>
    <w:tbl>
      <w:tblPr>
        <w:tblStyle w:val="TableGrid"/>
        <w:tblW w:type="auto" w:w="0"/>
        <w:jc w:val="center"/>
        <w:tblLook w:firstColumn="1" w:firstRow="1" w:lastColumn="0" w:lastRow="0" w:noHBand="0" w:noVBand="1" w:val="04A0"/>
      </w:tblPr>
      <w:tblGrid>
        <w:gridCol w:w="3485"/>
        <w:gridCol w:w="3485"/>
        <w:gridCol w:w="3485"/>
      </w:tblGrid>
      <w:tr>
        <w:tc>
          <w:tcPr>
            <w:tcW w:type="dxa" w:w="1800"/>
            <w:vAlign w:val="center"/>
            <w:shd w:fill="1B4363"/>
          </w:tcPr>
          <w:p>
            <w:pPr>
              <w:spacing w:after="0"/>
            </w:pPr>
            <w:r/>
            <w:r>
              <w:rPr>
                <w:rFonts w:ascii="Arial" w:hAnsi="Arial"/>
                <w:b/>
                <w:color w:val="FFFFFF"/>
                <w:sz w:val="16"/>
              </w:rPr>
              <w:t>Phase</w:t>
            </w:r>
          </w:p>
        </w:tc>
        <w:tc>
          <w:tcPr>
            <w:tcW w:type="dxa" w:w="4320"/>
            <w:vAlign w:val="center"/>
            <w:shd w:fill="1B4363"/>
          </w:tcPr>
          <w:p>
            <w:pPr>
              <w:spacing w:after="0"/>
            </w:pPr>
            <w:r/>
            <w:r>
              <w:rPr>
                <w:rFonts w:ascii="Arial" w:hAnsi="Arial"/>
                <w:b/>
                <w:color w:val="FFFFFF"/>
                <w:sz w:val="16"/>
              </w:rPr>
              <w:t>Deliverable</w:t>
            </w:r>
          </w:p>
        </w:tc>
        <w:tc>
          <w:tcPr>
            <w:tcW w:type="dxa" w:w="3744"/>
            <w:vAlign w:val="center"/>
            <w:shd w:fill="1B4363"/>
          </w:tcPr>
          <w:p>
            <w:pPr>
              <w:spacing w:after="0"/>
            </w:pPr>
            <w:r/>
            <w:r>
              <w:rPr>
                <w:rFonts w:ascii="Arial" w:hAnsi="Arial"/>
                <w:b/>
                <w:color w:val="FFFFFF"/>
                <w:sz w:val="16"/>
              </w:rPr>
              <w:t>Exit criterion</w:t>
            </w:r>
          </w:p>
        </w:tc>
      </w:tr>
      <w:tr>
        <w:tc>
          <w:tcPr>
            <w:tcW w:type="dxa" w:w="1800"/>
            <w:vAlign w:val="center"/>
          </w:tcPr>
          <w:p>
            <w:pPr>
              <w:spacing w:after="0"/>
            </w:pPr>
            <w:r/>
            <w:r>
              <w:rPr>
                <w:rFonts w:ascii="Arial" w:hAnsi="Arial"/>
                <w:b w:val="0"/>
                <w:sz w:val="15"/>
              </w:rPr>
              <w:t>0 Foundations</w:t>
            </w:r>
          </w:p>
        </w:tc>
        <w:tc>
          <w:tcPr>
            <w:tcW w:type="dxa" w:w="4320"/>
            <w:vAlign w:val="center"/>
          </w:tcPr>
          <w:p>
            <w:pPr>
              <w:spacing w:after="0"/>
            </w:pPr>
            <w:r/>
            <w:r>
              <w:rPr>
                <w:rFonts w:ascii="Arial" w:hAnsi="Arial"/>
                <w:b w:val="0"/>
                <w:sz w:val="15"/>
              </w:rPr>
              <w:t>Repo, CI/CD, environments, OIDC, org/RBAC, canonical DB migrations, audit, local docker-compose.</w:t>
            </w:r>
          </w:p>
        </w:tc>
        <w:tc>
          <w:tcPr>
            <w:tcW w:type="dxa" w:w="3744"/>
            <w:vAlign w:val="center"/>
          </w:tcPr>
          <w:p>
            <w:pPr>
              <w:spacing w:after="0"/>
            </w:pPr>
            <w:r/>
            <w:r>
              <w:rPr>
                <w:rFonts w:ascii="Arial" w:hAnsi="Arial"/>
                <w:b w:val="0"/>
                <w:sz w:val="15"/>
              </w:rPr>
              <w:t>Quickstart works from clean clone.</w:t>
            </w:r>
          </w:p>
        </w:tc>
      </w:tr>
      <w:tr>
        <w:tc>
          <w:tcPr>
            <w:tcW w:type="dxa" w:w="1800"/>
            <w:vAlign w:val="center"/>
          </w:tcPr>
          <w:p>
            <w:pPr>
              <w:spacing w:after="0"/>
            </w:pPr>
            <w:r/>
            <w:r>
              <w:rPr>
                <w:rFonts w:ascii="Arial" w:hAnsi="Arial"/>
                <w:b w:val="0"/>
                <w:sz w:val="15"/>
              </w:rPr>
              <w:t>1 Partner Supply</w:t>
            </w:r>
          </w:p>
        </w:tc>
        <w:tc>
          <w:tcPr>
            <w:tcW w:type="dxa" w:w="4320"/>
            <w:vAlign w:val="center"/>
          </w:tcPr>
          <w:p>
            <w:pPr>
              <w:spacing w:after="0"/>
            </w:pPr>
            <w:r/>
            <w:r>
              <w:rPr>
                <w:rFonts w:ascii="Arial" w:hAnsi="Arial"/>
                <w:b w:val="0"/>
                <w:sz w:val="15"/>
              </w:rPr>
              <w:t>Partner profile/policy, segments, reach buckets, placements, Agent registration/heartbeat, mock Partner.</w:t>
            </w:r>
          </w:p>
        </w:tc>
        <w:tc>
          <w:tcPr>
            <w:tcW w:type="dxa" w:w="3744"/>
            <w:vAlign w:val="center"/>
          </w:tcPr>
          <w:p>
            <w:pPr>
              <w:spacing w:after="0"/>
            </w:pPr>
            <w:r/>
            <w:r>
              <w:rPr>
                <w:rFonts w:ascii="Arial" w:hAnsi="Arial"/>
                <w:b w:val="0"/>
                <w:sz w:val="15"/>
              </w:rPr>
              <w:t>Partner reaches READY_FOR_CAMPAIGNS in sandbox.</w:t>
            </w:r>
          </w:p>
        </w:tc>
      </w:tr>
      <w:tr>
        <w:tc>
          <w:tcPr>
            <w:tcW w:type="dxa" w:w="1800"/>
            <w:vAlign w:val="center"/>
          </w:tcPr>
          <w:p>
            <w:pPr>
              <w:spacing w:after="0"/>
            </w:pPr>
            <w:r/>
            <w:r>
              <w:rPr>
                <w:rFonts w:ascii="Arial" w:hAnsi="Arial"/>
                <w:b w:val="0"/>
                <w:sz w:val="15"/>
              </w:rPr>
              <w:t>2 Catalogue + Campaign</w:t>
            </w:r>
          </w:p>
        </w:tc>
        <w:tc>
          <w:tcPr>
            <w:tcW w:type="dxa" w:w="4320"/>
            <w:vAlign w:val="center"/>
          </w:tcPr>
          <w:p>
            <w:pPr>
              <w:spacing w:after="0"/>
            </w:pPr>
            <w:r/>
            <w:r>
              <w:rPr>
                <w:rFonts w:ascii="Arial" w:hAnsi="Arial"/>
                <w:b w:val="0"/>
                <w:sz w:val="15"/>
              </w:rPr>
              <w:t>Audience filters, campaign steps 1-9, creative upload/versioning, budgets.</w:t>
            </w:r>
          </w:p>
        </w:tc>
        <w:tc>
          <w:tcPr>
            <w:tcW w:type="dxa" w:w="3744"/>
            <w:vAlign w:val="center"/>
          </w:tcPr>
          <w:p>
            <w:pPr>
              <w:spacing w:after="0"/>
            </w:pPr>
            <w:r/>
            <w:r>
              <w:rPr>
                <w:rFonts w:ascii="Arial" w:hAnsi="Arial"/>
                <w:b w:val="0"/>
                <w:sz w:val="15"/>
              </w:rPr>
              <w:t>Buyer can create multi-Partner draft.</w:t>
            </w:r>
          </w:p>
        </w:tc>
      </w:tr>
      <w:tr>
        <w:tc>
          <w:tcPr>
            <w:tcW w:type="dxa" w:w="1800"/>
            <w:vAlign w:val="center"/>
          </w:tcPr>
          <w:p>
            <w:pPr>
              <w:spacing w:after="0"/>
            </w:pPr>
            <w:r/>
            <w:r>
              <w:rPr>
                <w:rFonts w:ascii="Arial" w:hAnsi="Arial"/>
                <w:b w:val="0"/>
                <w:sz w:val="15"/>
              </w:rPr>
              <w:t>3 Approval + Manifest</w:t>
            </w:r>
          </w:p>
        </w:tc>
        <w:tc>
          <w:tcPr>
            <w:tcW w:type="dxa" w:w="4320"/>
            <w:vAlign w:val="center"/>
          </w:tcPr>
          <w:p>
            <w:pPr>
              <w:spacing w:after="0"/>
            </w:pPr>
            <w:r/>
            <w:r>
              <w:rPr>
                <w:rFonts w:ascii="Arial" w:hAnsi="Arial"/>
                <w:b w:val="0"/>
                <w:sz w:val="15"/>
              </w:rPr>
              <w:t>Partner review, change/reject/approve, ES256 manifests, control sync.</w:t>
            </w:r>
          </w:p>
        </w:tc>
        <w:tc>
          <w:tcPr>
            <w:tcW w:type="dxa" w:w="3744"/>
            <w:vAlign w:val="center"/>
          </w:tcPr>
          <w:p>
            <w:pPr>
              <w:spacing w:after="0"/>
            </w:pPr>
            <w:r/>
            <w:r>
              <w:rPr>
                <w:rFonts w:ascii="Arial" w:hAnsi="Arial"/>
                <w:b w:val="0"/>
                <w:sz w:val="15"/>
              </w:rPr>
              <w:t>Agent accepts valid manifest and rejects tampered/expired.</w:t>
            </w:r>
          </w:p>
        </w:tc>
      </w:tr>
      <w:tr>
        <w:tc>
          <w:tcPr>
            <w:tcW w:type="dxa" w:w="1800"/>
            <w:vAlign w:val="center"/>
          </w:tcPr>
          <w:p>
            <w:pPr>
              <w:spacing w:after="0"/>
            </w:pPr>
            <w:r/>
            <w:r>
              <w:rPr>
                <w:rFonts w:ascii="Arial" w:hAnsi="Arial"/>
                <w:b w:val="0"/>
                <w:sz w:val="15"/>
              </w:rPr>
              <w:t>4 Owned Web MVP</w:t>
            </w:r>
          </w:p>
        </w:tc>
        <w:tc>
          <w:tcPr>
            <w:tcW w:type="dxa" w:w="4320"/>
            <w:vAlign w:val="center"/>
          </w:tcPr>
          <w:p>
            <w:pPr>
              <w:spacing w:after="0"/>
            </w:pPr>
            <w:r/>
            <w:r>
              <w:rPr>
                <w:rFonts w:ascii="Arial" w:hAnsi="Arial"/>
                <w:b w:val="0"/>
                <w:sz w:val="15"/>
              </w:rPr>
              <w:t>Connector, local membership, shared/embedded state, ad-decision, web SDK, NO_AD/fallback.</w:t>
            </w:r>
          </w:p>
        </w:tc>
        <w:tc>
          <w:tcPr>
            <w:tcW w:type="dxa" w:w="3744"/>
            <w:vAlign w:val="center"/>
          </w:tcPr>
          <w:p>
            <w:pPr>
              <w:spacing w:after="0"/>
            </w:pPr>
            <w:r/>
            <w:r>
              <w:rPr>
                <w:rFonts w:ascii="Arial" w:hAnsi="Arial"/>
                <w:b w:val="0"/>
                <w:sz w:val="15"/>
              </w:rPr>
              <w:t>Eligible user sees ad without central user ID.</w:t>
            </w:r>
          </w:p>
        </w:tc>
      </w:tr>
      <w:tr>
        <w:tc>
          <w:tcPr>
            <w:tcW w:type="dxa" w:w="1800"/>
            <w:vAlign w:val="center"/>
          </w:tcPr>
          <w:p>
            <w:pPr>
              <w:spacing w:after="0"/>
            </w:pPr>
            <w:r/>
            <w:r>
              <w:rPr>
                <w:rFonts w:ascii="Arial" w:hAnsi="Arial"/>
                <w:b w:val="0"/>
                <w:sz w:val="15"/>
              </w:rPr>
              <w:t>5 Attribution + Reporting</w:t>
            </w:r>
          </w:p>
        </w:tc>
        <w:tc>
          <w:tcPr>
            <w:tcW w:type="dxa" w:w="4320"/>
            <w:vAlign w:val="center"/>
          </w:tcPr>
          <w:p>
            <w:pPr>
              <w:spacing w:after="0"/>
            </w:pPr>
            <w:r/>
            <w:r>
              <w:rPr>
                <w:rFonts w:ascii="Arial" w:hAnsi="Arial"/>
                <w:b w:val="0"/>
                <w:sz w:val="15"/>
              </w:rPr>
              <w:t>Opaque tokens, CRM auth/events, aggregate reporting, reconciliation.</w:t>
            </w:r>
          </w:p>
        </w:tc>
        <w:tc>
          <w:tcPr>
            <w:tcW w:type="dxa" w:w="3744"/>
            <w:vAlign w:val="center"/>
          </w:tcPr>
          <w:p>
            <w:pPr>
              <w:spacing w:after="0"/>
            </w:pPr>
            <w:r/>
            <w:r>
              <w:rPr>
                <w:rFonts w:ascii="Arial" w:hAnsi="Arial"/>
                <w:b w:val="0"/>
                <w:sz w:val="15"/>
              </w:rPr>
              <w:t>Qualified lead maps to activation.</w:t>
            </w:r>
          </w:p>
        </w:tc>
      </w:tr>
      <w:tr>
        <w:tc>
          <w:tcPr>
            <w:tcW w:type="dxa" w:w="1800"/>
            <w:vAlign w:val="center"/>
          </w:tcPr>
          <w:p>
            <w:pPr>
              <w:spacing w:after="0"/>
            </w:pPr>
            <w:r/>
            <w:r>
              <w:rPr>
                <w:rFonts w:ascii="Arial" w:hAnsi="Arial"/>
                <w:b w:val="0"/>
                <w:sz w:val="15"/>
              </w:rPr>
              <w:t>6 Multi-Partner Hardening</w:t>
            </w:r>
          </w:p>
        </w:tc>
        <w:tc>
          <w:tcPr>
            <w:tcW w:type="dxa" w:w="4320"/>
            <w:vAlign w:val="center"/>
          </w:tcPr>
          <w:p>
            <w:pPr>
              <w:spacing w:after="0"/>
            </w:pPr>
            <w:r/>
            <w:r>
              <w:rPr>
                <w:rFonts w:ascii="Arial" w:hAnsi="Arial"/>
                <w:b w:val="0"/>
                <w:sz w:val="15"/>
              </w:rPr>
              <w:t>Independent activations, partial-live states, retries/idempotency, dashboards.</w:t>
            </w:r>
          </w:p>
        </w:tc>
        <w:tc>
          <w:tcPr>
            <w:tcW w:type="dxa" w:w="3744"/>
            <w:vAlign w:val="center"/>
          </w:tcPr>
          <w:p>
            <w:pPr>
              <w:spacing w:after="0"/>
            </w:pPr>
            <w:r/>
            <w:r>
              <w:rPr>
                <w:rFonts w:ascii="Arial" w:hAnsi="Arial"/>
                <w:b w:val="0"/>
                <w:sz w:val="15"/>
              </w:rPr>
              <w:t>One campaign runs across 2+ Partners independently.</w:t>
            </w:r>
          </w:p>
        </w:tc>
      </w:tr>
      <w:tr>
        <w:tc>
          <w:tcPr>
            <w:tcW w:type="dxa" w:w="1800"/>
            <w:vAlign w:val="center"/>
          </w:tcPr>
          <w:p>
            <w:pPr>
              <w:spacing w:after="0"/>
            </w:pPr>
            <w:r/>
            <w:r>
              <w:rPr>
                <w:rFonts w:ascii="Arial" w:hAnsi="Arial"/>
                <w:b w:val="0"/>
                <w:sz w:val="15"/>
              </w:rPr>
              <w:t>7 Billing/Payout</w:t>
            </w:r>
          </w:p>
        </w:tc>
        <w:tc>
          <w:tcPr>
            <w:tcW w:type="dxa" w:w="4320"/>
            <w:vAlign w:val="center"/>
          </w:tcPr>
          <w:p>
            <w:pPr>
              <w:spacing w:after="0"/>
            </w:pPr>
            <w:r/>
            <w:r>
              <w:rPr>
                <w:rFonts w:ascii="Arial" w:hAnsi="Arial"/>
                <w:b w:val="0"/>
                <w:sz w:val="15"/>
              </w:rPr>
              <w:t>Commercial terms, FinancialEvents, invoice/payout preview, dispute/reconciliation.</w:t>
            </w:r>
          </w:p>
        </w:tc>
        <w:tc>
          <w:tcPr>
            <w:tcW w:type="dxa" w:w="3744"/>
            <w:vAlign w:val="center"/>
          </w:tcPr>
          <w:p>
            <w:pPr>
              <w:spacing w:after="0"/>
            </w:pPr>
            <w:r/>
            <w:r>
              <w:rPr>
                <w:rFonts w:ascii="Arial" w:hAnsi="Arial"/>
                <w:b w:val="0"/>
                <w:sz w:val="15"/>
              </w:rPr>
              <w:t>Pilot settlement reproducible.</w:t>
            </w:r>
          </w:p>
        </w:tc>
      </w:tr>
      <w:tr>
        <w:tc>
          <w:tcPr>
            <w:tcW w:type="dxa" w:w="1800"/>
            <w:vAlign w:val="center"/>
          </w:tcPr>
          <w:p>
            <w:pPr>
              <w:spacing w:after="0"/>
            </w:pPr>
            <w:r/>
            <w:r>
              <w:rPr>
                <w:rFonts w:ascii="Arial" w:hAnsi="Arial"/>
                <w:b w:val="0"/>
                <w:sz w:val="15"/>
              </w:rPr>
              <w:t>8 Mobile</w:t>
            </w:r>
          </w:p>
        </w:tc>
        <w:tc>
          <w:tcPr>
            <w:tcW w:type="dxa" w:w="4320"/>
            <w:vAlign w:val="center"/>
          </w:tcPr>
          <w:p>
            <w:pPr>
              <w:spacing w:after="0"/>
            </w:pPr>
            <w:r/>
            <w:r>
              <w:rPr>
                <w:rFonts w:ascii="Arial" w:hAnsi="Arial"/>
                <w:b w:val="0"/>
                <w:sz w:val="15"/>
              </w:rPr>
              <w:t>First design Partner's mobile stack only.</w:t>
            </w:r>
          </w:p>
        </w:tc>
        <w:tc>
          <w:tcPr>
            <w:tcW w:type="dxa" w:w="3744"/>
            <w:vAlign w:val="center"/>
          </w:tcPr>
          <w:p>
            <w:pPr>
              <w:spacing w:after="0"/>
            </w:pPr>
            <w:r/>
            <w:r>
              <w:rPr>
                <w:rFonts w:ascii="Arial" w:hAnsi="Arial"/>
                <w:b w:val="0"/>
                <w:sz w:val="15"/>
              </w:rPr>
              <w:t>Same local-decision privacy rules on mobile.</w:t>
            </w:r>
          </w:p>
        </w:tc>
      </w:tr>
      <w:tr>
        <w:tc>
          <w:tcPr>
            <w:tcW w:type="dxa" w:w="1800"/>
            <w:vAlign w:val="center"/>
          </w:tcPr>
          <w:p>
            <w:pPr>
              <w:spacing w:after="0"/>
            </w:pPr>
            <w:r/>
            <w:r>
              <w:rPr>
                <w:rFonts w:ascii="Arial" w:hAnsi="Arial"/>
                <w:b w:val="0"/>
                <w:sz w:val="15"/>
              </w:rPr>
              <w:t>9 Meta Pilot</w:t>
            </w:r>
          </w:p>
        </w:tc>
        <w:tc>
          <w:tcPr>
            <w:tcW w:type="dxa" w:w="4320"/>
            <w:vAlign w:val="center"/>
          </w:tcPr>
          <w:p>
            <w:pPr>
              <w:spacing w:after="0"/>
            </w:pPr>
            <w:r/>
            <w:r>
              <w:rPr>
                <w:rFonts w:ascii="Arial" w:hAnsi="Arial"/>
                <w:b w:val="0"/>
                <w:sz w:val="15"/>
              </w:rPr>
              <w:t>One Partner+Buyer+account topology; eligibility; local upload; reporting/cleanup.</w:t>
            </w:r>
          </w:p>
        </w:tc>
        <w:tc>
          <w:tcPr>
            <w:tcW w:type="dxa" w:w="3744"/>
            <w:vAlign w:val="center"/>
          </w:tcPr>
          <w:p>
            <w:pPr>
              <w:spacing w:after="0"/>
            </w:pPr>
            <w:r/>
            <w:r>
              <w:rPr>
                <w:rFonts w:ascii="Arial" w:hAnsi="Arial"/>
                <w:b w:val="0"/>
                <w:sz w:val="15"/>
              </w:rPr>
              <w:t>Production-like proof with approved account.</w:t>
            </w:r>
          </w:p>
        </w:tc>
      </w:tr>
      <w:tr>
        <w:tc>
          <w:tcPr>
            <w:tcW w:type="dxa" w:w="1800"/>
            <w:vAlign w:val="center"/>
          </w:tcPr>
          <w:p>
            <w:pPr>
              <w:spacing w:after="0"/>
            </w:pPr>
            <w:r/>
            <w:r>
              <w:rPr>
                <w:rFonts w:ascii="Arial" w:hAnsi="Arial"/>
                <w:b w:val="0"/>
                <w:sz w:val="15"/>
              </w:rPr>
              <w:t>10 Google Pilot</w:t>
            </w:r>
          </w:p>
        </w:tc>
        <w:tc>
          <w:tcPr>
            <w:tcW w:type="dxa" w:w="4320"/>
            <w:vAlign w:val="center"/>
          </w:tcPr>
          <w:p>
            <w:pPr>
              <w:spacing w:after="0"/>
            </w:pPr>
            <w:r/>
            <w:r>
              <w:rPr>
                <w:rFonts w:ascii="Arial" w:hAnsi="Arial"/>
                <w:b w:val="0"/>
                <w:sz w:val="15"/>
              </w:rPr>
              <w:t>Data Manager API proof after exact eligible account/partner model verified.</w:t>
            </w:r>
          </w:p>
        </w:tc>
        <w:tc>
          <w:tcPr>
            <w:tcW w:type="dxa" w:w="3744"/>
            <w:vAlign w:val="center"/>
          </w:tcPr>
          <w:p>
            <w:pPr>
              <w:spacing w:after="0"/>
            </w:pPr>
            <w:r/>
            <w:r>
              <w:rPr>
                <w:rFonts w:ascii="Arial" w:hAnsi="Arial"/>
                <w:b w:val="0"/>
                <w:sz w:val="15"/>
              </w:rPr>
              <w:t>Audience ingest/status/reporting/cleanup proof.</w:t>
            </w:r>
          </w:p>
        </w:tc>
      </w:tr>
      <w:tr>
        <w:tc>
          <w:tcPr>
            <w:tcW w:type="dxa" w:w="1800"/>
            <w:vAlign w:val="center"/>
          </w:tcPr>
          <w:p>
            <w:pPr>
              <w:spacing w:after="0"/>
            </w:pPr>
            <w:r/>
            <w:r>
              <w:rPr>
                <w:rFonts w:ascii="Arial" w:hAnsi="Arial"/>
                <w:b w:val="0"/>
                <w:sz w:val="15"/>
              </w:rPr>
              <w:t>Later TEE</w:t>
            </w:r>
          </w:p>
        </w:tc>
        <w:tc>
          <w:tcPr>
            <w:tcW w:type="dxa" w:w="4320"/>
            <w:vAlign w:val="center"/>
          </w:tcPr>
          <w:p>
            <w:pPr>
              <w:spacing w:after="0"/>
            </w:pPr>
            <w:r/>
            <w:r>
              <w:rPr>
                <w:rFonts w:ascii="Arial" w:hAnsi="Arial"/>
                <w:b w:val="0"/>
                <w:sz w:val="15"/>
              </w:rPr>
              <w:t>Cross-Partner overlap/dedupe/union only after demand.</w:t>
            </w:r>
          </w:p>
        </w:tc>
        <w:tc>
          <w:tcPr>
            <w:tcW w:type="dxa" w:w="3744"/>
            <w:vAlign w:val="center"/>
          </w:tcPr>
          <w:p>
            <w:pPr>
              <w:spacing w:after="0"/>
            </w:pPr>
            <w:r/>
            <w:r>
              <w:rPr>
                <w:rFonts w:ascii="Arial" w:hAnsi="Arial"/>
                <w:b w:val="0"/>
                <w:sz w:val="15"/>
              </w:rPr>
              <w:t>No MVP dependency.</w:t>
            </w:r>
          </w:p>
        </w:tc>
      </w:tr>
    </w:tbl>
    <w:p/>
    <w:p>
      <w:pPr>
        <w:pStyle w:val="Heading1"/>
      </w:pPr>
      <w:r>
        <w:t>86. API Pagination, Filtering, Rate Limits and OpenAPI</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pPr>
              <w:spacing w:after="0"/>
            </w:pPr>
            <w:r/>
            <w:r>
              <w:rPr>
                <w:rFonts w:ascii="Arial" w:hAnsi="Arial"/>
                <w:b/>
                <w:color w:val="FFFFFF"/>
                <w:sz w:val="16"/>
              </w:rPr>
              <w:t>API class</w:t>
            </w:r>
          </w:p>
        </w:tc>
        <w:tc>
          <w:tcPr>
            <w:tcW w:type="dxa" w:w="6624"/>
            <w:vAlign w:val="center"/>
            <w:shd w:fill="1B4363"/>
          </w:tcPr>
          <w:p>
            <w:pPr>
              <w:spacing w:after="0"/>
            </w:pPr>
            <w:r/>
            <w:r>
              <w:rPr>
                <w:rFonts w:ascii="Arial" w:hAnsi="Arial"/>
                <w:b/>
                <w:color w:val="FFFFFF"/>
                <w:sz w:val="16"/>
              </w:rPr>
              <w:t>Default limit</w:t>
            </w:r>
          </w:p>
        </w:tc>
      </w:tr>
      <w:tr>
        <w:tc>
          <w:tcPr>
            <w:tcW w:type="dxa" w:w="3168"/>
            <w:vAlign w:val="center"/>
          </w:tcPr>
          <w:p>
            <w:pPr>
              <w:spacing w:after="0"/>
            </w:pPr>
            <w:r/>
            <w:r>
              <w:rPr>
                <w:rFonts w:ascii="Arial" w:hAnsi="Arial"/>
                <w:b w:val="0"/>
                <w:sz w:val="15"/>
              </w:rPr>
              <w:t>Authenticated user reads</w:t>
            </w:r>
          </w:p>
        </w:tc>
        <w:tc>
          <w:tcPr>
            <w:tcW w:type="dxa" w:w="6624"/>
            <w:vAlign w:val="center"/>
          </w:tcPr>
          <w:p>
            <w:pPr>
              <w:spacing w:after="0"/>
            </w:pPr>
            <w:r/>
            <w:r>
              <w:rPr>
                <w:rFonts w:ascii="Arial" w:hAnsi="Arial"/>
                <w:b w:val="0"/>
                <w:sz w:val="15"/>
              </w:rPr>
              <w:t>300 requests/min/org/user; burst controlled.</w:t>
            </w:r>
          </w:p>
        </w:tc>
      </w:tr>
      <w:tr>
        <w:tc>
          <w:tcPr>
            <w:tcW w:type="dxa" w:w="3168"/>
            <w:vAlign w:val="center"/>
          </w:tcPr>
          <w:p>
            <w:pPr>
              <w:spacing w:after="0"/>
            </w:pPr>
            <w:r/>
            <w:r>
              <w:rPr>
                <w:rFonts w:ascii="Arial" w:hAnsi="Arial"/>
                <w:b w:val="0"/>
                <w:sz w:val="15"/>
              </w:rPr>
              <w:t>Campaign writes</w:t>
            </w:r>
          </w:p>
        </w:tc>
        <w:tc>
          <w:tcPr>
            <w:tcW w:type="dxa" w:w="6624"/>
            <w:vAlign w:val="center"/>
          </w:tcPr>
          <w:p>
            <w:pPr>
              <w:spacing w:after="0"/>
            </w:pPr>
            <w:r/>
            <w:r>
              <w:rPr>
                <w:rFonts w:ascii="Arial" w:hAnsi="Arial"/>
                <w:b w:val="0"/>
                <w:sz w:val="15"/>
              </w:rPr>
              <w:t>60 requests/min/org; Idempotency-Key required for submit/decision operations.</w:t>
            </w:r>
          </w:p>
        </w:tc>
      </w:tr>
      <w:tr>
        <w:tc>
          <w:tcPr>
            <w:tcW w:type="dxa" w:w="3168"/>
            <w:vAlign w:val="center"/>
          </w:tcPr>
          <w:p>
            <w:pPr>
              <w:spacing w:after="0"/>
            </w:pPr>
            <w:r/>
            <w:r>
              <w:rPr>
                <w:rFonts w:ascii="Arial" w:hAnsi="Arial"/>
                <w:b w:val="0"/>
                <w:sz w:val="15"/>
              </w:rPr>
              <w:t>Catalogue search</w:t>
            </w:r>
          </w:p>
        </w:tc>
        <w:tc>
          <w:tcPr>
            <w:tcW w:type="dxa" w:w="6624"/>
            <w:vAlign w:val="center"/>
          </w:tcPr>
          <w:p>
            <w:pPr>
              <w:spacing w:after="0"/>
            </w:pPr>
            <w:r/>
            <w:r>
              <w:rPr>
                <w:rFonts w:ascii="Arial" w:hAnsi="Arial"/>
                <w:b w:val="0"/>
                <w:sz w:val="15"/>
              </w:rPr>
              <w:t>120 requests/min/org.</w:t>
            </w:r>
          </w:p>
        </w:tc>
      </w:tr>
      <w:tr>
        <w:tc>
          <w:tcPr>
            <w:tcW w:type="dxa" w:w="3168"/>
            <w:vAlign w:val="center"/>
          </w:tcPr>
          <w:p>
            <w:pPr>
              <w:spacing w:after="0"/>
            </w:pPr>
            <w:r/>
            <w:r>
              <w:rPr>
                <w:rFonts w:ascii="Arial" w:hAnsi="Arial"/>
                <w:b w:val="0"/>
                <w:sz w:val="15"/>
              </w:rPr>
              <w:t>Agent heartbeat/config</w:t>
            </w:r>
          </w:p>
        </w:tc>
        <w:tc>
          <w:tcPr>
            <w:tcW w:type="dxa" w:w="6624"/>
            <w:vAlign w:val="center"/>
          </w:tcPr>
          <w:p>
            <w:pPr>
              <w:spacing w:after="0"/>
            </w:pPr>
            <w:r/>
            <w:r>
              <w:rPr>
                <w:rFonts w:ascii="Arial" w:hAnsi="Arial"/>
                <w:b w:val="0"/>
                <w:sz w:val="15"/>
              </w:rPr>
              <w:t>120 requests/min/agent.</w:t>
            </w:r>
          </w:p>
        </w:tc>
      </w:tr>
      <w:tr>
        <w:tc>
          <w:tcPr>
            <w:tcW w:type="dxa" w:w="3168"/>
            <w:vAlign w:val="center"/>
          </w:tcPr>
          <w:p>
            <w:pPr>
              <w:spacing w:after="0"/>
            </w:pPr>
            <w:r/>
            <w:r>
              <w:rPr>
                <w:rFonts w:ascii="Arial" w:hAnsi="Arial"/>
                <w:b w:val="0"/>
                <w:sz w:val="15"/>
              </w:rPr>
              <w:t>Agent reporting batches</w:t>
            </w:r>
          </w:p>
        </w:tc>
        <w:tc>
          <w:tcPr>
            <w:tcW w:type="dxa" w:w="6624"/>
            <w:vAlign w:val="center"/>
          </w:tcPr>
          <w:p>
            <w:pPr>
              <w:spacing w:after="0"/>
            </w:pPr>
            <w:r/>
            <w:r>
              <w:rPr>
                <w:rFonts w:ascii="Arial" w:hAnsi="Arial"/>
                <w:b w:val="0"/>
                <w:sz w:val="15"/>
              </w:rPr>
              <w:t>60 requests/min/agent; batch events rather than per impression.</w:t>
            </w:r>
          </w:p>
        </w:tc>
      </w:tr>
      <w:tr>
        <w:tc>
          <w:tcPr>
            <w:tcW w:type="dxa" w:w="3168"/>
            <w:vAlign w:val="center"/>
          </w:tcPr>
          <w:p>
            <w:pPr>
              <w:spacing w:after="0"/>
            </w:pPr>
            <w:r/>
            <w:r>
              <w:rPr>
                <w:rFonts w:ascii="Arial" w:hAnsi="Arial"/>
                <w:b w:val="0"/>
                <w:sz w:val="15"/>
              </w:rPr>
              <w:t>CRM lead events</w:t>
            </w:r>
          </w:p>
        </w:tc>
        <w:tc>
          <w:tcPr>
            <w:tcW w:type="dxa" w:w="6624"/>
            <w:vAlign w:val="center"/>
          </w:tcPr>
          <w:p>
            <w:pPr>
              <w:spacing w:after="0"/>
            </w:pPr>
            <w:r/>
            <w:r>
              <w:rPr>
                <w:rFonts w:ascii="Arial" w:hAnsi="Arial"/>
                <w:b w:val="0"/>
                <w:sz w:val="15"/>
              </w:rPr>
              <w:t>120 requests/min/Buyer integration; higher by approved contract.</w:t>
            </w:r>
          </w:p>
        </w:tc>
      </w:tr>
      <w:tr>
        <w:tc>
          <w:tcPr>
            <w:tcW w:type="dxa" w:w="3168"/>
            <w:vAlign w:val="center"/>
          </w:tcPr>
          <w:p>
            <w:pPr>
              <w:spacing w:after="0"/>
            </w:pPr>
            <w:r/>
            <w:r>
              <w:rPr>
                <w:rFonts w:ascii="Arial" w:hAnsi="Arial"/>
                <w:b w:val="0"/>
                <w:sz w:val="15"/>
              </w:rPr>
              <w:t>Signup/verification</w:t>
            </w:r>
          </w:p>
        </w:tc>
        <w:tc>
          <w:tcPr>
            <w:tcW w:type="dxa" w:w="6624"/>
            <w:vAlign w:val="center"/>
          </w:tcPr>
          <w:p>
            <w:pPr>
              <w:spacing w:after="0"/>
            </w:pPr>
            <w:r/>
            <w:r>
              <w:rPr>
                <w:rFonts w:ascii="Arial" w:hAnsi="Arial"/>
                <w:b w:val="0"/>
                <w:sz w:val="15"/>
              </w:rPr>
              <w:t>5 attempts/min/IP + anti-abuse controls.</w:t>
            </w:r>
          </w:p>
        </w:tc>
      </w:tr>
    </w:tbl>
    <w:p/>
    <w:p>
      <w:pPr>
        <w:pStyle w:val="ListBullet"/>
        <w:spacing w:after="40"/>
      </w:pPr>
      <w:r>
        <w:t>Pagination is cursor-based. Default page size 25; maximum 100.</w:t>
      </w:r>
    </w:p>
    <w:p>
      <w:pPr>
        <w:pStyle w:val="ListBullet"/>
        <w:spacing w:after="40"/>
      </w:pPr>
      <w:r>
        <w:t>Sorting format: sort=field:asc|desc from an allow-list. Unknown sort/filter fields return VAL_001.</w:t>
      </w:r>
    </w:p>
    <w:p>
      <w:pPr>
        <w:pStyle w:val="ListBullet"/>
        <w:spacing w:after="40"/>
      </w:pPr>
      <w:r>
        <w:t>Catalogue filters are AND across different fields, OR within repeated values of one multi-select field.</w:t>
      </w:r>
    </w:p>
    <w:p>
      <w:pPr>
        <w:pStyle w:val="ListBullet"/>
        <w:spacing w:after="40"/>
      </w:pPr>
      <w:r>
        <w:t>Bulk operations are limited to administrative/reporting use; campaign approval remains explicit per Partner request.</w:t>
      </w:r>
    </w:p>
    <w:p>
      <w:pPr>
        <w:pStyle w:val="ListBullet"/>
        <w:spacing w:after="40"/>
      </w:pPr>
      <w:r>
        <w:t>OpenAPI 3.1 file in the implementation pack is canonical for HTTP shapes. CI validates generated server/client types against it.</w:t>
      </w:r>
    </w:p>
    <w:p>
      <w:pPr>
        <w:pStyle w:val="Heading1"/>
      </w:pPr>
      <w:r>
        <w:t>87. MVP Go-Live Checklist</w:t>
      </w:r>
    </w:p>
    <w:p>
      <w:pPr>
        <w:pStyle w:val="Heading2"/>
      </w:pPr>
      <w:r>
        <w:t>87.1 Technical</w:t>
      </w:r>
    </w:p>
    <w:p>
      <w:pPr>
        <w:pStyle w:val="ListBullet"/>
        <w:spacing w:after="40"/>
      </w:pPr>
      <w:r>
        <w:t>Production/staging environments separated; backups and PITR enabled.</w:t>
      </w:r>
    </w:p>
    <w:p>
      <w:pPr>
        <w:pStyle w:val="ListBullet"/>
        <w:spacing w:after="40"/>
      </w:pPr>
      <w:r>
        <w:t>All secrets in secret managers; no seed credentials or dev IdP users in production.</w:t>
      </w:r>
    </w:p>
    <w:p>
      <w:pPr>
        <w:pStyle w:val="ListBullet"/>
        <w:spacing w:after="40"/>
      </w:pPr>
      <w:r>
        <w:t>OIDC/MFA/RBAC and organization isolation penetration-tested at least at application level.</w:t>
      </w:r>
    </w:p>
    <w:p>
      <w:pPr>
        <w:pStyle w:val="ListBullet"/>
        <w:spacing w:after="40"/>
      </w:pPr>
      <w:r>
        <w:t>Agent registration, key rotation and emergency revocation tested.</w:t>
      </w:r>
    </w:p>
    <w:p>
      <w:pPr>
        <w:pStyle w:val="ListBullet"/>
        <w:spacing w:after="40"/>
      </w:pPr>
      <w:r>
        <w:t>Manifest tamper/expiry tests pass.</w:t>
      </w:r>
    </w:p>
    <w:p>
      <w:pPr>
        <w:pStyle w:val="ListBullet"/>
        <w:spacing w:after="40"/>
      </w:pPr>
      <w:r>
        <w:t>Partner Agent outage and Oolix outage simulations confirm safe NO_AD behavior.</w:t>
      </w:r>
    </w:p>
    <w:p>
      <w:pPr>
        <w:pStyle w:val="ListBullet"/>
        <w:spacing w:after="40"/>
      </w:pPr>
      <w:r>
        <w:t>Monitoring dashboards and alert routes configured.</w:t>
      </w:r>
    </w:p>
    <w:p>
      <w:pPr>
        <w:pStyle w:val="ListBullet"/>
        <w:spacing w:after="40"/>
      </w:pPr>
      <w:r>
        <w:t>Queue DLQ/re-drive runbook tested.</w:t>
      </w:r>
    </w:p>
    <w:p>
      <w:pPr>
        <w:pStyle w:val="ListBullet"/>
        <w:spacing w:after="40"/>
      </w:pPr>
      <w:r>
        <w:t>Database migration rollback/forward-fix procedure tested.</w:t>
      </w:r>
    </w:p>
    <w:p>
      <w:pPr>
        <w:pStyle w:val="ListBullet"/>
        <w:spacing w:after="40"/>
      </w:pPr>
      <w:r>
        <w:t>Performance/load baseline recorded; local ad decision p95 &lt;=100 ms in design Partner environment.</w:t>
      </w:r>
    </w:p>
    <w:p>
      <w:pPr>
        <w:pStyle w:val="ListBullet"/>
        <w:spacing w:after="40"/>
      </w:pPr>
      <w:r>
        <w:t>Data redaction/logging scan passes.</w:t>
      </w:r>
    </w:p>
    <w:p>
      <w:pPr>
        <w:pStyle w:val="ListBullet"/>
        <w:spacing w:after="40"/>
      </w:pPr>
      <w:r>
        <w:t>Restore drill completed.</w:t>
      </w:r>
    </w:p>
    <w:p>
      <w:pPr>
        <w:pStyle w:val="ListBullet"/>
        <w:spacing w:after="40"/>
      </w:pPr>
      <w:r>
        <w:t>Release rollback documented.</w:t>
      </w:r>
    </w:p>
    <w:p>
      <w:pPr>
        <w:pStyle w:val="Heading2"/>
      </w:pPr>
      <w:r>
        <w:t>87.2 Business / Partner</w:t>
      </w:r>
    </w:p>
    <w:p>
      <w:pPr>
        <w:pStyle w:val="ListBullet"/>
        <w:spacing w:after="40"/>
      </w:pPr>
      <w:r>
        <w:t>At least 1 verified Buyer and 2 Data Partners onboarded.</w:t>
      </w:r>
    </w:p>
    <w:p>
      <w:pPr>
        <w:pStyle w:val="ListBullet"/>
        <w:spacing w:after="40"/>
      </w:pPr>
      <w:r>
        <w:t>Each Partner has one live-tested segment and placement.</w:t>
      </w:r>
    </w:p>
    <w:p>
      <w:pPr>
        <w:pStyle w:val="ListBullet"/>
        <w:spacing w:after="40"/>
      </w:pPr>
      <w:r>
        <w:t>Partner commercial terms, approval SLA, lead definition and payout basis agreed.</w:t>
      </w:r>
    </w:p>
    <w:p>
      <w:pPr>
        <w:pStyle w:val="ListBullet"/>
        <w:spacing w:after="40"/>
      </w:pPr>
      <w:r>
        <w:t>Synthetic/test campaign completed before real user traffic.</w:t>
      </w:r>
    </w:p>
    <w:p>
      <w:pPr>
        <w:pStyle w:val="ListBullet"/>
        <w:spacing w:after="40"/>
      </w:pPr>
      <w:r>
        <w:t>Privacy/legal review completed for launch jurisdiction.</w:t>
      </w:r>
    </w:p>
    <w:p>
      <w:pPr>
        <w:pStyle w:val="ListBullet"/>
        <w:spacing w:after="40"/>
      </w:pPr>
      <w:r>
        <w:t>Meta/Google remain disabled unless the exact account/business eligibility proof is complete.</w:t>
      </w:r>
    </w:p>
    <w:p>
      <w:pPr>
        <w:pStyle w:val="ListBullet"/>
        <w:spacing w:after="40"/>
      </w:pPr>
      <w:r>
        <w:t>Support owner and escalation contacts defined for Buyer, Partner and Oolix.</w:t>
      </w:r>
    </w:p>
    <w:p>
      <w:pPr>
        <w:pStyle w:val="Heading1"/>
      </w:pPr>
      <w:r>
        <w:t>88. Developer Handoff - What Is Now Fixed</w:t>
      </w:r>
    </w:p>
    <w:tbl>
      <w:tblPr>
        <w:tblStyle w:val="TableGrid"/>
        <w:tblW w:type="auto" w:w="0"/>
        <w:jc w:val="center"/>
        <w:tblLook w:firstColumn="1" w:firstRow="1" w:lastColumn="0" w:lastRow="0" w:noHBand="0" w:noVBand="1" w:val="04A0"/>
      </w:tblPr>
      <w:tblGrid>
        <w:gridCol w:w="5227"/>
        <w:gridCol w:w="5227"/>
      </w:tblGrid>
      <w:tr>
        <w:tc>
          <w:tcPr>
            <w:tcW w:type="dxa" w:w="3888"/>
            <w:vAlign w:val="center"/>
            <w:shd w:fill="1B4363"/>
          </w:tcPr>
          <w:p>
            <w:pPr>
              <w:spacing w:after="0"/>
            </w:pPr>
            <w:r/>
            <w:r>
              <w:rPr>
                <w:rFonts w:ascii="Arial" w:hAnsi="Arial"/>
                <w:b/>
                <w:color w:val="FFFFFF"/>
                <w:sz w:val="16"/>
              </w:rPr>
              <w:t>Earlier ambiguity</w:t>
            </w:r>
          </w:p>
        </w:tc>
        <w:tc>
          <w:tcPr>
            <w:tcW w:type="dxa" w:w="5904"/>
            <w:vAlign w:val="center"/>
            <w:shd w:fill="1B4363"/>
          </w:tcPr>
          <w:p>
            <w:pPr>
              <w:spacing w:after="0"/>
            </w:pPr>
            <w:r/>
            <w:r>
              <w:rPr>
                <w:rFonts w:ascii="Arial" w:hAnsi="Arial"/>
                <w:b/>
                <w:color w:val="FFFFFF"/>
                <w:sz w:val="16"/>
              </w:rPr>
              <w:t>Canonical v4 resolution</w:t>
            </w:r>
          </w:p>
        </w:tc>
      </w:tr>
      <w:tr>
        <w:tc>
          <w:tcPr>
            <w:tcW w:type="dxa" w:w="3888"/>
            <w:vAlign w:val="center"/>
          </w:tcPr>
          <w:p>
            <w:pPr>
              <w:spacing w:after="0"/>
            </w:pPr>
            <w:r/>
            <w:r>
              <w:rPr>
                <w:rFonts w:ascii="Arial" w:hAnsi="Arial"/>
                <w:b w:val="0"/>
                <w:sz w:val="15"/>
              </w:rPr>
              <w:t>Two build sequences</w:t>
            </w:r>
          </w:p>
        </w:tc>
        <w:tc>
          <w:tcPr>
            <w:tcW w:type="dxa" w:w="5904"/>
            <w:vAlign w:val="center"/>
          </w:tcPr>
          <w:p>
            <w:pPr>
              <w:spacing w:after="0"/>
            </w:pPr>
            <w:r/>
            <w:r>
              <w:rPr>
                <w:rFonts w:ascii="Arial" w:hAnsi="Arial"/>
                <w:b w:val="0"/>
                <w:sz w:val="15"/>
              </w:rPr>
              <w:t>§85 is the single source of truth.</w:t>
            </w:r>
          </w:p>
        </w:tc>
      </w:tr>
      <w:tr>
        <w:tc>
          <w:tcPr>
            <w:tcW w:type="dxa" w:w="3888"/>
            <w:vAlign w:val="center"/>
          </w:tcPr>
          <w:p>
            <w:pPr>
              <w:spacing w:after="0"/>
            </w:pPr>
            <w:r/>
            <w:r>
              <w:rPr>
                <w:rFonts w:ascii="Arial" w:hAnsi="Arial"/>
                <w:b w:val="0"/>
                <w:sz w:val="15"/>
              </w:rPr>
              <w:t>Two RBAC lists</w:t>
            </w:r>
          </w:p>
        </w:tc>
        <w:tc>
          <w:tcPr>
            <w:tcW w:type="dxa" w:w="5904"/>
            <w:vAlign w:val="center"/>
          </w:tcPr>
          <w:p>
            <w:pPr>
              <w:spacing w:after="0"/>
            </w:pPr>
            <w:r/>
            <w:r>
              <w:rPr>
                <w:rFonts w:ascii="Arial" w:hAnsi="Arial"/>
                <w:b w:val="0"/>
                <w:sz w:val="15"/>
              </w:rPr>
              <w:t>§66 canonical role enum.</w:t>
            </w:r>
          </w:p>
        </w:tc>
      </w:tr>
      <w:tr>
        <w:tc>
          <w:tcPr>
            <w:tcW w:type="dxa" w:w="3888"/>
            <w:vAlign w:val="center"/>
          </w:tcPr>
          <w:p>
            <w:pPr>
              <w:spacing w:after="0"/>
            </w:pPr>
            <w:r/>
            <w:r>
              <w:rPr>
                <w:rFonts w:ascii="Arial" w:hAnsi="Arial"/>
                <w:b w:val="0"/>
                <w:sz w:val="15"/>
              </w:rPr>
              <w:t>Two schema variants</w:t>
            </w:r>
          </w:p>
        </w:tc>
        <w:tc>
          <w:tcPr>
            <w:tcW w:type="dxa" w:w="5904"/>
            <w:vAlign w:val="center"/>
          </w:tcPr>
          <w:p>
            <w:pPr>
              <w:spacing w:after="0"/>
            </w:pPr>
            <w:r/>
            <w:r>
              <w:rPr>
                <w:rFonts w:ascii="Arial" w:hAnsi="Arial"/>
                <w:b w:val="0"/>
                <w:sz w:val="15"/>
              </w:rPr>
              <w:t>§73 canonical schema/migration model.</w:t>
            </w:r>
          </w:p>
        </w:tc>
      </w:tr>
      <w:tr>
        <w:tc>
          <w:tcPr>
            <w:tcW w:type="dxa" w:w="3888"/>
            <w:vAlign w:val="center"/>
          </w:tcPr>
          <w:p>
            <w:pPr>
              <w:spacing w:after="0"/>
            </w:pPr>
            <w:r/>
            <w:r>
              <w:rPr>
                <w:rFonts w:ascii="Arial" w:hAnsi="Arial"/>
                <w:b w:val="0"/>
                <w:sz w:val="15"/>
              </w:rPr>
              <w:t>Conflicting Agent API paths</w:t>
            </w:r>
          </w:p>
        </w:tc>
        <w:tc>
          <w:tcPr>
            <w:tcW w:type="dxa" w:w="5904"/>
            <w:vAlign w:val="center"/>
          </w:tcPr>
          <w:p>
            <w:pPr>
              <w:spacing w:after="0"/>
            </w:pPr>
            <w:r/>
            <w:r>
              <w:rPr>
                <w:rFonts w:ascii="Arial" w:hAnsi="Arial"/>
                <w:b w:val="0"/>
                <w:sz w:val="15"/>
              </w:rPr>
              <w:t>/agent/v1 for cloud Agent API; /private/v1 for local Agent API.</w:t>
            </w:r>
          </w:p>
        </w:tc>
      </w:tr>
      <w:tr>
        <w:tc>
          <w:tcPr>
            <w:tcW w:type="dxa" w:w="3888"/>
            <w:vAlign w:val="center"/>
          </w:tcPr>
          <w:p>
            <w:pPr>
              <w:spacing w:after="0"/>
            </w:pPr>
            <w:r/>
            <w:r>
              <w:rPr>
                <w:rFonts w:ascii="Arial" w:hAnsi="Arial"/>
                <w:b w:val="0"/>
                <w:sz w:val="15"/>
              </w:rPr>
              <w:t>No setup guide</w:t>
            </w:r>
          </w:p>
        </w:tc>
        <w:tc>
          <w:tcPr>
            <w:tcW w:type="dxa" w:w="5904"/>
            <w:vAlign w:val="center"/>
          </w:tcPr>
          <w:p>
            <w:pPr>
              <w:spacing w:after="0"/>
            </w:pPr>
            <w:r/>
            <w:r>
              <w:rPr>
                <w:rFonts w:ascii="Arial" w:hAnsi="Arial"/>
                <w:b w:val="0"/>
                <w:sz w:val="15"/>
              </w:rPr>
              <w:t>§64-65 + docker-compose/.env examples.</w:t>
            </w:r>
          </w:p>
        </w:tc>
      </w:tr>
      <w:tr>
        <w:tc>
          <w:tcPr>
            <w:tcW w:type="dxa" w:w="3888"/>
            <w:vAlign w:val="center"/>
          </w:tcPr>
          <w:p>
            <w:pPr>
              <w:spacing w:after="0"/>
            </w:pPr>
            <w:r/>
            <w:r>
              <w:rPr>
                <w:rFonts w:ascii="Arial" w:hAnsi="Arial"/>
                <w:b w:val="0"/>
                <w:sz w:val="15"/>
              </w:rPr>
              <w:t>No API examples</w:t>
            </w:r>
          </w:p>
        </w:tc>
        <w:tc>
          <w:tcPr>
            <w:tcW w:type="dxa" w:w="5904"/>
            <w:vAlign w:val="center"/>
          </w:tcPr>
          <w:p>
            <w:pPr>
              <w:spacing w:after="0"/>
            </w:pPr>
            <w:r/>
            <w:r>
              <w:rPr>
                <w:rFonts w:ascii="Arial" w:hAnsi="Arial"/>
                <w:b w:val="0"/>
                <w:sz w:val="15"/>
              </w:rPr>
              <w:t>§67 + OpenAPI pack.</w:t>
            </w:r>
          </w:p>
        </w:tc>
      </w:tr>
      <w:tr>
        <w:tc>
          <w:tcPr>
            <w:tcW w:type="dxa" w:w="3888"/>
            <w:vAlign w:val="center"/>
          </w:tcPr>
          <w:p>
            <w:pPr>
              <w:spacing w:after="0"/>
            </w:pPr>
            <w:r/>
            <w:r>
              <w:rPr>
                <w:rFonts w:ascii="Arial" w:hAnsi="Arial"/>
                <w:b w:val="0"/>
                <w:sz w:val="15"/>
              </w:rPr>
              <w:t>SDK underspecified</w:t>
            </w:r>
          </w:p>
        </w:tc>
        <w:tc>
          <w:tcPr>
            <w:tcW w:type="dxa" w:w="5904"/>
            <w:vAlign w:val="center"/>
          </w:tcPr>
          <w:p>
            <w:pPr>
              <w:spacing w:after="0"/>
            </w:pPr>
            <w:r/>
            <w:r>
              <w:rPr>
                <w:rFonts w:ascii="Arial" w:hAnsi="Arial"/>
                <w:b w:val="0"/>
                <w:sz w:val="15"/>
              </w:rPr>
              <w:t>§68 + package/integration examples.</w:t>
            </w:r>
          </w:p>
        </w:tc>
      </w:tr>
      <w:tr>
        <w:tc>
          <w:tcPr>
            <w:tcW w:type="dxa" w:w="3888"/>
            <w:vAlign w:val="center"/>
          </w:tcPr>
          <w:p>
            <w:pPr>
              <w:spacing w:after="0"/>
            </w:pPr>
            <w:r/>
            <w:r>
              <w:rPr>
                <w:rFonts w:ascii="Arial" w:hAnsi="Arial"/>
                <w:b w:val="0"/>
                <w:sz w:val="15"/>
              </w:rPr>
              <w:t>Agent deployment underspecified</w:t>
            </w:r>
          </w:p>
        </w:tc>
        <w:tc>
          <w:tcPr>
            <w:tcW w:type="dxa" w:w="5904"/>
            <w:vAlign w:val="center"/>
          </w:tcPr>
          <w:p>
            <w:pPr>
              <w:spacing w:after="0"/>
            </w:pPr>
            <w:r/>
            <w:r>
              <w:rPr>
                <w:rFonts w:ascii="Arial" w:hAnsi="Arial"/>
                <w:b w:val="0"/>
                <w:sz w:val="15"/>
              </w:rPr>
              <w:t>§69 + config/K8s/Docker examples.</w:t>
            </w:r>
          </w:p>
        </w:tc>
      </w:tr>
      <w:tr>
        <w:tc>
          <w:tcPr>
            <w:tcW w:type="dxa" w:w="3888"/>
            <w:vAlign w:val="center"/>
          </w:tcPr>
          <w:p>
            <w:pPr>
              <w:spacing w:after="0"/>
            </w:pPr>
            <w:r/>
            <w:r>
              <w:rPr>
                <w:rFonts w:ascii="Arial" w:hAnsi="Arial"/>
                <w:b w:val="0"/>
                <w:sz w:val="15"/>
              </w:rPr>
              <w:t>Creative flow unclear</w:t>
            </w:r>
          </w:p>
        </w:tc>
        <w:tc>
          <w:tcPr>
            <w:tcW w:type="dxa" w:w="5904"/>
            <w:vAlign w:val="center"/>
          </w:tcPr>
          <w:p>
            <w:pPr>
              <w:spacing w:after="0"/>
            </w:pPr>
            <w:r/>
            <w:r>
              <w:rPr>
                <w:rFonts w:ascii="Arial" w:hAnsi="Arial"/>
                <w:b w:val="0"/>
                <w:sz w:val="15"/>
              </w:rPr>
              <w:t>§70.</w:t>
            </w:r>
          </w:p>
        </w:tc>
      </w:tr>
      <w:tr>
        <w:tc>
          <w:tcPr>
            <w:tcW w:type="dxa" w:w="3888"/>
            <w:vAlign w:val="center"/>
          </w:tcPr>
          <w:p>
            <w:pPr>
              <w:spacing w:after="0"/>
            </w:pPr>
            <w:r/>
            <w:r>
              <w:rPr>
                <w:rFonts w:ascii="Arial" w:hAnsi="Arial"/>
                <w:b w:val="0"/>
                <w:sz w:val="15"/>
              </w:rPr>
              <w:t>Click token unclear</w:t>
            </w:r>
          </w:p>
        </w:tc>
        <w:tc>
          <w:tcPr>
            <w:tcW w:type="dxa" w:w="5904"/>
            <w:vAlign w:val="center"/>
          </w:tcPr>
          <w:p>
            <w:pPr>
              <w:spacing w:after="0"/>
            </w:pPr>
            <w:r/>
            <w:r>
              <w:rPr>
                <w:rFonts w:ascii="Arial" w:hAnsi="Arial"/>
                <w:b w:val="0"/>
                <w:sz w:val="15"/>
              </w:rPr>
              <w:t>§71 opaque random token + CRM auth/state controls.</w:t>
            </w:r>
          </w:p>
        </w:tc>
      </w:tr>
      <w:tr>
        <w:tc>
          <w:tcPr>
            <w:tcW w:type="dxa" w:w="3888"/>
            <w:vAlign w:val="center"/>
          </w:tcPr>
          <w:p>
            <w:pPr>
              <w:spacing w:after="0"/>
            </w:pPr>
            <w:r/>
            <w:r>
              <w:rPr>
                <w:rFonts w:ascii="Arial" w:hAnsi="Arial"/>
                <w:b w:val="0"/>
                <w:sz w:val="15"/>
              </w:rPr>
              <w:t>Reach buckets unclear</w:t>
            </w:r>
          </w:p>
        </w:tc>
        <w:tc>
          <w:tcPr>
            <w:tcW w:type="dxa" w:w="5904"/>
            <w:vAlign w:val="center"/>
          </w:tcPr>
          <w:p>
            <w:pPr>
              <w:spacing w:after="0"/>
            </w:pPr>
            <w:r/>
            <w:r>
              <w:rPr>
                <w:rFonts w:ascii="Arial" w:hAnsi="Arial"/>
                <w:b w:val="0"/>
                <w:sz w:val="15"/>
              </w:rPr>
              <w:t>§72 with minimum cohort and anti-differencing.</w:t>
            </w:r>
          </w:p>
        </w:tc>
      </w:tr>
      <w:tr>
        <w:tc>
          <w:tcPr>
            <w:tcW w:type="dxa" w:w="3888"/>
            <w:vAlign w:val="center"/>
          </w:tcPr>
          <w:p>
            <w:pPr>
              <w:spacing w:after="0"/>
            </w:pPr>
            <w:r/>
            <w:r>
              <w:rPr>
                <w:rFonts w:ascii="Arial" w:hAnsi="Arial"/>
                <w:b w:val="0"/>
                <w:sz w:val="15"/>
              </w:rPr>
              <w:t>Queue vague</w:t>
            </w:r>
          </w:p>
        </w:tc>
        <w:tc>
          <w:tcPr>
            <w:tcW w:type="dxa" w:w="5904"/>
            <w:vAlign w:val="center"/>
          </w:tcPr>
          <w:p>
            <w:pPr>
              <w:spacing w:after="0"/>
            </w:pPr>
            <w:r/>
            <w:r>
              <w:rPr>
                <w:rFonts w:ascii="Arial" w:hAnsi="Arial"/>
                <w:b w:val="0"/>
                <w:sz w:val="15"/>
              </w:rPr>
              <w:t>§74 SQS + DLQ + retry envelope.</w:t>
            </w:r>
          </w:p>
        </w:tc>
      </w:tr>
      <w:tr>
        <w:tc>
          <w:tcPr>
            <w:tcW w:type="dxa" w:w="3888"/>
            <w:vAlign w:val="center"/>
          </w:tcPr>
          <w:p>
            <w:pPr>
              <w:spacing w:after="0"/>
            </w:pPr>
            <w:r/>
            <w:r>
              <w:rPr>
                <w:rFonts w:ascii="Arial" w:hAnsi="Arial"/>
                <w:b w:val="0"/>
                <w:sz w:val="15"/>
              </w:rPr>
              <w:t>Manifest/key model vague</w:t>
            </w:r>
          </w:p>
        </w:tc>
        <w:tc>
          <w:tcPr>
            <w:tcW w:type="dxa" w:w="5904"/>
            <w:vAlign w:val="center"/>
          </w:tcPr>
          <w:p>
            <w:pPr>
              <w:spacing w:after="0"/>
            </w:pPr>
            <w:r/>
            <w:r>
              <w:rPr>
                <w:rFonts w:ascii="Arial" w:hAnsi="Arial"/>
                <w:b w:val="0"/>
                <w:sz w:val="15"/>
              </w:rPr>
              <w:t>§75 ES256/JWKS/rotation/cache TTL.</w:t>
            </w:r>
          </w:p>
        </w:tc>
      </w:tr>
      <w:tr>
        <w:tc>
          <w:tcPr>
            <w:tcW w:type="dxa" w:w="3888"/>
            <w:vAlign w:val="center"/>
          </w:tcPr>
          <w:p>
            <w:pPr>
              <w:spacing w:after="0"/>
            </w:pPr>
            <w:r/>
            <w:r>
              <w:rPr>
                <w:rFonts w:ascii="Arial" w:hAnsi="Arial"/>
                <w:b w:val="0"/>
                <w:sz w:val="15"/>
              </w:rPr>
              <w:t>Pacing/placement vague</w:t>
            </w:r>
          </w:p>
        </w:tc>
        <w:tc>
          <w:tcPr>
            <w:tcW w:type="dxa" w:w="5904"/>
            <w:vAlign w:val="center"/>
          </w:tcPr>
          <w:p>
            <w:pPr>
              <w:spacing w:after="0"/>
            </w:pPr>
            <w:r/>
            <w:r>
              <w:rPr>
                <w:rFonts w:ascii="Arial" w:hAnsi="Arial"/>
                <w:b w:val="0"/>
                <w:sz w:val="15"/>
              </w:rPr>
              <w:t>§76.</w:t>
            </w:r>
          </w:p>
        </w:tc>
      </w:tr>
      <w:tr>
        <w:tc>
          <w:tcPr>
            <w:tcW w:type="dxa" w:w="3888"/>
            <w:vAlign w:val="center"/>
          </w:tcPr>
          <w:p>
            <w:pPr>
              <w:spacing w:after="0"/>
            </w:pPr>
            <w:r/>
            <w:r>
              <w:rPr>
                <w:rFonts w:ascii="Arial" w:hAnsi="Arial"/>
                <w:b w:val="0"/>
                <w:sz w:val="15"/>
              </w:rPr>
              <w:t>NO_AD/errors/tolerance vague</w:t>
            </w:r>
          </w:p>
        </w:tc>
        <w:tc>
          <w:tcPr>
            <w:tcW w:type="dxa" w:w="5904"/>
            <w:vAlign w:val="center"/>
          </w:tcPr>
          <w:p>
            <w:pPr>
              <w:spacing w:after="0"/>
            </w:pPr>
            <w:r/>
            <w:r>
              <w:rPr>
                <w:rFonts w:ascii="Arial" w:hAnsi="Arial"/>
                <w:b w:val="0"/>
                <w:sz w:val="15"/>
              </w:rPr>
              <w:t>§77.</w:t>
            </w:r>
          </w:p>
        </w:tc>
      </w:tr>
      <w:tr>
        <w:tc>
          <w:tcPr>
            <w:tcW w:type="dxa" w:w="3888"/>
            <w:vAlign w:val="center"/>
          </w:tcPr>
          <w:p>
            <w:pPr>
              <w:spacing w:after="0"/>
            </w:pPr>
            <w:r/>
            <w:r>
              <w:rPr>
                <w:rFonts w:ascii="Arial" w:hAnsi="Arial"/>
                <w:b w:val="0"/>
                <w:sz w:val="15"/>
              </w:rPr>
              <w:t>Monitoring/testing vague</w:t>
            </w:r>
          </w:p>
        </w:tc>
        <w:tc>
          <w:tcPr>
            <w:tcW w:type="dxa" w:w="5904"/>
            <w:vAlign w:val="center"/>
          </w:tcPr>
          <w:p>
            <w:pPr>
              <w:spacing w:after="0"/>
            </w:pPr>
            <w:r/>
            <w:r>
              <w:rPr>
                <w:rFonts w:ascii="Arial" w:hAnsi="Arial"/>
                <w:b w:val="0"/>
                <w:sz w:val="15"/>
              </w:rPr>
              <w:t>§78-79.</w:t>
            </w:r>
          </w:p>
        </w:tc>
      </w:tr>
      <w:tr>
        <w:tc>
          <w:tcPr>
            <w:tcW w:type="dxa" w:w="3888"/>
            <w:vAlign w:val="center"/>
          </w:tcPr>
          <w:p>
            <w:pPr>
              <w:spacing w:after="0"/>
            </w:pPr>
            <w:r/>
            <w:r>
              <w:rPr>
                <w:rFonts w:ascii="Arial" w:hAnsi="Arial"/>
                <w:b w:val="0"/>
                <w:sz w:val="15"/>
              </w:rPr>
              <w:t>Offboarding/DR/Agent rollout missing</w:t>
            </w:r>
          </w:p>
        </w:tc>
        <w:tc>
          <w:tcPr>
            <w:tcW w:type="dxa" w:w="5904"/>
            <w:vAlign w:val="center"/>
          </w:tcPr>
          <w:p>
            <w:pPr>
              <w:spacing w:after="0"/>
            </w:pPr>
            <w:r/>
            <w:r>
              <w:rPr>
                <w:rFonts w:ascii="Arial" w:hAnsi="Arial"/>
                <w:b w:val="0"/>
                <w:sz w:val="15"/>
              </w:rPr>
              <w:t>§80.</w:t>
            </w:r>
          </w:p>
        </w:tc>
      </w:tr>
      <w:tr>
        <w:tc>
          <w:tcPr>
            <w:tcW w:type="dxa" w:w="3888"/>
            <w:vAlign w:val="center"/>
          </w:tcPr>
          <w:p>
            <w:pPr>
              <w:spacing w:after="0"/>
            </w:pPr>
            <w:r/>
            <w:r>
              <w:rPr>
                <w:rFonts w:ascii="Arial" w:hAnsi="Arial"/>
                <w:b w:val="0"/>
                <w:sz w:val="15"/>
              </w:rPr>
              <w:t>Retention/India compliance missing</w:t>
            </w:r>
          </w:p>
        </w:tc>
        <w:tc>
          <w:tcPr>
            <w:tcW w:type="dxa" w:w="5904"/>
            <w:vAlign w:val="center"/>
          </w:tcPr>
          <w:p>
            <w:pPr>
              <w:spacing w:after="0"/>
            </w:pPr>
            <w:r/>
            <w:r>
              <w:rPr>
                <w:rFonts w:ascii="Arial" w:hAnsi="Arial"/>
                <w:b w:val="0"/>
                <w:sz w:val="15"/>
              </w:rPr>
              <w:t>§81.</w:t>
            </w:r>
          </w:p>
        </w:tc>
      </w:tr>
      <w:tr>
        <w:tc>
          <w:tcPr>
            <w:tcW w:type="dxa" w:w="3888"/>
            <w:vAlign w:val="center"/>
          </w:tcPr>
          <w:p>
            <w:pPr>
              <w:spacing w:after="0"/>
            </w:pPr>
            <w:r/>
            <w:r>
              <w:rPr>
                <w:rFonts w:ascii="Arial" w:hAnsi="Arial"/>
                <w:b w:val="0"/>
                <w:sz w:val="15"/>
              </w:rPr>
              <w:t>Security checklist missing</w:t>
            </w:r>
          </w:p>
        </w:tc>
        <w:tc>
          <w:tcPr>
            <w:tcW w:type="dxa" w:w="5904"/>
            <w:vAlign w:val="center"/>
          </w:tcPr>
          <w:p>
            <w:pPr>
              <w:spacing w:after="0"/>
            </w:pPr>
            <w:r/>
            <w:r>
              <w:rPr>
                <w:rFonts w:ascii="Arial" w:hAnsi="Arial"/>
                <w:b w:val="0"/>
                <w:sz w:val="15"/>
              </w:rPr>
              <w:t>§82.</w:t>
            </w:r>
          </w:p>
        </w:tc>
      </w:tr>
      <w:tr>
        <w:tc>
          <w:tcPr>
            <w:tcW w:type="dxa" w:w="3888"/>
            <w:vAlign w:val="center"/>
          </w:tcPr>
          <w:p>
            <w:pPr>
              <w:spacing w:after="0"/>
            </w:pPr>
            <w:r/>
            <w:r>
              <w:rPr>
                <w:rFonts w:ascii="Arial" w:hAnsi="Arial"/>
                <w:b w:val="0"/>
                <w:sz w:val="15"/>
              </w:rPr>
              <w:t>Approval SLA/dispute missing</w:t>
            </w:r>
          </w:p>
        </w:tc>
        <w:tc>
          <w:tcPr>
            <w:tcW w:type="dxa" w:w="5904"/>
            <w:vAlign w:val="center"/>
          </w:tcPr>
          <w:p>
            <w:pPr>
              <w:spacing w:after="0"/>
            </w:pPr>
            <w:r/>
            <w:r>
              <w:rPr>
                <w:rFonts w:ascii="Arial" w:hAnsi="Arial"/>
                <w:b w:val="0"/>
                <w:sz w:val="15"/>
              </w:rPr>
              <w:t>§83.</w:t>
            </w:r>
          </w:p>
        </w:tc>
      </w:tr>
      <w:tr>
        <w:tc>
          <w:tcPr>
            <w:tcW w:type="dxa" w:w="3888"/>
            <w:vAlign w:val="center"/>
          </w:tcPr>
          <w:p>
            <w:pPr>
              <w:spacing w:after="0"/>
            </w:pPr>
            <w:r/>
            <w:r>
              <w:rPr>
                <w:rFonts w:ascii="Arial" w:hAnsi="Arial"/>
                <w:b w:val="0"/>
                <w:sz w:val="15"/>
              </w:rPr>
              <w:t>Google status overstated</w:t>
            </w:r>
          </w:p>
        </w:tc>
        <w:tc>
          <w:tcPr>
            <w:tcW w:type="dxa" w:w="5904"/>
            <w:vAlign w:val="center"/>
          </w:tcPr>
          <w:p>
            <w:pPr>
              <w:spacing w:after="0"/>
            </w:pPr>
            <w:r/>
            <w:r>
              <w:rPr>
                <w:rFonts w:ascii="Arial" w:hAnsi="Arial"/>
                <w:b w:val="0"/>
                <w:sz w:val="15"/>
              </w:rPr>
              <w:t>§84 verified current implementation note.</w:t>
            </w:r>
          </w:p>
        </w:tc>
      </w:tr>
    </w:tbl>
    <w:p/>
    <w:tbl>
      <w:tblPr>
        <w:tblStyle w:val="TableGrid"/>
        <w:tblW w:type="auto" w:w="0"/>
        <w:tblLook w:firstColumn="1" w:firstRow="1" w:lastColumn="0" w:lastRow="0" w:noHBand="0" w:noVBand="1" w:val="04A0"/>
      </w:tblPr>
      <w:tblGrid>
        <w:gridCol w:w="10454"/>
      </w:tblGrid>
      <w:tr>
        <w:tc>
          <w:tcPr>
            <w:tcW w:type="dxa" w:w="10454"/>
            <w:shd w:fill="FFF7ED"/>
          </w:tcPr>
          <w:p>
            <w:pPr>
              <w:spacing w:after="40"/>
            </w:pPr>
            <w:r>
              <w:rPr>
                <w:rFonts w:ascii="Arial" w:hAnsi="Arial"/>
                <w:b/>
                <w:color w:val="C2410C"/>
                <w:sz w:val="18"/>
              </w:rPr>
              <w:t>Final implementation rule</w:t>
            </w:r>
          </w:p>
          <w:p>
            <w:pPr>
              <w:spacing w:after="0"/>
            </w:pPr>
            <w:r>
              <w:rPr>
                <w:rFonts w:ascii="Arial" w:hAnsi="Arial"/>
                <w:sz w:val="17"/>
              </w:rPr>
              <w:t>A developer should now be able to run the system locally, create organizations/segments/campaigns, approve a Partner request, publish a signed manifest, serve an ad locally through the Partner Agent, attribute a qualified lead, reconcile/report/payout, and understand exactly which parts are optional external-channel work. Production legal/account eligibility still requires real Partner/Buyer facts and current provider documentation.</w:t>
            </w:r>
          </w:p>
        </w:tc>
      </w:tr>
    </w:tbl>
    <w:p/>
    <w:p>
      <w:r>
        <w:br w:type="page"/>
      </w:r>
    </w:p>
    <w:p>
      <w:pPr>
        <w:pStyle w:val="Heading1"/>
      </w:pPr>
      <w:r>
        <w:t>Appendix A - Implementation Example Files Included in the Developer Pack</w:t>
      </w:r>
    </w:p>
    <w:tbl>
      <w:tblPr>
        <w:tblStyle w:val="TableGrid"/>
        <w:tblW w:type="auto" w:w="0"/>
        <w:jc w:val="center"/>
        <w:tblLook w:firstColumn="1" w:firstRow="1" w:lastColumn="0" w:lastRow="0" w:noHBand="0" w:noVBand="1" w:val="04A0"/>
      </w:tblPr>
      <w:tblGrid>
        <w:gridCol w:w="5227"/>
        <w:gridCol w:w="5227"/>
      </w:tblGrid>
      <w:tr>
        <w:tc>
          <w:tcPr>
            <w:tcW w:type="dxa" w:w="4032"/>
            <w:vAlign w:val="center"/>
            <w:shd w:fill="1B4363"/>
          </w:tcPr>
          <w:p>
            <w:pPr>
              <w:spacing w:after="0"/>
            </w:pPr>
            <w:r/>
            <w:r>
              <w:rPr>
                <w:rFonts w:ascii="Arial" w:hAnsi="Arial"/>
                <w:b/>
                <w:color w:val="FFFFFF"/>
                <w:sz w:val="16"/>
              </w:rPr>
              <w:t>File</w:t>
            </w:r>
          </w:p>
        </w:tc>
        <w:tc>
          <w:tcPr>
            <w:tcW w:type="dxa" w:w="5760"/>
            <w:vAlign w:val="center"/>
            <w:shd w:fill="1B4363"/>
          </w:tcPr>
          <w:p>
            <w:pPr>
              <w:spacing w:after="0"/>
            </w:pPr>
            <w:r/>
            <w:r>
              <w:rPr>
                <w:rFonts w:ascii="Arial" w:hAnsi="Arial"/>
                <w:b/>
                <w:color w:val="FFFFFF"/>
                <w:sz w:val="16"/>
              </w:rPr>
              <w:t>Purpose</w:t>
            </w:r>
          </w:p>
        </w:tc>
      </w:tr>
      <w:tr>
        <w:tc>
          <w:tcPr>
            <w:tcW w:type="dxa" w:w="4032"/>
            <w:vAlign w:val="center"/>
          </w:tcPr>
          <w:p>
            <w:pPr>
              <w:spacing w:after="0"/>
            </w:pPr>
            <w:r/>
            <w:r>
              <w:rPr>
                <w:rFonts w:ascii="Arial" w:hAnsi="Arial"/>
                <w:b w:val="0"/>
                <w:sz w:val="15"/>
              </w:rPr>
              <w:t>.env.example</w:t>
            </w:r>
          </w:p>
        </w:tc>
        <w:tc>
          <w:tcPr>
            <w:tcW w:type="dxa" w:w="5760"/>
            <w:vAlign w:val="center"/>
          </w:tcPr>
          <w:p>
            <w:pPr>
              <w:spacing w:after="0"/>
            </w:pPr>
            <w:r/>
            <w:r>
              <w:rPr>
                <w:rFonts w:ascii="Arial" w:hAnsi="Arial"/>
                <w:b w:val="0"/>
                <w:sz w:val="15"/>
              </w:rPr>
              <w:t>Local Oolix environment template.</w:t>
            </w:r>
          </w:p>
        </w:tc>
      </w:tr>
      <w:tr>
        <w:tc>
          <w:tcPr>
            <w:tcW w:type="dxa" w:w="4032"/>
            <w:vAlign w:val="center"/>
          </w:tcPr>
          <w:p>
            <w:pPr>
              <w:spacing w:after="0"/>
            </w:pPr>
            <w:r/>
            <w:r>
              <w:rPr>
                <w:rFonts w:ascii="Arial" w:hAnsi="Arial"/>
                <w:b w:val="0"/>
                <w:sz w:val="15"/>
              </w:rPr>
              <w:t>001_init.sql</w:t>
            </w:r>
          </w:p>
        </w:tc>
        <w:tc>
          <w:tcPr>
            <w:tcW w:type="dxa" w:w="5760"/>
            <w:vAlign w:val="center"/>
          </w:tcPr>
          <w:p>
            <w:pPr>
              <w:spacing w:after="0"/>
            </w:pPr>
            <w:r/>
            <w:r>
              <w:rPr>
                <w:rFonts w:ascii="Arial" w:hAnsi="Arial"/>
                <w:b w:val="0"/>
                <w:sz w:val="15"/>
              </w:rPr>
              <w:t>Representative first SQL migration.</w:t>
            </w:r>
          </w:p>
        </w:tc>
      </w:tr>
      <w:tr>
        <w:tc>
          <w:tcPr>
            <w:tcW w:type="dxa" w:w="4032"/>
            <w:vAlign w:val="center"/>
          </w:tcPr>
          <w:p>
            <w:pPr>
              <w:spacing w:after="0"/>
            </w:pPr>
            <w:r/>
            <w:r>
              <w:rPr>
                <w:rFonts w:ascii="Arial" w:hAnsi="Arial"/>
                <w:b w:val="0"/>
                <w:sz w:val="15"/>
              </w:rPr>
              <w:t>Dockerfile.partner-agent</w:t>
            </w:r>
          </w:p>
        </w:tc>
        <w:tc>
          <w:tcPr>
            <w:tcW w:type="dxa" w:w="5760"/>
            <w:vAlign w:val="center"/>
          </w:tcPr>
          <w:p>
            <w:pPr>
              <w:spacing w:after="0"/>
            </w:pPr>
            <w:r/>
            <w:r>
              <w:rPr>
                <w:rFonts w:ascii="Arial" w:hAnsi="Arial"/>
                <w:b w:val="0"/>
                <w:sz w:val="15"/>
              </w:rPr>
              <w:t>Agent container build template.</w:t>
            </w:r>
          </w:p>
        </w:tc>
      </w:tr>
      <w:tr>
        <w:tc>
          <w:tcPr>
            <w:tcW w:type="dxa" w:w="4032"/>
            <w:vAlign w:val="center"/>
          </w:tcPr>
          <w:p>
            <w:pPr>
              <w:spacing w:after="0"/>
            </w:pPr>
            <w:r/>
            <w:r>
              <w:rPr>
                <w:rFonts w:ascii="Arial" w:hAnsi="Arial"/>
                <w:b w:val="0"/>
                <w:sz w:val="15"/>
              </w:rPr>
              <w:t>README.md</w:t>
            </w:r>
          </w:p>
        </w:tc>
        <w:tc>
          <w:tcPr>
            <w:tcW w:type="dxa" w:w="5760"/>
            <w:vAlign w:val="center"/>
          </w:tcPr>
          <w:p>
            <w:pPr>
              <w:spacing w:after="0"/>
            </w:pPr>
            <w:r/>
            <w:r>
              <w:rPr>
                <w:rFonts w:ascii="Arial" w:hAnsi="Arial"/>
                <w:b w:val="0"/>
                <w:sz w:val="15"/>
              </w:rPr>
              <w:t>Pack notes.</w:t>
            </w:r>
          </w:p>
        </w:tc>
      </w:tr>
      <w:tr>
        <w:tc>
          <w:tcPr>
            <w:tcW w:type="dxa" w:w="4032"/>
            <w:vAlign w:val="center"/>
          </w:tcPr>
          <w:p>
            <w:pPr>
              <w:spacing w:after="0"/>
            </w:pPr>
            <w:r/>
            <w:r>
              <w:rPr>
                <w:rFonts w:ascii="Arial" w:hAnsi="Arial"/>
                <w:b w:val="0"/>
                <w:sz w:val="15"/>
              </w:rPr>
              <w:t>agent-config.example.yaml</w:t>
            </w:r>
          </w:p>
        </w:tc>
        <w:tc>
          <w:tcPr>
            <w:tcW w:type="dxa" w:w="5760"/>
            <w:vAlign w:val="center"/>
          </w:tcPr>
          <w:p>
            <w:pPr>
              <w:spacing w:after="0"/>
            </w:pPr>
            <w:r/>
            <w:r>
              <w:rPr>
                <w:rFonts w:ascii="Arial" w:hAnsi="Arial"/>
                <w:b w:val="0"/>
                <w:sz w:val="15"/>
              </w:rPr>
              <w:t>Partner Agent configuration example.</w:t>
            </w:r>
          </w:p>
        </w:tc>
      </w:tr>
      <w:tr>
        <w:tc>
          <w:tcPr>
            <w:tcW w:type="dxa" w:w="4032"/>
            <w:vAlign w:val="center"/>
          </w:tcPr>
          <w:p>
            <w:pPr>
              <w:spacing w:after="0"/>
            </w:pPr>
            <w:r/>
            <w:r>
              <w:rPr>
                <w:rFonts w:ascii="Arial" w:hAnsi="Arial"/>
                <w:b w:val="0"/>
                <w:sz w:val="15"/>
              </w:rPr>
              <w:t>docker-compose.yml</w:t>
            </w:r>
          </w:p>
        </w:tc>
        <w:tc>
          <w:tcPr>
            <w:tcW w:type="dxa" w:w="5760"/>
            <w:vAlign w:val="center"/>
          </w:tcPr>
          <w:p>
            <w:pPr>
              <w:spacing w:after="0"/>
            </w:pPr>
            <w:r/>
            <w:r>
              <w:rPr>
                <w:rFonts w:ascii="Arial" w:hAnsi="Arial"/>
                <w:b w:val="0"/>
                <w:sz w:val="15"/>
              </w:rPr>
              <w:t>PostgreSQL/Redis/LocalStack/Keycloak local dependencies.</w:t>
            </w:r>
          </w:p>
        </w:tc>
      </w:tr>
      <w:tr>
        <w:tc>
          <w:tcPr>
            <w:tcW w:type="dxa" w:w="4032"/>
            <w:vAlign w:val="center"/>
          </w:tcPr>
          <w:p>
            <w:pPr>
              <w:spacing w:after="0"/>
            </w:pPr>
            <w:r/>
            <w:r>
              <w:rPr>
                <w:rFonts w:ascii="Arial" w:hAnsi="Arial"/>
                <w:b w:val="0"/>
                <w:sz w:val="15"/>
              </w:rPr>
              <w:t>k8s-partner-agent.yaml</w:t>
            </w:r>
          </w:p>
        </w:tc>
        <w:tc>
          <w:tcPr>
            <w:tcW w:type="dxa" w:w="5760"/>
            <w:vAlign w:val="center"/>
          </w:tcPr>
          <w:p>
            <w:pPr>
              <w:spacing w:after="0"/>
            </w:pPr>
            <w:r/>
            <w:r>
              <w:rPr>
                <w:rFonts w:ascii="Arial" w:hAnsi="Arial"/>
                <w:b w:val="0"/>
                <w:sz w:val="15"/>
              </w:rPr>
              <w:t>Partner Kubernetes deployment starter.</w:t>
            </w:r>
          </w:p>
        </w:tc>
      </w:tr>
      <w:tr>
        <w:tc>
          <w:tcPr>
            <w:tcW w:type="dxa" w:w="4032"/>
            <w:vAlign w:val="center"/>
          </w:tcPr>
          <w:p>
            <w:pPr>
              <w:spacing w:after="0"/>
            </w:pPr>
            <w:r/>
            <w:r>
              <w:rPr>
                <w:rFonts w:ascii="Arial" w:hAnsi="Arial"/>
                <w:b w:val="0"/>
                <w:sz w:val="15"/>
              </w:rPr>
              <w:t>openapi.yaml</w:t>
            </w:r>
          </w:p>
        </w:tc>
        <w:tc>
          <w:tcPr>
            <w:tcW w:type="dxa" w:w="5760"/>
            <w:vAlign w:val="center"/>
          </w:tcPr>
          <w:p>
            <w:pPr>
              <w:spacing w:after="0"/>
            </w:pPr>
            <w:r/>
            <w:r>
              <w:rPr>
                <w:rFonts w:ascii="Arial" w:hAnsi="Arial"/>
                <w:b w:val="0"/>
                <w:sz w:val="15"/>
              </w:rPr>
              <w:t>Canonical API starter contract with examples.</w:t>
            </w:r>
          </w:p>
        </w:tc>
      </w:tr>
      <w:tr>
        <w:tc>
          <w:tcPr>
            <w:tcW w:type="dxa" w:w="4032"/>
            <w:vAlign w:val="center"/>
          </w:tcPr>
          <w:p>
            <w:pPr>
              <w:spacing w:after="0"/>
            </w:pPr>
            <w:r/>
            <w:r>
              <w:rPr>
                <w:rFonts w:ascii="Arial" w:hAnsi="Arial"/>
                <w:b w:val="0"/>
                <w:sz w:val="15"/>
              </w:rPr>
              <w:t>seed-data.yaml</w:t>
            </w:r>
          </w:p>
        </w:tc>
        <w:tc>
          <w:tcPr>
            <w:tcW w:type="dxa" w:w="5760"/>
            <w:vAlign w:val="center"/>
          </w:tcPr>
          <w:p>
            <w:pPr>
              <w:spacing w:after="0"/>
            </w:pPr>
            <w:r/>
            <w:r>
              <w:rPr>
                <w:rFonts w:ascii="Arial" w:hAnsi="Arial"/>
                <w:b w:val="0"/>
                <w:sz w:val="15"/>
              </w:rPr>
              <w:t>Deterministic local demo/test seed.</w:t>
            </w:r>
          </w:p>
        </w:tc>
      </w:tr>
      <w:tr>
        <w:tc>
          <w:tcPr>
            <w:tcW w:type="dxa" w:w="5227"/>
          </w:tcPr>
          <w:p>
            <w:r>
              <w:t>agent-auth.md</w:t>
            </w:r>
          </w:p>
        </w:tc>
        <w:tc>
          <w:tcPr>
            <w:tcW w:type="dxa" w:w="5227"/>
          </w:tcPr>
          <w:p>
            <w:r>
              <w:t>Partner Agent bootstrap, access-token and Oolix-side validation contract.</w:t>
            </w:r>
          </w:p>
        </w:tc>
      </w:tr>
      <w:tr>
        <w:tc>
          <w:tcPr>
            <w:tcW w:type="dxa" w:w="5227"/>
          </w:tcPr>
          <w:p>
            <w:r>
              <w:t>mock-partner/</w:t>
            </w:r>
          </w:p>
        </w:tc>
        <w:tc>
          <w:tcPr>
            <w:tcW w:type="dxa" w:w="5227"/>
          </w:tcPr>
          <w:p>
            <w:r>
              <w:t>Runnable local synthetic Partner web/backend starter with U123/U456 fixtures.</w:t>
            </w:r>
          </w:p>
        </w:tc>
      </w:tr>
    </w:tbl>
    <w:p/>
    <w:p>
      <w:r>
        <w:br w:type="page"/>
      </w:r>
    </w:p>
    <w:p>
      <w:pPr>
        <w:pStyle w:val="Heading1"/>
      </w:pPr>
      <w:r>
        <w:t>PART IV - v5 Final Implementation Corrections and Executable Examples</w:t>
      </w:r>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v5 precedence rule</w:t>
            </w:r>
          </w:p>
          <w:p>
            <w:r>
              <w:rPr>
                <w:rFonts w:ascii="Arial" w:hAnsi="Arial"/>
                <w:sz w:val="16"/>
              </w:rPr>
              <w:t>This Part closes the remaining implementation review items. It is authoritative for attribution tokens, channel constants, Mock Partner behavior, Agent authentication, bootstrap tokens, creative upload, rate limiting, seeding, OpenAPI examples, mobile SDK interfaces, approval SLA, payout examples, performance baselines and known limitations. Where Parts I-III differ, use Part IV.</w:t>
            </w:r>
          </w:p>
        </w:tc>
      </w:tr>
    </w:tbl>
    <w:p/>
    <w:p>
      <w:pPr>
        <w:pStyle w:val="Heading1"/>
      </w:pPr>
      <w:r>
        <w:t>89. Canonical Channel Enum</w:t>
      </w:r>
    </w:p>
    <w:p>
      <w:pPr>
        <w:spacing w:before="40" w:after="80"/>
        <w:ind w:left="216" w:right="115"/>
        <w:shd w:fill="F3F4F6"/>
      </w:pPr>
      <w:r>
        <w:rPr>
          <w:rFonts w:ascii="Courier New" w:hAnsi="Courier New"/>
          <w:sz w:val="14"/>
        </w:rPr>
        <w:t>enum Channel {</w:t>
        <w:br/>
        <w:t xml:space="preserve">  PARTNER_WEB = "PARTNER_WEB",</w:t>
        <w:br/>
        <w:t xml:space="preserve">  PARTNER_APP = "PARTNER_APP",</w:t>
        <w:br/>
        <w:t xml:space="preserve">  META = "META",</w:t>
        <w:br/>
        <w:t xml:space="preserve">  GOOGLE = "GOOGLE"</w:t>
        <w:br/>
        <w:t>}</w:t>
      </w:r>
    </w:p>
    <w:p>
      <w:pPr>
        <w:pStyle w:val="ListBullet"/>
        <w:spacing w:after="40"/>
      </w:pPr>
      <w:r>
        <w:t>Use exactly these four strings in the MVP database, HTTP APIs, manifests, events and frontend state.</w:t>
      </w:r>
    </w:p>
    <w:p>
      <w:pPr>
        <w:pStyle w:val="ListBullet"/>
        <w:spacing w:after="40"/>
      </w:pPr>
      <w:r>
        <w:t>Do not use WEB/APP aliases, lowercase PARTNER_WEB/PARTNER_APP values, or META/GOOGLE values.</w:t>
      </w:r>
    </w:p>
    <w:p>
      <w:pPr>
        <w:pStyle w:val="ListBullet"/>
        <w:spacing w:after="40"/>
      </w:pPr>
      <w:r>
        <w:t>Eligibility is a separate state/capability, not encoded into the channel constant.</w:t>
      </w:r>
    </w:p>
    <w:p>
      <w:pPr>
        <w:pStyle w:val="Heading1"/>
      </w:pPr>
      <w:r>
        <w:t>90. Opaque Attribution Token - Canonical Implementation</w:t>
      </w:r>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Correction</w:t>
            </w:r>
          </w:p>
          <w:p>
            <w:r>
              <w:rPr>
                <w:rFonts w:ascii="Arial" w:hAnsi="Arial"/>
                <w:sz w:val="16"/>
              </w:rPr>
              <w:t>The click token is opaque. It does not contain activation_id, partner_id, placement_id, creative_id, timestamps or a nonce. Those values exist only in Oolix's server-side attribution_tokens row keyed by token_hash.</w:t>
            </w:r>
          </w:p>
        </w:tc>
      </w:tr>
    </w:tbl>
    <w:p/>
    <w:p>
      <w:pPr>
        <w:spacing w:before="40" w:after="80"/>
        <w:ind w:left="216" w:right="115"/>
        <w:shd w:fill="F3F4F6"/>
      </w:pPr>
      <w:r>
        <w:rPr>
          <w:rFonts w:ascii="Courier New" w:hAnsi="Courier New"/>
          <w:sz w:val="14"/>
        </w:rPr>
        <w:t>// Token generation</w:t>
        <w:br/>
        <w:t>const tokenBytes = crypto.randomBytes(32);</w:t>
        <w:br/>
        <w:t>const clickToken = base64url(tokenBytes);</w:t>
        <w:br/>
        <w:t>const tokenHash = sha256(clickToken);</w:t>
        <w:br/>
        <w:br/>
        <w:t>// Persist server-side metadata keyed by token hash.</w:t>
        <w:br/>
        <w:t>await db.attribution_tokens.create({</w:t>
        <w:br/>
        <w:t xml:space="preserve">  data: {</w:t>
        <w:br/>
        <w:t xml:space="preserve">    token_hash: tokenHash,</w:t>
        <w:br/>
        <w:t xml:space="preserve">    activation_id: "act_a_web",</w:t>
        <w:br/>
        <w:t xml:space="preserve">    partner_org_id: "org_partner_a",</w:t>
        <w:br/>
        <w:t xml:space="preserve">    placement_id: "pl_booking_success",</w:t>
        <w:br/>
        <w:t xml:space="preserve">    creative_version_id: "crv_10",</w:t>
        <w:br/>
        <w:t xml:space="preserve">    issued_at: now,</w:t>
        <w:br/>
        <w:t xml:space="preserve">    expires_at: addDays(now, 7),</w:t>
        <w:br/>
        <w:t xml:space="preserve">    lead_state: "UNREDEEMED"</w:t>
        <w:br/>
        <w:t xml:space="preserve">  }</w:t>
        <w:br/>
        <w:t>});</w:t>
        <w:br/>
        <w:br/>
        <w:t>// Only the raw opaque token is returned to the browser/Buyer.</w:t>
        <w:br/>
        <w:t>return { click_token: clickToken, expires_at: addDays(now, 7) };</w:t>
      </w:r>
    </w:p>
    <w:p>
      <w:pPr>
        <w:pStyle w:val="ListBullet"/>
        <w:spacing w:after="40"/>
      </w:pPr>
      <w:r>
        <w:t>Store only SHA-256(token), never the raw token, in the central database.</w:t>
      </w:r>
    </w:p>
    <w:p>
      <w:pPr>
        <w:pStyle w:val="ListBullet"/>
        <w:spacing w:after="40"/>
      </w:pPr>
      <w:r>
        <w:t>Raw tokens must not appear in logs, metrics, queue payloads or support screenshots.</w:t>
      </w:r>
    </w:p>
    <w:p>
      <w:pPr>
        <w:pStyle w:val="ListBullet"/>
        <w:spacing w:after="40"/>
      </w:pPr>
      <w:r>
        <w:t>A token maps to one logical lead. CRM events move that lead through valid states; they do not create unlimited independent leads.</w:t>
      </w:r>
    </w:p>
    <w:p>
      <w:pPr>
        <w:pStyle w:val="ListBullet"/>
        <w:spacing w:after="40"/>
      </w:pPr>
      <w:r>
        <w:t>Partner identity may be stored on the attribution row for reporting convenience but is also derivable from activation_id.</w:t>
      </w:r>
    </w:p>
    <w:p>
      <w:pPr>
        <w:pStyle w:val="Heading1"/>
      </w:pPr>
      <w:r>
        <w:t>91. Mock Partner - Required Local Development Component</w:t>
      </w:r>
    </w:p>
    <w:p>
      <w:r>
        <w:t>The repository must include a runnable Mock Partner so frontend/backend/Agent work can be developed and demoed before a real Data Partner is available.</w:t>
      </w:r>
    </w:p>
    <w:tbl>
      <w:tblPr>
        <w:tblStyle w:val="TableGrid"/>
        <w:tblW w:type="auto" w:w="0"/>
        <w:jc w:val="center"/>
        <w:tblLook w:firstColumn="1" w:firstRow="1" w:lastColumn="0" w:lastRow="0" w:noHBand="0" w:noVBand="1" w:val="04A0"/>
      </w:tblPr>
      <w:tblGrid>
        <w:gridCol w:w="5227"/>
        <w:gridCol w:w="5227"/>
      </w:tblGrid>
      <w:tr>
        <w:tc>
          <w:tcPr>
            <w:tcW w:type="dxa" w:w="2880"/>
            <w:vAlign w:val="center"/>
            <w:shd w:fill="1B4363"/>
          </w:tcPr>
          <w:p>
            <w:pPr>
              <w:spacing w:after="0"/>
            </w:pPr>
            <w:r/>
            <w:r>
              <w:rPr>
                <w:rFonts w:ascii="Arial" w:hAnsi="Arial"/>
                <w:b/>
                <w:color w:val="FFFFFF"/>
                <w:sz w:val="16"/>
              </w:rPr>
              <w:t>Item</w:t>
            </w:r>
          </w:p>
        </w:tc>
        <w:tc>
          <w:tcPr>
            <w:tcW w:type="dxa" w:w="6912"/>
            <w:vAlign w:val="center"/>
            <w:shd w:fill="1B4363"/>
          </w:tcPr>
          <w:p>
            <w:pPr>
              <w:spacing w:after="0"/>
            </w:pPr>
            <w:r/>
            <w:r>
              <w:rPr>
                <w:rFonts w:ascii="Arial" w:hAnsi="Arial"/>
                <w:b/>
                <w:color w:val="FFFFFF"/>
                <w:sz w:val="16"/>
              </w:rPr>
              <w:t>Mock behavior</w:t>
            </w:r>
          </w:p>
        </w:tc>
      </w:tr>
      <w:tr>
        <w:tc>
          <w:tcPr>
            <w:tcW w:type="dxa" w:w="2880"/>
            <w:vAlign w:val="center"/>
          </w:tcPr>
          <w:p>
            <w:pPr>
              <w:spacing w:after="0"/>
            </w:pPr>
            <w:r/>
            <w:r>
              <w:rPr>
                <w:rFonts w:ascii="Arial" w:hAnsi="Arial"/>
                <w:b w:val="0"/>
                <w:sz w:val="15"/>
              </w:rPr>
              <w:t>Demo web app</w:t>
            </w:r>
          </w:p>
        </w:tc>
        <w:tc>
          <w:tcPr>
            <w:tcW w:type="dxa" w:w="6912"/>
            <w:vAlign w:val="center"/>
          </w:tcPr>
          <w:p>
            <w:pPr>
              <w:spacing w:after="0"/>
            </w:pPr>
            <w:r/>
            <w:r>
              <w:rPr>
                <w:rFonts w:ascii="Arial" w:hAnsi="Arial"/>
                <w:b w:val="0"/>
                <w:sz w:val="15"/>
              </w:rPr>
              <w:t>http://localhost:4001 with an Oolix ad slot and selectable mock user.</w:t>
            </w:r>
          </w:p>
        </w:tc>
      </w:tr>
      <w:tr>
        <w:tc>
          <w:tcPr>
            <w:tcW w:type="dxa" w:w="2880"/>
            <w:vAlign w:val="center"/>
          </w:tcPr>
          <w:p>
            <w:pPr>
              <w:spacing w:after="0"/>
            </w:pPr>
            <w:r/>
            <w:r>
              <w:rPr>
                <w:rFonts w:ascii="Arial" w:hAnsi="Arial"/>
                <w:b w:val="0"/>
                <w:sz w:val="15"/>
              </w:rPr>
              <w:t>Mock Partner backend</w:t>
            </w:r>
          </w:p>
        </w:tc>
        <w:tc>
          <w:tcPr>
            <w:tcW w:type="dxa" w:w="6912"/>
            <w:vAlign w:val="center"/>
          </w:tcPr>
          <w:p>
            <w:pPr>
              <w:spacing w:after="0"/>
            </w:pPr>
            <w:r/>
            <w:r>
              <w:rPr>
                <w:rFonts w:ascii="Arial" w:hAnsi="Arial"/>
                <w:b w:val="0"/>
                <w:sz w:val="15"/>
              </w:rPr>
              <w:t>http://localhost:4001/api/ad-decision; resolves ?user=U123 and calls local Agent.</w:t>
            </w:r>
          </w:p>
        </w:tc>
      </w:tr>
      <w:tr>
        <w:tc>
          <w:tcPr>
            <w:tcW w:type="dxa" w:w="2880"/>
            <w:vAlign w:val="center"/>
          </w:tcPr>
          <w:p>
            <w:pPr>
              <w:spacing w:after="0"/>
            </w:pPr>
            <w:r/>
            <w:r>
              <w:rPr>
                <w:rFonts w:ascii="Arial" w:hAnsi="Arial"/>
                <w:b w:val="0"/>
                <w:sz w:val="15"/>
              </w:rPr>
              <w:t>Partner Agent</w:t>
            </w:r>
          </w:p>
        </w:tc>
        <w:tc>
          <w:tcPr>
            <w:tcW w:type="dxa" w:w="6912"/>
            <w:vAlign w:val="center"/>
          </w:tcPr>
          <w:p>
            <w:pPr>
              <w:spacing w:after="0"/>
            </w:pPr>
            <w:r/>
            <w:r>
              <w:rPr>
                <w:rFonts w:ascii="Arial" w:hAnsi="Arial"/>
                <w:b w:val="0"/>
                <w:sz w:val="15"/>
              </w:rPr>
              <w:t>http://localhost:8082/private/v1/ad-decision.</w:t>
            </w:r>
          </w:p>
        </w:tc>
      </w:tr>
      <w:tr>
        <w:tc>
          <w:tcPr>
            <w:tcW w:type="dxa" w:w="2880"/>
            <w:vAlign w:val="center"/>
          </w:tcPr>
          <w:p>
            <w:pPr>
              <w:spacing w:after="0"/>
            </w:pPr>
            <w:r/>
            <w:r>
              <w:rPr>
                <w:rFonts w:ascii="Arial" w:hAnsi="Arial"/>
                <w:b w:val="0"/>
                <w:sz w:val="15"/>
              </w:rPr>
              <w:t>Segment 1</w:t>
            </w:r>
          </w:p>
        </w:tc>
        <w:tc>
          <w:tcPr>
            <w:tcW w:type="dxa" w:w="6912"/>
            <w:vAlign w:val="center"/>
          </w:tcPr>
          <w:p>
            <w:pPr>
              <w:spacing w:after="0"/>
            </w:pPr>
            <w:r/>
            <w:r>
              <w:rPr>
                <w:rFonts w:ascii="Arial" w:hAnsi="Arial"/>
                <w:b w:val="0"/>
                <w:sz w:val="15"/>
              </w:rPr>
              <w:t>RECENT_TRAVELLER_60D.</w:t>
            </w:r>
          </w:p>
        </w:tc>
      </w:tr>
      <w:tr>
        <w:tc>
          <w:tcPr>
            <w:tcW w:type="dxa" w:w="2880"/>
            <w:vAlign w:val="center"/>
          </w:tcPr>
          <w:p>
            <w:pPr>
              <w:spacing w:after="0"/>
            </w:pPr>
            <w:r/>
            <w:r>
              <w:rPr>
                <w:rFonts w:ascii="Arial" w:hAnsi="Arial"/>
                <w:b w:val="0"/>
                <w:sz w:val="15"/>
              </w:rPr>
              <w:t>Segment 2</w:t>
            </w:r>
          </w:p>
        </w:tc>
        <w:tc>
          <w:tcPr>
            <w:tcW w:type="dxa" w:w="6912"/>
            <w:vAlign w:val="center"/>
          </w:tcPr>
          <w:p>
            <w:pPr>
              <w:spacing w:after="0"/>
            </w:pPr>
            <w:r/>
            <w:r>
              <w:rPr>
                <w:rFonts w:ascii="Arial" w:hAnsi="Arial"/>
                <w:b w:val="0"/>
                <w:sz w:val="15"/>
              </w:rPr>
              <w:t>PREMIUM_USER.</w:t>
            </w:r>
          </w:p>
        </w:tc>
      </w:tr>
      <w:tr>
        <w:tc>
          <w:tcPr>
            <w:tcW w:type="dxa" w:w="2880"/>
            <w:vAlign w:val="center"/>
          </w:tcPr>
          <w:p>
            <w:pPr>
              <w:spacing w:after="0"/>
            </w:pPr>
            <w:r/>
            <w:r>
              <w:rPr>
                <w:rFonts w:ascii="Arial" w:hAnsi="Arial"/>
                <w:b w:val="0"/>
                <w:sz w:val="15"/>
              </w:rPr>
              <w:t>U123</w:t>
            </w:r>
          </w:p>
        </w:tc>
        <w:tc>
          <w:tcPr>
            <w:tcW w:type="dxa" w:w="6912"/>
            <w:vAlign w:val="center"/>
          </w:tcPr>
          <w:p>
            <w:pPr>
              <w:spacing w:after="0"/>
            </w:pPr>
            <w:r/>
            <w:r>
              <w:rPr>
                <w:rFonts w:ascii="Arial" w:hAnsi="Arial"/>
                <w:b w:val="0"/>
                <w:sz w:val="15"/>
              </w:rPr>
              <w:t>Member of RECENT_TRAVELLER_60D and PREMIUM_USER.</w:t>
            </w:r>
          </w:p>
        </w:tc>
      </w:tr>
      <w:tr>
        <w:tc>
          <w:tcPr>
            <w:tcW w:type="dxa" w:w="2880"/>
            <w:vAlign w:val="center"/>
          </w:tcPr>
          <w:p>
            <w:pPr>
              <w:spacing w:after="0"/>
            </w:pPr>
            <w:r/>
            <w:r>
              <w:rPr>
                <w:rFonts w:ascii="Arial" w:hAnsi="Arial"/>
                <w:b w:val="0"/>
                <w:sz w:val="15"/>
              </w:rPr>
              <w:t>U456</w:t>
            </w:r>
          </w:p>
        </w:tc>
        <w:tc>
          <w:tcPr>
            <w:tcW w:type="dxa" w:w="6912"/>
            <w:vAlign w:val="center"/>
          </w:tcPr>
          <w:p>
            <w:pPr>
              <w:spacing w:after="0"/>
            </w:pPr>
            <w:r/>
            <w:r>
              <w:rPr>
                <w:rFonts w:ascii="Arial" w:hAnsi="Arial"/>
                <w:b w:val="0"/>
                <w:sz w:val="15"/>
              </w:rPr>
              <w:t>Not a member of either segment.</w:t>
            </w:r>
          </w:p>
        </w:tc>
      </w:tr>
      <w:tr>
        <w:tc>
          <w:tcPr>
            <w:tcW w:type="dxa" w:w="2880"/>
            <w:vAlign w:val="center"/>
          </w:tcPr>
          <w:p>
            <w:pPr>
              <w:spacing w:after="0"/>
            </w:pPr>
            <w:r/>
            <w:r>
              <w:rPr>
                <w:rFonts w:ascii="Arial" w:hAnsi="Arial"/>
                <w:b w:val="0"/>
                <w:sz w:val="15"/>
              </w:rPr>
              <w:t>Buyer landing page</w:t>
            </w:r>
          </w:p>
        </w:tc>
        <w:tc>
          <w:tcPr>
            <w:tcW w:type="dxa" w:w="6912"/>
            <w:vAlign w:val="center"/>
          </w:tcPr>
          <w:p>
            <w:pPr>
              <w:spacing w:after="0"/>
            </w:pPr>
            <w:r/>
            <w:r>
              <w:rPr>
                <w:rFonts w:ascii="Arial" w:hAnsi="Arial"/>
                <w:b w:val="0"/>
                <w:sz w:val="15"/>
              </w:rPr>
              <w:t>/buyer-landing?click_token=... to test attribution and CRM events.</w:t>
            </w:r>
          </w:p>
        </w:tc>
      </w:tr>
      <w:tr>
        <w:tc>
          <w:tcPr>
            <w:tcW w:type="dxa" w:w="2880"/>
            <w:vAlign w:val="center"/>
          </w:tcPr>
          <w:p>
            <w:pPr>
              <w:spacing w:after="0"/>
            </w:pPr>
            <w:r/>
            <w:r>
              <w:rPr>
                <w:rFonts w:ascii="Arial" w:hAnsi="Arial"/>
                <w:b w:val="0"/>
                <w:sz w:val="15"/>
              </w:rPr>
              <w:t>House fallback</w:t>
            </w:r>
          </w:p>
        </w:tc>
        <w:tc>
          <w:tcPr>
            <w:tcW w:type="dxa" w:w="6912"/>
            <w:vAlign w:val="center"/>
          </w:tcPr>
          <w:p>
            <w:pPr>
              <w:spacing w:after="0"/>
            </w:pPr>
            <w:r/>
            <w:r>
              <w:rPr>
                <w:rFonts w:ascii="Arial" w:hAnsi="Arial"/>
                <w:b w:val="0"/>
                <w:sz w:val="15"/>
              </w:rPr>
              <w:t>Displayed when Agent returns NO_AD or times out.</w:t>
            </w:r>
          </w:p>
        </w:tc>
      </w:tr>
    </w:tbl>
    <w:p/>
    <w:p>
      <w:pPr>
        <w:spacing w:before="40" w:after="80"/>
        <w:ind w:left="216" w:right="115"/>
        <w:shd w:fill="F3F4F6"/>
      </w:pPr>
      <w:r>
        <w:rPr>
          <w:rFonts w:ascii="Courier New" w:hAnsi="Courier New"/>
          <w:sz w:val="14"/>
        </w:rPr>
        <w:t># Run local dependencies + Oolix first</w:t>
        <w:br/>
        <w:t>docker compose up -d</w:t>
        <w:br/>
        <w:t>pnpm db:migrate</w:t>
        <w:br/>
        <w:t>pnpm db:seed --env=development</w:t>
        <w:br/>
        <w:br/>
        <w:t># Start mock Partner</w:t>
        <w:br/>
        <w:t>pnpm --filter @oolix/mock-partner dev</w:t>
        <w:br/>
        <w:br/>
        <w:t># Examples</w:t>
        <w:br/>
        <w:t>http://localhost:4001/?user=U123   # eligible user</w:t>
        <w:br/>
        <w:t>http://localhost:4001/?user=U456   # ineligible user</w:t>
      </w:r>
    </w:p>
    <w:p>
      <w:pPr>
        <w:pStyle w:val="Heading2"/>
      </w:pPr>
      <w:r>
        <w:t>91.1 Mock Partner request path</w:t>
      </w:r>
    </w:p>
    <w:p>
      <w:pPr>
        <w:spacing w:before="40" w:after="80"/>
        <w:ind w:left="216" w:right="115"/>
        <w:shd w:fill="F3F4F6"/>
      </w:pPr>
      <w:r>
        <w:rPr>
          <w:rFonts w:ascii="Courier New" w:hAnsi="Courier New"/>
          <w:sz w:val="14"/>
        </w:rPr>
        <w:t>Browser</w:t>
        <w:br/>
        <w:t xml:space="preserve">  -&gt; GET /?user=U123</w:t>
        <w:br/>
        <w:t xml:space="preserve">  -&gt; POST /api/ad-decision { placement_id:"booking_success_offer" }</w:t>
        <w:br/>
        <w:t>Mock Partner Backend</w:t>
        <w:br/>
        <w:t xml:space="preserve">  -&gt; resolves partner_user_id=U123 server-side</w:t>
        <w:br/>
        <w:t xml:space="preserve">  -&gt; POST http://localhost:8082/private/v1/ad-decision</w:t>
        <w:br/>
        <w:t>Partner Agent</w:t>
        <w:br/>
        <w:t xml:space="preserve">  -&gt; local segment lookup</w:t>
        <w:br/>
        <w:t xml:space="preserve">  -&gt; SHOW / NO_AD</w:t>
        <w:br/>
        <w:t>Mock Partner</w:t>
        <w:br/>
        <w:t xml:space="preserve">  -&gt; render creative or house fallback</w:t>
      </w:r>
    </w:p>
    <w:p>
      <w:pPr>
        <w:pStyle w:val="Heading1"/>
      </w:pPr>
      <w:r>
        <w:t>92. Bootstrap Token and Agent Authentication - Complete Flow</w:t>
      </w:r>
    </w:p>
    <w:p>
      <w:pPr>
        <w:pStyle w:val="Heading2"/>
      </w:pPr>
      <w:r>
        <w:t>92.1 Bootstrap token generation in Partner UI</w:t>
      </w:r>
    </w:p>
    <w:p>
      <w:pPr>
        <w:pStyle w:val="ListNumber"/>
        <w:spacing w:after="40"/>
      </w:pPr>
      <w:r>
        <w:t>PARTNER_SECURITY_ADMIN opens Integrations -&gt; Partner Agent and clicks "Generate Bootstrap Token".</w:t>
      </w:r>
    </w:p>
    <w:p>
      <w:pPr>
        <w:pStyle w:val="ListNumber"/>
        <w:spacing w:after="40"/>
      </w:pPr>
      <w:r>
        <w:t>Oolix generates 32 cryptographically secure random bytes and returns base64url(token) once.</w:t>
      </w:r>
    </w:p>
    <w:p>
      <w:pPr>
        <w:pStyle w:val="ListNumber"/>
        <w:spacing w:after="40"/>
      </w:pPr>
      <w:r>
        <w:t>Oolix stores only SHA-256(token) with partner_org_id, generated_by, generated_at, expires_at=+15 minutes, used_at=NULL and revoked_at=NULL.</w:t>
      </w:r>
    </w:p>
    <w:p>
      <w:pPr>
        <w:pStyle w:val="ListNumber"/>
        <w:spacing w:after="40"/>
      </w:pPr>
      <w:r>
        <w:t>Token is single-use. The UI warns that it cannot be displayed again.</w:t>
      </w:r>
    </w:p>
    <w:p>
      <w:pPr>
        <w:spacing w:before="40" w:after="80"/>
        <w:ind w:left="216" w:right="115"/>
        <w:shd w:fill="F3F4F6"/>
      </w:pPr>
      <w:r>
        <w:rPr>
          <w:rFonts w:ascii="Courier New" w:hAnsi="Courier New"/>
          <w:sz w:val="14"/>
        </w:rPr>
        <w:t>agent_bootstrap_tokens</w:t>
        <w:br/>
        <w:t>- id UUID PK</w:t>
        <w:br/>
        <w:t>- partner_org_id UUID FK</w:t>
        <w:br/>
        <w:t>- token_hash BYTEA UNIQUE</w:t>
        <w:br/>
        <w:t>- generated_by UUID FK</w:t>
        <w:br/>
        <w:t>- generated_at TIMESTAMPTZ</w:t>
        <w:br/>
        <w:t>- expires_at TIMESTAMPTZ</w:t>
        <w:br/>
        <w:t>- used_at TIMESTAMPTZ NULL</w:t>
        <w:br/>
        <w:t>- revoked_at TIMESTAMPTZ NULL</w:t>
      </w:r>
    </w:p>
    <w:p>
      <w:pPr>
        <w:pStyle w:val="Heading2"/>
      </w:pPr>
      <w:r>
        <w:t>92.2 Registration request</w:t>
      </w:r>
    </w:p>
    <w:p>
      <w:pPr>
        <w:spacing w:before="40" w:after="80"/>
        <w:ind w:left="216" w:right="115"/>
        <w:shd w:fill="F3F4F6"/>
      </w:pPr>
      <w:r>
        <w:rPr>
          <w:rFonts w:ascii="Courier New" w:hAnsi="Courier New"/>
          <w:sz w:val="14"/>
        </w:rPr>
        <w:t>POST /agent/v1/register</w:t>
        <w:br/>
        <w:t>Content-Type: application/json</w:t>
        <w:br/>
        <w:br/>
        <w:t>{</w:t>
        <w:br/>
        <w:t xml:space="preserve">  "bootstrap_token": "&lt;32-byte-base64url-token&gt;",</w:t>
        <w:br/>
        <w:t xml:space="preserve">  "agent_public_key_jwk": {</w:t>
        <w:br/>
        <w:t xml:space="preserve">    "kty":"EC",</w:t>
        <w:br/>
        <w:t xml:space="preserve">    "crv":"P-256",</w:t>
        <w:br/>
        <w:t xml:space="preserve">    "x":"...",</w:t>
        <w:br/>
        <w:t xml:space="preserve">    "y":"..."</w:t>
        <w:br/>
        <w:t xml:space="preserve">  },</w:t>
        <w:br/>
        <w:t xml:space="preserve">  "agent_version":"0.4.3",</w:t>
        <w:br/>
        <w:t xml:space="preserve">  "capabilities":["PARTNER_WEB"]</w:t>
        <w:br/>
        <w:t>}</w:t>
        <w:br/>
        <w:br/>
        <w:t>201</w:t>
        <w:br/>
        <w:t>{</w:t>
        <w:br/>
        <w:t xml:space="preserve">  "agent_id":"agent_123",</w:t>
        <w:br/>
        <w:t xml:space="preserve">  "client_id":"oolix_agent_123",</w:t>
        <w:br/>
        <w:t xml:space="preserve">  "token_endpoint":"https://api.oolix.example/agent/v1/token",</w:t>
        <w:br/>
        <w:t xml:space="preserve">  "issuer":"https://api.oolix.example",</w:t>
        <w:br/>
        <w:t xml:space="preserve">  "audience":"oolix-agent-api"</w:t>
        <w:br/>
        <w:t>}</w:t>
      </w:r>
    </w:p>
    <w:p>
      <w:pPr>
        <w:pStyle w:val="ListBullet"/>
        <w:spacing w:after="40"/>
      </w:pPr>
      <w:r>
        <w:t>Registration validates token hash, expiry, unused status, Partner organization state and Agent version policy.</w:t>
      </w:r>
    </w:p>
    <w:p>
      <w:pPr>
        <w:pStyle w:val="ListBullet"/>
        <w:spacing w:after="40"/>
      </w:pPr>
      <w:r>
        <w:t>On success, set used_at atomically in the same transaction that creates the Agent record.</w:t>
      </w:r>
    </w:p>
    <w:p>
      <w:pPr>
        <w:pStyle w:val="ListBullet"/>
        <w:spacing w:after="40"/>
      </w:pPr>
      <w:r>
        <w:t>The Agent private P-256 key never leaves Partner infrastructure.</w:t>
      </w:r>
    </w:p>
    <w:p>
      <w:pPr>
        <w:pStyle w:val="Heading2"/>
      </w:pPr>
      <w:r>
        <w:t>92.3 Short-lived access token request</w:t>
      </w:r>
    </w:p>
    <w:p>
      <w:pPr>
        <w:spacing w:before="40" w:after="80"/>
        <w:ind w:left="216" w:right="115"/>
        <w:shd w:fill="F3F4F6"/>
      </w:pPr>
      <w:r>
        <w:rPr>
          <w:rFonts w:ascii="Courier New" w:hAnsi="Courier New"/>
          <w:sz w:val="14"/>
        </w:rPr>
        <w:t>POST /agent/v1/token</w:t>
        <w:br/>
        <w:br/>
        <w:t>{</w:t>
        <w:br/>
        <w:t xml:space="preserve">  "client_id":"oolix_agent_123",</w:t>
        <w:br/>
        <w:t xml:space="preserve">  "client_assertion_type":"urn:ietf:params:oauth:client-assertion-type:jwt-bearer",</w:t>
        <w:br/>
        <w:t xml:space="preserve">  "client_assertion":"&lt;ES256 JWT signed by Agent private key&gt;"</w:t>
        <w:br/>
        <w:t>}</w:t>
        <w:br/>
        <w:br/>
        <w:t>200</w:t>
        <w:br/>
        <w:t>{</w:t>
        <w:br/>
        <w:t xml:space="preserve">  "access_token":"&lt;Oolix-signed-access-token&gt;",</w:t>
        <w:br/>
        <w:t xml:space="preserve">  "token_type":"Bearer",</w:t>
        <w:br/>
        <w:t xml:space="preserve">  "expires_in":900</w:t>
        <w:br/>
        <w:t>}</w:t>
      </w:r>
    </w:p>
    <w:p>
      <w:pPr>
        <w:pStyle w:val="Heading2"/>
      </w:pPr>
      <w:r>
        <w:t>92.4 Oolix-side validation for every /agent/v1/* call</w:t>
      </w:r>
    </w:p>
    <w:p>
      <w:pPr>
        <w:pStyle w:val="ListNumber"/>
        <w:spacing w:after="40"/>
      </w:pPr>
      <w:r>
        <w:t>Read Authorization: Bearer &lt;access_token&gt; and X-Agent-Id.</w:t>
      </w:r>
    </w:p>
    <w:p>
      <w:pPr>
        <w:pStyle w:val="ListNumber"/>
        <w:spacing w:after="40"/>
      </w:pPr>
      <w:r>
        <w:t>Verify Oolix-issued access-token signature, issuer, audience and exp/nbf claims.</w:t>
      </w:r>
    </w:p>
    <w:p>
      <w:pPr>
        <w:pStyle w:val="ListNumber"/>
        <w:spacing w:after="40"/>
      </w:pPr>
      <w:r>
        <w:t>Require token subject/client_id to map to the same X-Agent-Id.</w:t>
      </w:r>
    </w:p>
    <w:p>
      <w:pPr>
        <w:pStyle w:val="ListNumber"/>
        <w:spacing w:after="40"/>
      </w:pPr>
      <w:r>
        <w:t>Load Agent registration and require status=ACTIVE and partner_org_id active.</w:t>
      </w:r>
    </w:p>
    <w:p>
      <w:pPr>
        <w:pStyle w:val="ListNumber"/>
        <w:spacing w:after="40"/>
      </w:pPr>
      <w:r>
        <w:t>Verify required scope for endpoint (config:read, reporting:write, channel_status:write, etc.).</w:t>
      </w:r>
    </w:p>
    <w:p>
      <w:pPr>
        <w:pStyle w:val="ListNumber"/>
        <w:spacing w:after="40"/>
      </w:pPr>
      <w:r>
        <w:t>Reject revoked key/Agent versions according to security policy.</w:t>
      </w:r>
    </w:p>
    <w:p>
      <w:pPr>
        <w:pStyle w:val="ListNumber"/>
        <w:spacing w:after="40"/>
      </w:pPr>
      <w:r>
        <w:t>Attach agent_id + partner_org_id to request context; never trust a partner_org_id supplied in the body.</w:t>
      </w:r>
    </w:p>
    <w:p>
      <w:pPr>
        <w:pStyle w:val="ListNumber"/>
        <w:spacing w:after="40"/>
      </w:pPr>
      <w:r>
        <w:t>Audit authentication failures using agent_id/correlation_id only; do not log token or Partner customer data.</w:t>
      </w:r>
    </w:p>
    <w:p>
      <w:pPr>
        <w:spacing w:before="40" w:after="80"/>
        <w:ind w:left="216" w:right="115"/>
        <w:shd w:fill="F3F4F6"/>
      </w:pPr>
      <w:r>
        <w:rPr>
          <w:rFonts w:ascii="Courier New" w:hAnsi="Courier New"/>
          <w:sz w:val="14"/>
        </w:rPr>
        <w:t>POST /agent/v1/heartbeat</w:t>
        <w:br/>
        <w:t>X-Agent-Id: agent_123</w:t>
        <w:br/>
        <w:t>Authorization: Bearer &lt;access_token&gt;</w:t>
        <w:br/>
        <w:t>X-Correlation-Id: corr_...</w:t>
        <w:br/>
        <w:br/>
        <w:t>{</w:t>
        <w:br/>
        <w:t xml:space="preserve">  "agent_version":"0.4.3",</w:t>
        <w:br/>
        <w:t xml:space="preserve">  "config_age_seconds":120,</w:t>
        <w:br/>
        <w:t xml:space="preserve">  "status":"HEALTHY",</w:t>
        <w:br/>
        <w:t xml:space="preserve">  "sent_at":"2026-08-22T10:00:00Z",</w:t>
        <w:br/>
        <w:t xml:space="preserve">  "payload_signature":"&lt;ES256 signature over canonical body hash&gt;"</w:t>
        <w:br/>
        <w:t>}</w:t>
      </w:r>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Heartbeat signature</w:t>
            </w:r>
          </w:p>
          <w:p>
            <w:r>
              <w:rPr>
                <w:rFonts w:ascii="Arial" w:hAnsi="Arial"/>
                <w:sz w:val="16"/>
              </w:rPr>
              <w:t>The Bearer token authenticates the Agent. The optional payload_signature provides tamper evidence for heartbeat/report batches. If used, Oolix verifies it with the Agent's registered public key after authenticating the access token.</w:t>
            </w:r>
          </w:p>
        </w:tc>
      </w:tr>
    </w:tbl>
    <w:p/>
    <w:p>
      <w:pPr>
        <w:pStyle w:val="Heading1"/>
      </w:pPr>
      <w:r>
        <w:t>93. Creative Upload API - Complete Flow</w:t>
      </w:r>
    </w:p>
    <w:p>
      <w:pPr>
        <w:pStyle w:val="Heading2"/>
      </w:pPr>
      <w:r>
        <w:t>93.1 Request upload session</w:t>
      </w:r>
    </w:p>
    <w:p>
      <w:pPr>
        <w:spacing w:before="40" w:after="80"/>
        <w:ind w:left="216" w:right="115"/>
        <w:shd w:fill="F3F4F6"/>
      </w:pPr>
      <w:r>
        <w:rPr>
          <w:rFonts w:ascii="Courier New" w:hAnsi="Courier New"/>
          <w:sz w:val="14"/>
        </w:rPr>
        <w:t>POST /v1/creatives/upload-session</w:t>
        <w:br/>
        <w:t>Idempotency-Key: ...</w:t>
        <w:br/>
        <w:br/>
        <w:t>{</w:t>
        <w:br/>
        <w:t xml:space="preserve">  "campaign_id":"cmp_100",</w:t>
        <w:br/>
        <w:t xml:space="preserve">  "file_name":"travel_insurance_banner.png",</w:t>
        <w:br/>
        <w:t xml:space="preserve">  "mime_type":"image/png",</w:t>
        <w:br/>
        <w:t xml:space="preserve">  "file_size_bytes":2048576,</w:t>
        <w:br/>
        <w:t xml:space="preserve">  "creative_type":"IMAGE",</w:t>
        <w:br/>
        <w:t xml:space="preserve">  "width":1200,</w:t>
        <w:br/>
        <w:t xml:space="preserve">  "height":628</w:t>
        <w:br/>
        <w:t>}</w:t>
        <w:br/>
        <w:br/>
        <w:t>201</w:t>
        <w:br/>
        <w:t>{</w:t>
        <w:br/>
        <w:t xml:space="preserve">  "creative_version_id":"crv_10",</w:t>
        <w:br/>
        <w:t xml:space="preserve">  "upload_url":"https://object-storage.example/...signed...",</w:t>
        <w:br/>
        <w:t xml:space="preserve">  "upload_headers":{"Content-Type":"image/png"},</w:t>
        <w:br/>
        <w:t xml:space="preserve">  "expires_at":"2026-08-22T10:30:00Z",</w:t>
        <w:br/>
        <w:t xml:space="preserve">  "finalize_url":"/v1/creatives/crv_10/finalize"</w:t>
        <w:br/>
        <w:t>}</w:t>
      </w:r>
    </w:p>
    <w:p>
      <w:pPr>
        <w:pStyle w:val="Heading2"/>
      </w:pPr>
      <w:r>
        <w:t>93.2 Direct object upload</w:t>
      </w:r>
    </w:p>
    <w:p>
      <w:pPr>
        <w:spacing w:before="40" w:after="80"/>
        <w:ind w:left="216" w:right="115"/>
        <w:shd w:fill="F3F4F6"/>
      </w:pPr>
      <w:r>
        <w:rPr>
          <w:rFonts w:ascii="Courier New" w:hAnsi="Courier New"/>
          <w:sz w:val="14"/>
        </w:rPr>
        <w:t>PUT &lt;upload_url&gt;</w:t>
        <w:br/>
        <w:t>Content-Type: image/png</w:t>
        <w:br/>
        <w:br/>
        <w:t>&lt;binary file bytes&gt;</w:t>
      </w:r>
    </w:p>
    <w:p>
      <w:pPr>
        <w:pStyle w:val="Heading2"/>
      </w:pPr>
      <w:r>
        <w:t>93.3 Finalize</w:t>
      </w:r>
    </w:p>
    <w:p>
      <w:pPr>
        <w:spacing w:before="40" w:after="80"/>
        <w:ind w:left="216" w:right="115"/>
        <w:shd w:fill="F3F4F6"/>
      </w:pPr>
      <w:r>
        <w:rPr>
          <w:rFonts w:ascii="Courier New" w:hAnsi="Courier New"/>
          <w:sz w:val="14"/>
        </w:rPr>
        <w:t>POST /v1/creatives/crv_10/finalize</w:t>
        <w:br/>
        <w:br/>
        <w:t>{</w:t>
        <w:br/>
        <w:t xml:space="preserve">  "content_sha256":"e3b0c44298fc1c149afbf4c8996fb924..."</w:t>
        <w:br/>
        <w:t>}</w:t>
        <w:br/>
        <w:br/>
        <w:t>200</w:t>
        <w:br/>
        <w:t>{</w:t>
        <w:br/>
        <w:t xml:space="preserve">  "creative_version_id":"crv_10",</w:t>
        <w:br/>
        <w:t xml:space="preserve">  "status":"READY",</w:t>
        <w:br/>
        <w:t xml:space="preserve">  "asset_url":"https://cdn.oolix.example/creatives/...",</w:t>
        <w:br/>
        <w:t xml:space="preserve">  "content_sha256":"e3b0...",</w:t>
        <w:br/>
        <w:t xml:space="preserve">  "metadata":{"width":1200,"height":628,"file_size_bytes":2048576}</w:t>
        <w:br/>
        <w:t>}</w:t>
      </w:r>
    </w:p>
    <w:p>
      <w:pPr>
        <w:pStyle w:val="ListBullet"/>
        <w:spacing w:after="40"/>
      </w:pPr>
      <w:r>
        <w:t>Finalize HEADs/reads object metadata, checks maximum size, allowed MIME, image dimensions, declared hash and safe file type.</w:t>
      </w:r>
    </w:p>
    <w:p>
      <w:pPr>
        <w:pStyle w:val="ListBullet"/>
        <w:spacing w:after="40"/>
      </w:pPr>
      <w:r>
        <w:t>Object upload URL expires after 15 minutes by default.</w:t>
      </w:r>
    </w:p>
    <w:p>
      <w:pPr>
        <w:pStyle w:val="ListBullet"/>
        <w:spacing w:after="40"/>
      </w:pPr>
      <w:r>
        <w:t>Only READY creative versions can be submitted to Partner approval.</w:t>
      </w:r>
    </w:p>
    <w:p>
      <w:pPr>
        <w:pStyle w:val="ListBullet"/>
        <w:spacing w:after="40"/>
      </w:pPr>
      <w:r>
        <w:t>Partner approval binds to the content hash and CreativeVersion ID.</w:t>
      </w:r>
    </w:p>
    <w:p>
      <w:pPr>
        <w:pStyle w:val="Heading1"/>
      </w:pPr>
      <w:r>
        <w:t>94. Rate Limiting - Enforcement Details</w:t>
      </w:r>
    </w:p>
    <w:p>
      <w:pPr>
        <w:pStyle w:val="ListBullet"/>
        <w:spacing w:after="40"/>
      </w:pPr>
      <w:r>
        <w:t>Enforce at API gateway/middleware using Redis. Key scope includes principal + endpoint class, for example rate_limit:{org_id}:{user_id}:{class}.</w:t>
      </w:r>
    </w:p>
    <w:p>
      <w:pPr>
        <w:pStyle w:val="ListBullet"/>
        <w:spacing w:after="40"/>
      </w:pPr>
      <w:r>
        <w:t>Use a rolling/sliding 60-second window. Agent and CRM integrations use agent_id or integration_id instead of user_id.</w:t>
      </w:r>
    </w:p>
    <w:p>
      <w:pPr>
        <w:pStyle w:val="ListBullet"/>
        <w:spacing w:after="40"/>
      </w:pPr>
      <w:r>
        <w:t>The per-class limits in §86 are defaults; production configuration may override by organization without changing code.</w:t>
      </w:r>
    </w:p>
    <w:p>
      <w:pPr>
        <w:spacing w:before="40" w:after="80"/>
        <w:ind w:left="216" w:right="115"/>
        <w:shd w:fill="F3F4F6"/>
      </w:pPr>
      <w:r>
        <w:rPr>
          <w:rFonts w:ascii="Courier New" w:hAnsi="Courier New"/>
          <w:sz w:val="14"/>
        </w:rPr>
        <w:t>Response headers:</w:t>
        <w:br/>
        <w:t>X-RateLimit-Limit: 300</w:t>
        <w:br/>
        <w:t>X-RateLimit-Remaining: 287</w:t>
        <w:br/>
        <w:t>X-RateLimit-Reset: 1787392800</w:t>
        <w:br/>
        <w:t>Retry-After: 45</w:t>
        <w:br/>
        <w:br/>
        <w:t>429</w:t>
        <w:br/>
        <w:t>{</w:t>
        <w:br/>
        <w:t xml:space="preserve">  "error":{</w:t>
        <w:br/>
        <w:t xml:space="preserve">    "code":"SYS_001",</w:t>
        <w:br/>
        <w:t xml:space="preserve">    "message":"Rate limit exceeded.",</w:t>
        <w:br/>
        <w:t xml:space="preserve">    "retryable":true,</w:t>
        <w:br/>
        <w:t xml:space="preserve">    "retry_after_seconds":45,</w:t>
        <w:br/>
        <w:t xml:space="preserve">    "correlation_id":"corr_..."</w:t>
        <w:br/>
        <w:t xml:space="preserve">  }</w:t>
        <w:br/>
        <w:t>}</w:t>
      </w:r>
    </w:p>
    <w:p>
      <w:pPr>
        <w:pStyle w:val="Heading1"/>
      </w:pPr>
      <w:r>
        <w:t>95. Seed Data Strategy</w:t>
      </w:r>
    </w:p>
    <w:tbl>
      <w:tblPr>
        <w:tblStyle w:val="TableGrid"/>
        <w:tblW w:type="auto" w:w="0"/>
        <w:jc w:val="center"/>
        <w:tblLook w:firstColumn="1" w:firstRow="1" w:lastColumn="0" w:lastRow="0" w:noHBand="0" w:noVBand="1" w:val="04A0"/>
      </w:tblPr>
      <w:tblGrid>
        <w:gridCol w:w="5227"/>
        <w:gridCol w:w="5227"/>
      </w:tblGrid>
      <w:tr>
        <w:tc>
          <w:tcPr>
            <w:tcW w:type="dxa" w:w="2448"/>
            <w:vAlign w:val="center"/>
            <w:shd w:fill="1B4363"/>
          </w:tcPr>
          <w:p>
            <w:pPr>
              <w:spacing w:after="0"/>
            </w:pPr>
            <w:r/>
            <w:r>
              <w:rPr>
                <w:rFonts w:ascii="Arial" w:hAnsi="Arial"/>
                <w:b/>
                <w:color w:val="FFFFFF"/>
                <w:sz w:val="16"/>
              </w:rPr>
              <w:t>Environment</w:t>
            </w:r>
          </w:p>
        </w:tc>
        <w:tc>
          <w:tcPr>
            <w:tcW w:type="dxa" w:w="7200"/>
            <w:vAlign w:val="center"/>
            <w:shd w:fill="1B4363"/>
          </w:tcPr>
          <w:p>
            <w:pPr>
              <w:spacing w:after="0"/>
            </w:pPr>
            <w:r/>
            <w:r>
              <w:rPr>
                <w:rFonts w:ascii="Arial" w:hAnsi="Arial"/>
                <w:b/>
                <w:color w:val="FFFFFF"/>
                <w:sz w:val="16"/>
              </w:rPr>
              <w:t>Seed policy</w:t>
            </w:r>
          </w:p>
        </w:tc>
      </w:tr>
      <w:tr>
        <w:tc>
          <w:tcPr>
            <w:tcW w:type="dxa" w:w="2448"/>
            <w:vAlign w:val="center"/>
          </w:tcPr>
          <w:p>
            <w:pPr>
              <w:spacing w:after="0"/>
            </w:pPr>
            <w:r/>
            <w:r>
              <w:rPr>
                <w:rFonts w:ascii="Arial" w:hAnsi="Arial"/>
                <w:b w:val="0"/>
                <w:sz w:val="15"/>
              </w:rPr>
              <w:t>development</w:t>
            </w:r>
          </w:p>
        </w:tc>
        <w:tc>
          <w:tcPr>
            <w:tcW w:type="dxa" w:w="7200"/>
            <w:vAlign w:val="center"/>
          </w:tcPr>
          <w:p>
            <w:pPr>
              <w:spacing w:after="0"/>
            </w:pPr>
            <w:r/>
            <w:r>
              <w:rPr>
                <w:rFonts w:ascii="Arial" w:hAnsi="Arial"/>
                <w:b w:val="0"/>
                <w:sz w:val="15"/>
              </w:rPr>
              <w:t>Synthetic Buyer + Partner + Network + users/roles + segments + placements + creatives + one draft campaign.</w:t>
            </w:r>
          </w:p>
        </w:tc>
      </w:tr>
      <w:tr>
        <w:tc>
          <w:tcPr>
            <w:tcW w:type="dxa" w:w="2448"/>
            <w:vAlign w:val="center"/>
          </w:tcPr>
          <w:p>
            <w:pPr>
              <w:spacing w:after="0"/>
            </w:pPr>
            <w:r/>
            <w:r>
              <w:rPr>
                <w:rFonts w:ascii="Arial" w:hAnsi="Arial"/>
                <w:b w:val="0"/>
                <w:sz w:val="15"/>
              </w:rPr>
              <w:t>test/CI</w:t>
            </w:r>
          </w:p>
        </w:tc>
        <w:tc>
          <w:tcPr>
            <w:tcW w:type="dxa" w:w="7200"/>
            <w:vAlign w:val="center"/>
          </w:tcPr>
          <w:p>
            <w:pPr>
              <w:spacing w:after="0"/>
            </w:pPr>
            <w:r/>
            <w:r>
              <w:rPr>
                <w:rFonts w:ascii="Arial" w:hAnsi="Arial"/>
                <w:b w:val="0"/>
                <w:sz w:val="15"/>
              </w:rPr>
              <w:t>Deterministic fixture IDs and mock memberships for repeatable integration/E2E tests.</w:t>
            </w:r>
          </w:p>
        </w:tc>
      </w:tr>
      <w:tr>
        <w:tc>
          <w:tcPr>
            <w:tcW w:type="dxa" w:w="2448"/>
            <w:vAlign w:val="center"/>
          </w:tcPr>
          <w:p>
            <w:pPr>
              <w:spacing w:after="0"/>
            </w:pPr>
            <w:r/>
            <w:r>
              <w:rPr>
                <w:rFonts w:ascii="Arial" w:hAnsi="Arial"/>
                <w:b w:val="0"/>
                <w:sz w:val="15"/>
              </w:rPr>
              <w:t>staging</w:t>
            </w:r>
          </w:p>
        </w:tc>
        <w:tc>
          <w:tcPr>
            <w:tcW w:type="dxa" w:w="7200"/>
            <w:vAlign w:val="center"/>
          </w:tcPr>
          <w:p>
            <w:pPr>
              <w:spacing w:after="0"/>
            </w:pPr>
            <w:r/>
            <w:r>
              <w:rPr>
                <w:rFonts w:ascii="Arial" w:hAnsi="Arial"/>
                <w:b w:val="0"/>
                <w:sz w:val="15"/>
              </w:rPr>
              <w:t>Synthetic test organizations only; never copied production customer data.</w:t>
            </w:r>
          </w:p>
        </w:tc>
      </w:tr>
      <w:tr>
        <w:tc>
          <w:tcPr>
            <w:tcW w:type="dxa" w:w="2448"/>
            <w:vAlign w:val="center"/>
          </w:tcPr>
          <w:p>
            <w:pPr>
              <w:spacing w:after="0"/>
            </w:pPr>
            <w:r/>
            <w:r>
              <w:rPr>
                <w:rFonts w:ascii="Arial" w:hAnsi="Arial"/>
                <w:b w:val="0"/>
                <w:sz w:val="15"/>
              </w:rPr>
              <w:t>production</w:t>
            </w:r>
          </w:p>
        </w:tc>
        <w:tc>
          <w:tcPr>
            <w:tcW w:type="dxa" w:w="7200"/>
            <w:vAlign w:val="center"/>
          </w:tcPr>
          <w:p>
            <w:pPr>
              <w:spacing w:after="0"/>
            </w:pPr>
            <w:r/>
            <w:r>
              <w:rPr>
                <w:rFonts w:ascii="Arial" w:hAnsi="Arial"/>
                <w:b w:val="0"/>
                <w:sz w:val="15"/>
              </w:rPr>
              <w:t>No seed data. All organizations/campaigns created through controlled onboarding/admin workflows.</w:t>
            </w:r>
          </w:p>
        </w:tc>
      </w:tr>
    </w:tbl>
    <w:p/>
    <w:p>
      <w:pPr>
        <w:spacing w:before="40" w:after="80"/>
        <w:ind w:left="216" w:right="115"/>
        <w:shd w:fill="F3F4F6"/>
      </w:pPr>
      <w:r>
        <w:rPr>
          <w:rFonts w:ascii="Courier New" w:hAnsi="Courier New"/>
          <w:sz w:val="14"/>
        </w:rPr>
        <w:t>pnpm db:seed --env=development</w:t>
        <w:br/>
        <w:t>pnpm db:seed --env=test</w:t>
        <w:br/>
        <w:t>pnpm db:seed --env=staging</w:t>
        <w:br/>
        <w:br/>
        <w:t># Production intentionally unsupported:</w:t>
        <w:br/>
        <w:t># pnpm db:seed --env=production  -&gt; command must refuse</w:t>
      </w:r>
    </w:p>
    <w:p>
      <w:pPr>
        <w:pStyle w:val="ListBullet"/>
        <w:spacing w:after="40"/>
      </w:pPr>
      <w:r>
        <w:t>Development seed: one Buyer org, one Partner org, one private Network, at least three role-bearing users per org, three Partner segments, two placements, one READY creative and one draft campaign.</w:t>
      </w:r>
    </w:p>
    <w:p>
      <w:pPr>
        <w:pStyle w:val="ListBullet"/>
        <w:spacing w:after="40"/>
      </w:pPr>
      <w:r>
        <w:t>Known ad-decision identities: U123 eligible; U456 ineligible.</w:t>
      </w:r>
    </w:p>
    <w:p>
      <w:pPr>
        <w:pStyle w:val="ListBullet"/>
        <w:spacing w:after="40"/>
      </w:pPr>
      <w:r>
        <w:t>Seed IDs are stable in test/CI so assertions do not depend on generated UUIDs.</w:t>
      </w:r>
    </w:p>
    <w:p>
      <w:pPr>
        <w:pStyle w:val="Heading1"/>
      </w:pPr>
      <w:r>
        <w:t>96. Critical Migration SQL - Inline Reference</w:t>
      </w:r>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Migration source of truth</w:t>
            </w:r>
          </w:p>
          <w:p>
            <w:r>
              <w:rPr>
                <w:rFonts w:ascii="Arial" w:hAnsi="Arial"/>
                <w:sz w:val="16"/>
              </w:rPr>
              <w:t>Prisma migrations remain authoritative, but the following critical SQL is included inline so a developer is not forced to open another file to understand core constraints.</w:t>
            </w:r>
          </w:p>
        </w:tc>
      </w:tr>
    </w:tbl>
    <w:p/>
    <w:p>
      <w:pPr>
        <w:spacing w:before="40" w:after="80"/>
        <w:ind w:left="216" w:right="115"/>
        <w:shd w:fill="F3F4F6"/>
      </w:pPr>
      <w:r>
        <w:rPr>
          <w:rFonts w:ascii="Courier New" w:hAnsi="Courier New"/>
          <w:sz w:val="14"/>
        </w:rPr>
        <w:t>CREATE TABLE agents (</w:t>
        <w:br/>
        <w:t xml:space="preserve">  id UUID PRIMARY KEY,</w:t>
        <w:br/>
        <w:t xml:space="preserve">  partner_org_id UUID NOT NULL REFERENCES organizations(id),</w:t>
        <w:br/>
        <w:t xml:space="preserve">  client_id VARCHAR(120) NOT NULL UNIQUE,</w:t>
        <w:br/>
        <w:t xml:space="preserve">  public_jwk JSONB NOT NULL,</w:t>
        <w:br/>
        <w:t xml:space="preserve">  version VARCHAR(32) NOT NULL,</w:t>
        <w:br/>
        <w:t xml:space="preserve">  status VARCHAR(24) NOT NULL DEFAULT 'ACTIVE',</w:t>
        <w:br/>
        <w:t xml:space="preserve">  created_at TIMESTAMPTZ NOT NULL DEFAULT NOW(),</w:t>
        <w:br/>
        <w:t xml:space="preserve">  revoked_at TIMESTAMPTZ</w:t>
        <w:br/>
        <w:t>);</w:t>
        <w:br/>
        <w:br/>
        <w:t>CREATE TABLE attribution_tokens (</w:t>
        <w:br/>
        <w:t xml:space="preserve">  token_hash BYTEA PRIMARY KEY,</w:t>
        <w:br/>
        <w:t xml:space="preserve">  activation_id UUID NOT NULL REFERENCES activations(id),</w:t>
        <w:br/>
        <w:t xml:space="preserve">  partner_org_id UUID NOT NULL REFERENCES organizations(id),</w:t>
        <w:br/>
        <w:t xml:space="preserve">  placement_id UUID REFERENCES placements(id),</w:t>
        <w:br/>
        <w:t xml:space="preserve">  creative_version_id UUID REFERENCES creative_versions(id),</w:t>
        <w:br/>
        <w:t xml:space="preserve">  issued_at TIMESTAMPTZ NOT NULL,</w:t>
        <w:br/>
        <w:t xml:space="preserve">  expires_at TIMESTAMPTZ NOT NULL,</w:t>
        <w:br/>
        <w:t xml:space="preserve">  lead_state VARCHAR(24) NOT NULL DEFAULT 'UNREDEEMED',</w:t>
        <w:br/>
        <w:t xml:space="preserve">  revoked_at TIMESTAMPTZ</w:t>
        <w:br/>
        <w:t>);</w:t>
        <w:br/>
        <w:t>CREATE INDEX idx_attribution_activation ON attribution_tokens(activation_id);</w:t>
        <w:br/>
        <w:t>CREATE INDEX idx_attribution_expiry ON attribution_tokens(expires_at);</w:t>
        <w:br/>
        <w:br/>
        <w:t>CREATE TABLE agent_bootstrap_tokens (</w:t>
        <w:br/>
        <w:t xml:space="preserve">  id UUID PRIMARY KEY,</w:t>
        <w:br/>
        <w:t xml:space="preserve">  partner_org_id UUID NOT NULL REFERENCES organizations(id),</w:t>
        <w:br/>
        <w:t xml:space="preserve">  token_hash BYTEA NOT NULL UNIQUE,</w:t>
        <w:br/>
        <w:t xml:space="preserve">  generated_by UUID NOT NULL REFERENCES users(id),</w:t>
        <w:br/>
        <w:t xml:space="preserve">  generated_at TIMESTAMPTZ NOT NULL DEFAULT NOW(),</w:t>
        <w:br/>
        <w:t xml:space="preserve">  expires_at TIMESTAMPTZ NOT NULL,</w:t>
        <w:br/>
        <w:t xml:space="preserve">  used_at TIMESTAMPTZ,</w:t>
        <w:br/>
        <w:t xml:space="preserve">  revoked_at TIMESTAMPTZ</w:t>
        <w:br/>
        <w:t>);</w:t>
        <w:br/>
        <w:br/>
        <w:t>CREATE TABLE partner_requests (</w:t>
        <w:br/>
        <w:t xml:space="preserve">  id UUID PRIMARY KEY,</w:t>
        <w:br/>
        <w:t xml:space="preserve">  campaign_id UUID NOT NULL REFERENCES campaigns(id),</w:t>
        <w:br/>
        <w:t xml:space="preserve">  partner_org_id UUID NOT NULL REFERENCES organizations(id),</w:t>
        <w:br/>
        <w:t xml:space="preserve">  segment_id UUID NOT NULL REFERENCES segments(id),</w:t>
        <w:br/>
        <w:t xml:space="preserve">  request_version INTEGER NOT NULL DEFAULT 1,</w:t>
        <w:br/>
        <w:t xml:space="preserve">  status VARCHAR(32) NOT NULL,</w:t>
        <w:br/>
        <w:t xml:space="preserve">  snapshot_json JSONB NOT NULL,</w:t>
        <w:br/>
        <w:t xml:space="preserve">  submitted_at TIMESTAMPTZ,</w:t>
        <w:br/>
        <w:t xml:space="preserve">  expires_at TIMESTAMPTZ,</w:t>
        <w:br/>
        <w:t xml:space="preserve">  extension_count SMALLINT NOT NULL DEFAULT 0</w:t>
        <w:br/>
        <w:t>);</w:t>
        <w:br/>
        <w:br/>
        <w:t>CREATE INDEX idx_partner_requests_partner_status</w:t>
        <w:br/>
        <w:t xml:space="preserve">  ON partner_requests(partner_org_id, status);</w:t>
      </w:r>
    </w:p>
    <w:p>
      <w:pPr>
        <w:pStyle w:val="Heading1"/>
      </w:pPr>
      <w:r>
        <w:t>97. Representative OpenAPI 3.1 Contract</w:t>
      </w:r>
    </w:p>
    <w:p>
      <w:pPr>
        <w:spacing w:before="40" w:after="80"/>
        <w:ind w:left="216" w:right="115"/>
        <w:shd w:fill="F3F4F6"/>
      </w:pPr>
      <w:r>
        <w:rPr>
          <w:rFonts w:ascii="Courier New" w:hAnsi="Courier New"/>
          <w:sz w:val="14"/>
        </w:rPr>
        <w:t>openapi: 3.1.0</w:t>
        <w:br/>
        <w:t>info:</w:t>
        <w:br/>
        <w:t xml:space="preserve">  title: Oolix API</w:t>
        <w:br/>
        <w:t xml:space="preserve">  version: 0.2.0</w:t>
        <w:br/>
        <w:t>paths:</w:t>
        <w:br/>
        <w:t xml:space="preserve">  /v1/campaigns:</w:t>
        <w:br/>
        <w:t xml:space="preserve">    post:</w:t>
        <w:br/>
        <w:t xml:space="preserve">      summary: Create campaign draft</w:t>
        <w:br/>
        <w:t xml:space="preserve">      parameters:</w:t>
        <w:br/>
        <w:t xml:space="preserve">        - in: header</w:t>
        <w:br/>
        <w:t xml:space="preserve">          name: Idempotency-Key</w:t>
        <w:br/>
        <w:t xml:space="preserve">          required: true</w:t>
        <w:br/>
        <w:t xml:space="preserve">          schema: {type: string}</w:t>
        <w:br/>
        <w:t xml:space="preserve">      requestBody:</w:t>
        <w:br/>
        <w:t xml:space="preserve">        required: true</w:t>
        <w:br/>
        <w:t xml:space="preserve">        content:</w:t>
        <w:br/>
        <w:t xml:space="preserve">          application/json:</w:t>
        <w:br/>
        <w:t xml:space="preserve">            schema: {$ref: '#/components/schemas/CreateCampaign'}</w:t>
        <w:br/>
        <w:t xml:space="preserve">      responses:</w:t>
        <w:br/>
        <w:t xml:space="preserve">        '201':</w:t>
        <w:br/>
        <w:t xml:space="preserve">          description: Campaign created</w:t>
        <w:br/>
        <w:t xml:space="preserve">        '400':</w:t>
        <w:br/>
        <w:t xml:space="preserve">          description: Validation error</w:t>
        <w:br/>
        <w:t xml:space="preserve">        '409':</w:t>
        <w:br/>
        <w:t xml:space="preserve">          description: Idempotency/state conflict</w:t>
        <w:br/>
        <w:t>components:</w:t>
        <w:br/>
        <w:t xml:space="preserve">  schemas:</w:t>
        <w:br/>
        <w:t xml:space="preserve">    CreateCampaign:</w:t>
        <w:br/>
        <w:t xml:space="preserve">      type: object</w:t>
        <w:br/>
        <w:t xml:space="preserve">      required: [name, objective, brand_id, category, purpose_id, budget, start_at, end_at]</w:t>
        <w:br/>
        <w:t xml:space="preserve">      properties:</w:t>
        <w:br/>
        <w:t xml:space="preserve">        name: {type: string, minLength: 3, maxLength: 120}</w:t>
        <w:br/>
        <w:t xml:space="preserve">        objective:</w:t>
        <w:br/>
        <w:t xml:space="preserve">          type: string</w:t>
        <w:br/>
        <w:t xml:space="preserve">          enum: [QUALIFIED_LEADS, CONVERSIONS, CLICKS, AWARENESS]</w:t>
        <w:br/>
        <w:t xml:space="preserve">        brand_id: {type: string}</w:t>
        <w:br/>
        <w:t xml:space="preserve">        category: {type: string}</w:t>
        <w:br/>
        <w:t xml:space="preserve">        purpose_id: {type: string}</w:t>
        <w:br/>
        <w:t xml:space="preserve">        budget:</w:t>
        <w:br/>
        <w:t xml:space="preserve">          type: object</w:t>
        <w:br/>
        <w:t xml:space="preserve">          required: [amount_minor, currency]</w:t>
        <w:br/>
        <w:t xml:space="preserve">          properties:</w:t>
        <w:br/>
        <w:t xml:space="preserve">            amount_minor: {type: integer, format: int64, minimum: 1}</w:t>
        <w:br/>
        <w:t xml:space="preserve">            currency: {type: string, minLength: 3, maxLength: 3}</w:t>
        <w:br/>
        <w:t xml:space="preserve">        start_at: {type: string, format: date-time}</w:t>
        <w:br/>
        <w:t xml:space="preserve">        end_at: {type: string, format: date-time}</w:t>
      </w:r>
    </w:p>
    <w:p>
      <w:r>
        <w:t>The ZIP includes a larger openapi.yaml starter. CI must lint/validate the file and generated client/server types.</w:t>
      </w:r>
    </w:p>
    <w:p>
      <w:pPr>
        <w:pStyle w:val="Heading1"/>
      </w:pPr>
      <w:r>
        <w:t>98. Monitoring Dashboard Layouts</w:t>
      </w:r>
    </w:p>
    <w:p>
      <w:pPr>
        <w:pStyle w:val="Heading2"/>
      </w:pPr>
      <w:r>
        <w:t>98.1 Oolix Ops</w:t>
      </w:r>
    </w:p>
    <w:tbl>
      <w:tblPr>
        <w:tblStyle w:val="TableGrid"/>
        <w:tblW w:type="auto" w:w="0"/>
        <w:jc w:val="center"/>
        <w:tblLook w:firstColumn="1" w:firstRow="1" w:lastColumn="0" w:lastRow="0" w:noHBand="0" w:noVBand="1" w:val="04A0"/>
      </w:tblPr>
      <w:tblGrid>
        <w:gridCol w:w="3485"/>
        <w:gridCol w:w="3485"/>
        <w:gridCol w:w="3485"/>
      </w:tblGrid>
      <w:tr>
        <w:tc>
          <w:tcPr>
            <w:tcW w:type="dxa" w:w="1008"/>
            <w:vAlign w:val="center"/>
            <w:shd w:fill="1B4363"/>
          </w:tcPr>
          <w:p>
            <w:pPr>
              <w:spacing w:after="0"/>
            </w:pPr>
            <w:r/>
            <w:r>
              <w:rPr>
                <w:rFonts w:ascii="Arial" w:hAnsi="Arial"/>
                <w:b/>
                <w:color w:val="FFFFFF"/>
                <w:sz w:val="16"/>
              </w:rPr>
              <w:t>Row</w:t>
            </w:r>
          </w:p>
        </w:tc>
        <w:tc>
          <w:tcPr>
            <w:tcW w:type="dxa" w:w="3312"/>
            <w:vAlign w:val="center"/>
            <w:shd w:fill="1B4363"/>
          </w:tcPr>
          <w:p>
            <w:pPr>
              <w:spacing w:after="0"/>
            </w:pPr>
            <w:r/>
            <w:r>
              <w:rPr>
                <w:rFonts w:ascii="Arial" w:hAnsi="Arial"/>
                <w:b/>
                <w:color w:val="FFFFFF"/>
                <w:sz w:val="16"/>
              </w:rPr>
              <w:t>Widget</w:t>
            </w:r>
          </w:p>
        </w:tc>
        <w:tc>
          <w:tcPr>
            <w:tcW w:type="dxa" w:w="5472"/>
            <w:vAlign w:val="center"/>
            <w:shd w:fill="1B4363"/>
          </w:tcPr>
          <w:p>
            <w:pPr>
              <w:spacing w:after="0"/>
            </w:pPr>
            <w:r/>
            <w:r>
              <w:rPr>
                <w:rFonts w:ascii="Arial" w:hAnsi="Arial"/>
                <w:b/>
                <w:color w:val="FFFFFF"/>
                <w:sz w:val="16"/>
              </w:rPr>
              <w:t>Primary metric</w:t>
            </w:r>
          </w:p>
        </w:tc>
      </w:tr>
      <w:tr>
        <w:tc>
          <w:tcPr>
            <w:tcW w:type="dxa" w:w="1008"/>
            <w:vAlign w:val="center"/>
          </w:tcPr>
          <w:p>
            <w:pPr>
              <w:spacing w:after="0"/>
            </w:pPr>
            <w:r/>
            <w:r>
              <w:rPr>
                <w:rFonts w:ascii="Arial" w:hAnsi="Arial"/>
                <w:b w:val="0"/>
                <w:sz w:val="15"/>
              </w:rPr>
              <w:t>1</w:t>
            </w:r>
          </w:p>
        </w:tc>
        <w:tc>
          <w:tcPr>
            <w:tcW w:type="dxa" w:w="3312"/>
            <w:vAlign w:val="center"/>
          </w:tcPr>
          <w:p>
            <w:pPr>
              <w:spacing w:after="0"/>
            </w:pPr>
            <w:r/>
            <w:r>
              <w:rPr>
                <w:rFonts w:ascii="Arial" w:hAnsi="Arial"/>
                <w:b w:val="0"/>
                <w:sz w:val="15"/>
              </w:rPr>
              <w:t>API Health</w:t>
            </w:r>
          </w:p>
        </w:tc>
        <w:tc>
          <w:tcPr>
            <w:tcW w:type="dxa" w:w="5472"/>
            <w:vAlign w:val="center"/>
          </w:tcPr>
          <w:p>
            <w:pPr>
              <w:spacing w:after="0"/>
            </w:pPr>
            <w:r/>
            <w:r>
              <w:rPr>
                <w:rFonts w:ascii="Arial" w:hAnsi="Arial"/>
                <w:b w:val="0"/>
                <w:sz w:val="15"/>
              </w:rPr>
              <w:t>5xx rate and p95 latency by service.</w:t>
            </w:r>
          </w:p>
        </w:tc>
      </w:tr>
      <w:tr>
        <w:tc>
          <w:tcPr>
            <w:tcW w:type="dxa" w:w="1008"/>
            <w:vAlign w:val="center"/>
          </w:tcPr>
          <w:p>
            <w:pPr>
              <w:spacing w:after="0"/>
            </w:pPr>
            <w:r/>
            <w:r>
              <w:rPr>
                <w:rFonts w:ascii="Arial" w:hAnsi="Arial"/>
                <w:b w:val="0"/>
                <w:sz w:val="15"/>
              </w:rPr>
              <w:t>1</w:t>
            </w:r>
          </w:p>
        </w:tc>
        <w:tc>
          <w:tcPr>
            <w:tcW w:type="dxa" w:w="3312"/>
            <w:vAlign w:val="center"/>
          </w:tcPr>
          <w:p>
            <w:pPr>
              <w:spacing w:after="0"/>
            </w:pPr>
            <w:r/>
            <w:r>
              <w:rPr>
                <w:rFonts w:ascii="Arial" w:hAnsi="Arial"/>
                <w:b w:val="0"/>
                <w:sz w:val="15"/>
              </w:rPr>
              <w:t>Queue Lag</w:t>
            </w:r>
          </w:p>
        </w:tc>
        <w:tc>
          <w:tcPr>
            <w:tcW w:type="dxa" w:w="5472"/>
            <w:vAlign w:val="center"/>
          </w:tcPr>
          <w:p>
            <w:pPr>
              <w:spacing w:after="0"/>
            </w:pPr>
            <w:r/>
            <w:r>
              <w:rPr>
                <w:rFonts w:ascii="Arial" w:hAnsi="Arial"/>
                <w:b w:val="0"/>
                <w:sz w:val="15"/>
              </w:rPr>
              <w:t>Oldest message age + DLQ count.</w:t>
            </w:r>
          </w:p>
        </w:tc>
      </w:tr>
      <w:tr>
        <w:tc>
          <w:tcPr>
            <w:tcW w:type="dxa" w:w="1008"/>
            <w:vAlign w:val="center"/>
          </w:tcPr>
          <w:p>
            <w:pPr>
              <w:spacing w:after="0"/>
            </w:pPr>
            <w:r/>
            <w:r>
              <w:rPr>
                <w:rFonts w:ascii="Arial" w:hAnsi="Arial"/>
                <w:b w:val="0"/>
                <w:sz w:val="15"/>
              </w:rPr>
              <w:t>2</w:t>
            </w:r>
          </w:p>
        </w:tc>
        <w:tc>
          <w:tcPr>
            <w:tcW w:type="dxa" w:w="3312"/>
            <w:vAlign w:val="center"/>
          </w:tcPr>
          <w:p>
            <w:pPr>
              <w:spacing w:after="0"/>
            </w:pPr>
            <w:r/>
            <w:r>
              <w:rPr>
                <w:rFonts w:ascii="Arial" w:hAnsi="Arial"/>
                <w:b w:val="0"/>
                <w:sz w:val="15"/>
              </w:rPr>
              <w:t>Agent Health</w:t>
            </w:r>
          </w:p>
        </w:tc>
        <w:tc>
          <w:tcPr>
            <w:tcW w:type="dxa" w:w="5472"/>
            <w:vAlign w:val="center"/>
          </w:tcPr>
          <w:p>
            <w:pPr>
              <w:spacing w:after="0"/>
            </w:pPr>
            <w:r/>
            <w:r>
              <w:rPr>
                <w:rFonts w:ascii="Arial" w:hAnsi="Arial"/>
                <w:b w:val="0"/>
                <w:sz w:val="15"/>
              </w:rPr>
              <w:t>Heartbeat age/version/config age by Partner.</w:t>
            </w:r>
          </w:p>
        </w:tc>
      </w:tr>
      <w:tr>
        <w:tc>
          <w:tcPr>
            <w:tcW w:type="dxa" w:w="1008"/>
            <w:vAlign w:val="center"/>
          </w:tcPr>
          <w:p>
            <w:pPr>
              <w:spacing w:after="0"/>
            </w:pPr>
            <w:r/>
            <w:r>
              <w:rPr>
                <w:rFonts w:ascii="Arial" w:hAnsi="Arial"/>
                <w:b w:val="0"/>
                <w:sz w:val="15"/>
              </w:rPr>
              <w:t>2</w:t>
            </w:r>
          </w:p>
        </w:tc>
        <w:tc>
          <w:tcPr>
            <w:tcW w:type="dxa" w:w="3312"/>
            <w:vAlign w:val="center"/>
          </w:tcPr>
          <w:p>
            <w:pPr>
              <w:spacing w:after="0"/>
            </w:pPr>
            <w:r/>
            <w:r>
              <w:rPr>
                <w:rFonts w:ascii="Arial" w:hAnsi="Arial"/>
                <w:b w:val="0"/>
                <w:sz w:val="15"/>
              </w:rPr>
              <w:t>NO_AD Distribution</w:t>
            </w:r>
          </w:p>
        </w:tc>
        <w:tc>
          <w:tcPr>
            <w:tcW w:type="dxa" w:w="5472"/>
            <w:vAlign w:val="center"/>
          </w:tcPr>
          <w:p>
            <w:pPr>
              <w:spacing w:after="0"/>
            </w:pPr>
            <w:r/>
            <w:r>
              <w:rPr>
                <w:rFonts w:ascii="Arial" w:hAnsi="Arial"/>
                <w:b w:val="0"/>
                <w:sz w:val="15"/>
              </w:rPr>
              <w:t>Reason buckets by Partner/placement.</w:t>
            </w:r>
          </w:p>
        </w:tc>
      </w:tr>
      <w:tr>
        <w:tc>
          <w:tcPr>
            <w:tcW w:type="dxa" w:w="1008"/>
            <w:vAlign w:val="center"/>
          </w:tcPr>
          <w:p>
            <w:pPr>
              <w:spacing w:after="0"/>
            </w:pPr>
            <w:r/>
            <w:r>
              <w:rPr>
                <w:rFonts w:ascii="Arial" w:hAnsi="Arial"/>
                <w:b w:val="0"/>
                <w:sz w:val="15"/>
              </w:rPr>
              <w:t>3</w:t>
            </w:r>
          </w:p>
        </w:tc>
        <w:tc>
          <w:tcPr>
            <w:tcW w:type="dxa" w:w="3312"/>
            <w:vAlign w:val="center"/>
          </w:tcPr>
          <w:p>
            <w:pPr>
              <w:spacing w:after="0"/>
            </w:pPr>
            <w:r/>
            <w:r>
              <w:rPr>
                <w:rFonts w:ascii="Arial" w:hAnsi="Arial"/>
                <w:b w:val="0"/>
                <w:sz w:val="15"/>
              </w:rPr>
              <w:t>Ad Decision Latency</w:t>
            </w:r>
          </w:p>
        </w:tc>
        <w:tc>
          <w:tcPr>
            <w:tcW w:type="dxa" w:w="5472"/>
            <w:vAlign w:val="center"/>
          </w:tcPr>
          <w:p>
            <w:pPr>
              <w:spacing w:after="0"/>
            </w:pPr>
            <w:r/>
            <w:r>
              <w:rPr>
                <w:rFonts w:ascii="Arial" w:hAnsi="Arial"/>
                <w:b w:val="0"/>
                <w:sz w:val="15"/>
              </w:rPr>
              <w:t>p50/p95/p99 by Partner.</w:t>
            </w:r>
          </w:p>
        </w:tc>
      </w:tr>
      <w:tr>
        <w:tc>
          <w:tcPr>
            <w:tcW w:type="dxa" w:w="1008"/>
            <w:vAlign w:val="center"/>
          </w:tcPr>
          <w:p>
            <w:pPr>
              <w:spacing w:after="0"/>
            </w:pPr>
            <w:r/>
            <w:r>
              <w:rPr>
                <w:rFonts w:ascii="Arial" w:hAnsi="Arial"/>
                <w:b w:val="0"/>
                <w:sz w:val="15"/>
              </w:rPr>
              <w:t>3</w:t>
            </w:r>
          </w:p>
        </w:tc>
        <w:tc>
          <w:tcPr>
            <w:tcW w:type="dxa" w:w="3312"/>
            <w:vAlign w:val="center"/>
          </w:tcPr>
          <w:p>
            <w:pPr>
              <w:spacing w:after="0"/>
            </w:pPr>
            <w:r/>
            <w:r>
              <w:rPr>
                <w:rFonts w:ascii="Arial" w:hAnsi="Arial"/>
                <w:b w:val="0"/>
                <w:sz w:val="15"/>
              </w:rPr>
              <w:t>Segment Connector Health</w:t>
            </w:r>
          </w:p>
        </w:tc>
        <w:tc>
          <w:tcPr>
            <w:tcW w:type="dxa" w:w="5472"/>
            <w:vAlign w:val="center"/>
          </w:tcPr>
          <w:p>
            <w:pPr>
              <w:spacing w:after="0"/>
            </w:pPr>
            <w:r/>
            <w:r>
              <w:rPr>
                <w:rFonts w:ascii="Arial" w:hAnsi="Arial"/>
                <w:b w:val="0"/>
                <w:sz w:val="15"/>
              </w:rPr>
              <w:t>HEALTHY/DEGRADED/ERROR.</w:t>
            </w:r>
          </w:p>
        </w:tc>
      </w:tr>
      <w:tr>
        <w:tc>
          <w:tcPr>
            <w:tcW w:type="dxa" w:w="1008"/>
            <w:vAlign w:val="center"/>
          </w:tcPr>
          <w:p>
            <w:pPr>
              <w:spacing w:after="0"/>
            </w:pPr>
            <w:r/>
            <w:r>
              <w:rPr>
                <w:rFonts w:ascii="Arial" w:hAnsi="Arial"/>
                <w:b w:val="0"/>
                <w:sz w:val="15"/>
              </w:rPr>
              <w:t>4</w:t>
            </w:r>
          </w:p>
        </w:tc>
        <w:tc>
          <w:tcPr>
            <w:tcW w:type="dxa" w:w="3312"/>
            <w:vAlign w:val="center"/>
          </w:tcPr>
          <w:p>
            <w:pPr>
              <w:spacing w:after="0"/>
            </w:pPr>
            <w:r/>
            <w:r>
              <w:rPr>
                <w:rFonts w:ascii="Arial" w:hAnsi="Arial"/>
                <w:b w:val="0"/>
                <w:sz w:val="15"/>
              </w:rPr>
              <w:t>External Sync</w:t>
            </w:r>
          </w:p>
        </w:tc>
        <w:tc>
          <w:tcPr>
            <w:tcW w:type="dxa" w:w="5472"/>
            <w:vAlign w:val="center"/>
          </w:tcPr>
          <w:p>
            <w:pPr>
              <w:spacing w:after="0"/>
            </w:pPr>
            <w:r/>
            <w:r>
              <w:rPr>
                <w:rFonts w:ascii="Arial" w:hAnsi="Arial"/>
                <w:b w:val="0"/>
                <w:sz w:val="15"/>
              </w:rPr>
              <w:t>success/failure/stuck jobs by provider.</w:t>
            </w:r>
          </w:p>
        </w:tc>
      </w:tr>
      <w:tr>
        <w:tc>
          <w:tcPr>
            <w:tcW w:type="dxa" w:w="1008"/>
            <w:vAlign w:val="center"/>
          </w:tcPr>
          <w:p>
            <w:pPr>
              <w:spacing w:after="0"/>
            </w:pPr>
            <w:r/>
            <w:r>
              <w:rPr>
                <w:rFonts w:ascii="Arial" w:hAnsi="Arial"/>
                <w:b w:val="0"/>
                <w:sz w:val="15"/>
              </w:rPr>
              <w:t>4</w:t>
            </w:r>
          </w:p>
        </w:tc>
        <w:tc>
          <w:tcPr>
            <w:tcW w:type="dxa" w:w="3312"/>
            <w:vAlign w:val="center"/>
          </w:tcPr>
          <w:p>
            <w:pPr>
              <w:spacing w:after="0"/>
            </w:pPr>
            <w:r/>
            <w:r>
              <w:rPr>
                <w:rFonts w:ascii="Arial" w:hAnsi="Arial"/>
                <w:b w:val="0"/>
                <w:sz w:val="15"/>
              </w:rPr>
              <w:t>Billing Reconciliation</w:t>
            </w:r>
          </w:p>
        </w:tc>
        <w:tc>
          <w:tcPr>
            <w:tcW w:type="dxa" w:w="5472"/>
            <w:vAlign w:val="center"/>
          </w:tcPr>
          <w:p>
            <w:pPr>
              <w:spacing w:after="0"/>
            </w:pPr>
            <w:r/>
            <w:r>
              <w:rPr>
                <w:rFonts w:ascii="Arial" w:hAnsi="Arial"/>
                <w:b w:val="0"/>
                <w:sz w:val="15"/>
              </w:rPr>
              <w:t>variance and REVIEW_REQUIRED activations.</w:t>
            </w:r>
          </w:p>
        </w:tc>
      </w:tr>
    </w:tbl>
    <w:p/>
    <w:p>
      <w:pPr>
        <w:pStyle w:val="Heading2"/>
      </w:pPr>
      <w:r>
        <w:t>98.2 Data Partner</w:t>
      </w:r>
    </w:p>
    <w:tbl>
      <w:tblPr>
        <w:tblStyle w:val="TableGrid"/>
        <w:tblW w:type="auto" w:w="0"/>
        <w:jc w:val="center"/>
        <w:tblLook w:firstColumn="1" w:firstRow="1" w:lastColumn="0" w:lastRow="0" w:noHBand="0" w:noVBand="1" w:val="04A0"/>
      </w:tblPr>
      <w:tblGrid>
        <w:gridCol w:w="5227"/>
        <w:gridCol w:w="5227"/>
      </w:tblGrid>
      <w:tr>
        <w:tc>
          <w:tcPr>
            <w:tcW w:type="dxa" w:w="3456"/>
            <w:vAlign w:val="center"/>
            <w:shd w:fill="1B4363"/>
          </w:tcPr>
          <w:p>
            <w:pPr>
              <w:spacing w:after="0"/>
            </w:pPr>
            <w:r/>
            <w:r>
              <w:rPr>
                <w:rFonts w:ascii="Arial" w:hAnsi="Arial"/>
                <w:b/>
                <w:color w:val="FFFFFF"/>
                <w:sz w:val="16"/>
              </w:rPr>
              <w:t>Widget</w:t>
            </w:r>
          </w:p>
        </w:tc>
        <w:tc>
          <w:tcPr>
            <w:tcW w:type="dxa" w:w="6336"/>
            <w:vAlign w:val="center"/>
            <w:shd w:fill="1B4363"/>
          </w:tcPr>
          <w:p>
            <w:pPr>
              <w:spacing w:after="0"/>
            </w:pPr>
            <w:r/>
            <w:r>
              <w:rPr>
                <w:rFonts w:ascii="Arial" w:hAnsi="Arial"/>
                <w:b/>
                <w:color w:val="FFFFFF"/>
                <w:sz w:val="16"/>
              </w:rPr>
              <w:t>Metric</w:t>
            </w:r>
          </w:p>
        </w:tc>
      </w:tr>
      <w:tr>
        <w:tc>
          <w:tcPr>
            <w:tcW w:type="dxa" w:w="3456"/>
            <w:vAlign w:val="center"/>
          </w:tcPr>
          <w:p>
            <w:pPr>
              <w:spacing w:after="0"/>
            </w:pPr>
            <w:r/>
            <w:r>
              <w:rPr>
                <w:rFonts w:ascii="Arial" w:hAnsi="Arial"/>
                <w:b w:val="0"/>
                <w:sz w:val="15"/>
              </w:rPr>
              <w:t>Active Activations</w:t>
            </w:r>
          </w:p>
        </w:tc>
        <w:tc>
          <w:tcPr>
            <w:tcW w:type="dxa" w:w="6336"/>
            <w:vAlign w:val="center"/>
          </w:tcPr>
          <w:p>
            <w:pPr>
              <w:spacing w:after="0"/>
            </w:pPr>
            <w:r/>
            <w:r>
              <w:rPr>
                <w:rFonts w:ascii="Arial" w:hAnsi="Arial"/>
                <w:b w:val="0"/>
                <w:sz w:val="15"/>
              </w:rPr>
              <w:t>count, state, remaining approved allocation</w:t>
            </w:r>
          </w:p>
        </w:tc>
      </w:tr>
      <w:tr>
        <w:tc>
          <w:tcPr>
            <w:tcW w:type="dxa" w:w="3456"/>
            <w:vAlign w:val="center"/>
          </w:tcPr>
          <w:p>
            <w:pPr>
              <w:spacing w:after="0"/>
            </w:pPr>
            <w:r/>
            <w:r>
              <w:rPr>
                <w:rFonts w:ascii="Arial" w:hAnsi="Arial"/>
                <w:b w:val="0"/>
                <w:sz w:val="15"/>
              </w:rPr>
              <w:t>Placement Delivery</w:t>
            </w:r>
          </w:p>
        </w:tc>
        <w:tc>
          <w:tcPr>
            <w:tcW w:type="dxa" w:w="6336"/>
            <w:vAlign w:val="center"/>
          </w:tcPr>
          <w:p>
            <w:pPr>
              <w:spacing w:after="0"/>
            </w:pPr>
            <w:r/>
            <w:r>
              <w:rPr>
                <w:rFonts w:ascii="Arial" w:hAnsi="Arial"/>
                <w:b w:val="0"/>
                <w:sz w:val="15"/>
              </w:rPr>
              <w:t>impressions/clicks by placement</w:t>
            </w:r>
          </w:p>
        </w:tc>
      </w:tr>
      <w:tr>
        <w:tc>
          <w:tcPr>
            <w:tcW w:type="dxa" w:w="3456"/>
            <w:vAlign w:val="center"/>
          </w:tcPr>
          <w:p>
            <w:pPr>
              <w:spacing w:after="0"/>
            </w:pPr>
            <w:r/>
            <w:r>
              <w:rPr>
                <w:rFonts w:ascii="Arial" w:hAnsi="Arial"/>
                <w:b w:val="0"/>
                <w:sz w:val="15"/>
              </w:rPr>
              <w:t>NO_AD Rate</w:t>
            </w:r>
          </w:p>
        </w:tc>
        <w:tc>
          <w:tcPr>
            <w:tcW w:type="dxa" w:w="6336"/>
            <w:vAlign w:val="center"/>
          </w:tcPr>
          <w:p>
            <w:pPr>
              <w:spacing w:after="0"/>
            </w:pPr>
            <w:r/>
            <w:r>
              <w:rPr>
                <w:rFonts w:ascii="Arial" w:hAnsi="Arial"/>
                <w:b w:val="0"/>
                <w:sz w:val="15"/>
              </w:rPr>
              <w:t>reason mix, excluding any customer identifiers</w:t>
            </w:r>
          </w:p>
        </w:tc>
      </w:tr>
      <w:tr>
        <w:tc>
          <w:tcPr>
            <w:tcW w:type="dxa" w:w="3456"/>
            <w:vAlign w:val="center"/>
          </w:tcPr>
          <w:p>
            <w:pPr>
              <w:spacing w:after="0"/>
            </w:pPr>
            <w:r/>
            <w:r>
              <w:rPr>
                <w:rFonts w:ascii="Arial" w:hAnsi="Arial"/>
                <w:b w:val="0"/>
                <w:sz w:val="15"/>
              </w:rPr>
              <w:t>Revenue/Payout</w:t>
            </w:r>
          </w:p>
        </w:tc>
        <w:tc>
          <w:tcPr>
            <w:tcW w:type="dxa" w:w="6336"/>
            <w:vAlign w:val="center"/>
          </w:tcPr>
          <w:p>
            <w:pPr>
              <w:spacing w:after="0"/>
            </w:pPr>
            <w:r/>
            <w:r>
              <w:rPr>
                <w:rFonts w:ascii="Arial" w:hAnsi="Arial"/>
                <w:b w:val="0"/>
                <w:sz w:val="15"/>
              </w:rPr>
              <w:t>accrual, reviewed, paid, disputed</w:t>
            </w:r>
          </w:p>
        </w:tc>
      </w:tr>
      <w:tr>
        <w:tc>
          <w:tcPr>
            <w:tcW w:type="dxa" w:w="3456"/>
            <w:vAlign w:val="center"/>
          </w:tcPr>
          <w:p>
            <w:pPr>
              <w:spacing w:after="0"/>
            </w:pPr>
            <w:r/>
            <w:r>
              <w:rPr>
                <w:rFonts w:ascii="Arial" w:hAnsi="Arial"/>
                <w:b w:val="0"/>
                <w:sz w:val="15"/>
              </w:rPr>
              <w:t>Quality</w:t>
            </w:r>
          </w:p>
        </w:tc>
        <w:tc>
          <w:tcPr>
            <w:tcW w:type="dxa" w:w="6336"/>
            <w:vAlign w:val="center"/>
          </w:tcPr>
          <w:p>
            <w:pPr>
              <w:spacing w:after="0"/>
            </w:pPr>
            <w:r/>
            <w:r>
              <w:rPr>
                <w:rFonts w:ascii="Arial" w:hAnsi="Arial"/>
                <w:b w:val="0"/>
                <w:sz w:val="15"/>
              </w:rPr>
              <w:t>CPQL/conversion aggregate by Buyer when sample is sufficient</w:t>
            </w:r>
          </w:p>
        </w:tc>
      </w:tr>
      <w:tr>
        <w:tc>
          <w:tcPr>
            <w:tcW w:type="dxa" w:w="3456"/>
            <w:vAlign w:val="center"/>
          </w:tcPr>
          <w:p>
            <w:pPr>
              <w:spacing w:after="0"/>
            </w:pPr>
            <w:r/>
            <w:r>
              <w:rPr>
                <w:rFonts w:ascii="Arial" w:hAnsi="Arial"/>
                <w:b w:val="0"/>
                <w:sz w:val="15"/>
              </w:rPr>
              <w:t>Integration Health</w:t>
            </w:r>
          </w:p>
        </w:tc>
        <w:tc>
          <w:tcPr>
            <w:tcW w:type="dxa" w:w="6336"/>
            <w:vAlign w:val="center"/>
          </w:tcPr>
          <w:p>
            <w:pPr>
              <w:spacing w:after="0"/>
            </w:pPr>
            <w:r/>
            <w:r>
              <w:rPr>
                <w:rFonts w:ascii="Arial" w:hAnsi="Arial"/>
                <w:b w:val="0"/>
                <w:sz w:val="15"/>
              </w:rPr>
              <w:t>Agent heartbeat, connector health, channel connection status</w:t>
            </w:r>
          </w:p>
        </w:tc>
      </w:tr>
    </w:tbl>
    <w:p/>
    <w:p>
      <w:pPr>
        <w:pStyle w:val="Heading2"/>
      </w:pPr>
      <w:r>
        <w:t>98.3 Buyer</w:t>
      </w:r>
    </w:p>
    <w:tbl>
      <w:tblPr>
        <w:tblStyle w:val="TableGrid"/>
        <w:tblW w:type="auto" w:w="0"/>
        <w:jc w:val="center"/>
        <w:tblLook w:firstColumn="1" w:firstRow="1" w:lastColumn="0" w:lastRow="0" w:noHBand="0" w:noVBand="1" w:val="04A0"/>
      </w:tblPr>
      <w:tblGrid>
        <w:gridCol w:w="5227"/>
        <w:gridCol w:w="5227"/>
      </w:tblGrid>
      <w:tr>
        <w:tc>
          <w:tcPr>
            <w:tcW w:type="dxa" w:w="3456"/>
            <w:vAlign w:val="center"/>
            <w:shd w:fill="1B4363"/>
          </w:tcPr>
          <w:p>
            <w:pPr>
              <w:spacing w:after="0"/>
            </w:pPr>
            <w:r/>
            <w:r>
              <w:rPr>
                <w:rFonts w:ascii="Arial" w:hAnsi="Arial"/>
                <w:b/>
                <w:color w:val="FFFFFF"/>
                <w:sz w:val="16"/>
              </w:rPr>
              <w:t>Widget</w:t>
            </w:r>
          </w:p>
        </w:tc>
        <w:tc>
          <w:tcPr>
            <w:tcW w:type="dxa" w:w="6336"/>
            <w:vAlign w:val="center"/>
            <w:shd w:fill="1B4363"/>
          </w:tcPr>
          <w:p>
            <w:pPr>
              <w:spacing w:after="0"/>
            </w:pPr>
            <w:r/>
            <w:r>
              <w:rPr>
                <w:rFonts w:ascii="Arial" w:hAnsi="Arial"/>
                <w:b/>
                <w:color w:val="FFFFFF"/>
                <w:sz w:val="16"/>
              </w:rPr>
              <w:t>Metric</w:t>
            </w:r>
          </w:p>
        </w:tc>
      </w:tr>
      <w:tr>
        <w:tc>
          <w:tcPr>
            <w:tcW w:type="dxa" w:w="3456"/>
            <w:vAlign w:val="center"/>
          </w:tcPr>
          <w:p>
            <w:pPr>
              <w:spacing w:after="0"/>
            </w:pPr>
            <w:r/>
            <w:r>
              <w:rPr>
                <w:rFonts w:ascii="Arial" w:hAnsi="Arial"/>
                <w:b w:val="0"/>
                <w:sz w:val="15"/>
              </w:rPr>
              <w:t>Campaign Budget</w:t>
            </w:r>
          </w:p>
        </w:tc>
        <w:tc>
          <w:tcPr>
            <w:tcW w:type="dxa" w:w="6336"/>
            <w:vAlign w:val="center"/>
          </w:tcPr>
          <w:p>
            <w:pPr>
              <w:spacing w:after="0"/>
            </w:pPr>
            <w:r/>
            <w:r>
              <w:rPr>
                <w:rFonts w:ascii="Arial" w:hAnsi="Arial"/>
                <w:b w:val="0"/>
                <w:sz w:val="15"/>
              </w:rPr>
              <w:t>spent/accrued vs approved allocation</w:t>
            </w:r>
          </w:p>
        </w:tc>
      </w:tr>
      <w:tr>
        <w:tc>
          <w:tcPr>
            <w:tcW w:type="dxa" w:w="3456"/>
            <w:vAlign w:val="center"/>
          </w:tcPr>
          <w:p>
            <w:pPr>
              <w:spacing w:after="0"/>
            </w:pPr>
            <w:r/>
            <w:r>
              <w:rPr>
                <w:rFonts w:ascii="Arial" w:hAnsi="Arial"/>
                <w:b w:val="0"/>
                <w:sz w:val="15"/>
              </w:rPr>
              <w:t>Lead Funnel</w:t>
            </w:r>
          </w:p>
        </w:tc>
        <w:tc>
          <w:tcPr>
            <w:tcW w:type="dxa" w:w="6336"/>
            <w:vAlign w:val="center"/>
          </w:tcPr>
          <w:p>
            <w:pPr>
              <w:spacing w:after="0"/>
            </w:pPr>
            <w:r/>
            <w:r>
              <w:rPr>
                <w:rFonts w:ascii="Arial" w:hAnsi="Arial"/>
                <w:b w:val="0"/>
                <w:sz w:val="15"/>
              </w:rPr>
              <w:t>received -&gt; valid -&gt; qualified -&gt; converted</w:t>
            </w:r>
          </w:p>
        </w:tc>
      </w:tr>
      <w:tr>
        <w:tc>
          <w:tcPr>
            <w:tcW w:type="dxa" w:w="3456"/>
            <w:vAlign w:val="center"/>
          </w:tcPr>
          <w:p>
            <w:pPr>
              <w:spacing w:after="0"/>
            </w:pPr>
            <w:r/>
            <w:r>
              <w:rPr>
                <w:rFonts w:ascii="Arial" w:hAnsi="Arial"/>
                <w:b w:val="0"/>
                <w:sz w:val="15"/>
              </w:rPr>
              <w:t>Partner Comparison</w:t>
            </w:r>
          </w:p>
        </w:tc>
        <w:tc>
          <w:tcPr>
            <w:tcW w:type="dxa" w:w="6336"/>
            <w:vAlign w:val="center"/>
          </w:tcPr>
          <w:p>
            <w:pPr>
              <w:spacing w:after="0"/>
            </w:pPr>
            <w:r/>
            <w:r>
              <w:rPr>
                <w:rFonts w:ascii="Arial" w:hAnsi="Arial"/>
                <w:b w:val="0"/>
                <w:sz w:val="15"/>
              </w:rPr>
              <w:t>CPQL/conversion by Partner/channel</w:t>
            </w:r>
          </w:p>
        </w:tc>
      </w:tr>
      <w:tr>
        <w:tc>
          <w:tcPr>
            <w:tcW w:type="dxa" w:w="3456"/>
            <w:vAlign w:val="center"/>
          </w:tcPr>
          <w:p>
            <w:pPr>
              <w:spacing w:after="0"/>
            </w:pPr>
            <w:r/>
            <w:r>
              <w:rPr>
                <w:rFonts w:ascii="Arial" w:hAnsi="Arial"/>
                <w:b w:val="0"/>
                <w:sz w:val="15"/>
              </w:rPr>
              <w:t>Spend Allocation</w:t>
            </w:r>
          </w:p>
        </w:tc>
        <w:tc>
          <w:tcPr>
            <w:tcW w:type="dxa" w:w="6336"/>
            <w:vAlign w:val="center"/>
          </w:tcPr>
          <w:p>
            <w:pPr>
              <w:spacing w:after="0"/>
            </w:pPr>
            <w:r/>
            <w:r>
              <w:rPr>
                <w:rFonts w:ascii="Arial" w:hAnsi="Arial"/>
                <w:b w:val="0"/>
                <w:sz w:val="15"/>
              </w:rPr>
              <w:t>Partner/channel allocation and actual spend</w:t>
            </w:r>
          </w:p>
        </w:tc>
      </w:tr>
      <w:tr>
        <w:tc>
          <w:tcPr>
            <w:tcW w:type="dxa" w:w="3456"/>
            <w:vAlign w:val="center"/>
          </w:tcPr>
          <w:p>
            <w:pPr>
              <w:spacing w:after="0"/>
            </w:pPr>
            <w:r/>
            <w:r>
              <w:rPr>
                <w:rFonts w:ascii="Arial" w:hAnsi="Arial"/>
                <w:b w:val="0"/>
                <w:sz w:val="15"/>
              </w:rPr>
              <w:t>Activation Status</w:t>
            </w:r>
          </w:p>
        </w:tc>
        <w:tc>
          <w:tcPr>
            <w:tcW w:type="dxa" w:w="6336"/>
            <w:vAlign w:val="center"/>
          </w:tcPr>
          <w:p>
            <w:pPr>
              <w:spacing w:after="0"/>
            </w:pPr>
            <w:r/>
            <w:r>
              <w:rPr>
                <w:rFonts w:ascii="Arial" w:hAnsi="Arial"/>
                <w:b w:val="0"/>
                <w:sz w:val="15"/>
              </w:rPr>
              <w:t>live, pending approval, blocked, failed, ended</w:t>
            </w:r>
          </w:p>
        </w:tc>
      </w:tr>
    </w:tbl>
    <w:p/>
    <w:p>
      <w:pPr>
        <w:pStyle w:val="Heading1"/>
      </w:pPr>
      <w:r>
        <w:t>99. Error Propagation and Correlation Pattern</w:t>
      </w:r>
    </w:p>
    <w:p>
      <w:pPr>
        <w:spacing w:before="40" w:after="80"/>
        <w:ind w:left="216" w:right="115"/>
        <w:shd w:fill="F3F4F6"/>
      </w:pPr>
      <w:r>
        <w:rPr>
          <w:rFonts w:ascii="Courier New" w:hAnsi="Courier New"/>
          <w:sz w:val="14"/>
        </w:rPr>
        <w:t>{</w:t>
        <w:br/>
        <w:t xml:space="preserve">  "error":{</w:t>
        <w:br/>
        <w:t xml:space="preserve">    "code":"CHAN_001",</w:t>
        <w:br/>
        <w:t xml:space="preserve">    "message":"Channel not eligible.",</w:t>
        <w:br/>
        <w:t xml:space="preserve">    "retryable":false,</w:t>
        <w:br/>
        <w:t xml:space="preserve">    "correlation_id":"corr_123",</w:t>
        <w:br/>
        <w:t xml:space="preserve">    "field_errors":[</w:t>
        <w:br/>
        <w:t xml:space="preserve">      {"field":"channel_connections.meta","message":"Meta account not connected."}</w:t>
        <w:br/>
        <w:t xml:space="preserve">    ]</w:t>
        <w:br/>
        <w:t xml:space="preserve">  }</w:t>
        <w:br/>
        <w:t>}</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1B4363"/>
          </w:tcPr>
          <w:p>
            <w:pPr>
              <w:spacing w:after="0"/>
            </w:pPr>
            <w:r/>
            <w:r>
              <w:rPr>
                <w:rFonts w:ascii="Arial" w:hAnsi="Arial"/>
                <w:b/>
                <w:color w:val="FFFFFF"/>
                <w:sz w:val="16"/>
              </w:rPr>
              <w:t>Layer</w:t>
            </w:r>
          </w:p>
        </w:tc>
        <w:tc>
          <w:tcPr>
            <w:tcW w:type="dxa" w:w="6624"/>
            <w:vAlign w:val="center"/>
            <w:shd w:fill="1B4363"/>
          </w:tcPr>
          <w:p>
            <w:pPr>
              <w:spacing w:after="0"/>
            </w:pPr>
            <w:r/>
            <w:r>
              <w:rPr>
                <w:rFonts w:ascii="Arial" w:hAnsi="Arial"/>
                <w:b/>
                <w:color w:val="FFFFFF"/>
                <w:sz w:val="16"/>
              </w:rPr>
              <w:t>Rule</w:t>
            </w:r>
          </w:p>
        </w:tc>
      </w:tr>
      <w:tr>
        <w:tc>
          <w:tcPr>
            <w:tcW w:type="dxa" w:w="3168"/>
            <w:vAlign w:val="center"/>
          </w:tcPr>
          <w:p>
            <w:pPr>
              <w:spacing w:after="0"/>
            </w:pPr>
            <w:r/>
            <w:r>
              <w:rPr>
                <w:rFonts w:ascii="Arial" w:hAnsi="Arial"/>
                <w:b w:val="0"/>
                <w:sz w:val="15"/>
              </w:rPr>
              <w:t>HTTP API</w:t>
            </w:r>
          </w:p>
        </w:tc>
        <w:tc>
          <w:tcPr>
            <w:tcW w:type="dxa" w:w="6624"/>
            <w:vAlign w:val="center"/>
          </w:tcPr>
          <w:p>
            <w:pPr>
              <w:spacing w:after="0"/>
            </w:pPr>
            <w:r/>
            <w:r>
              <w:rPr>
                <w:rFonts w:ascii="Arial" w:hAnsi="Arial"/>
                <w:b w:val="0"/>
                <w:sz w:val="15"/>
              </w:rPr>
              <w:t>Return structured error; never expose stack traces or secrets.</w:t>
            </w:r>
          </w:p>
        </w:tc>
      </w:tr>
      <w:tr>
        <w:tc>
          <w:tcPr>
            <w:tcW w:type="dxa" w:w="3168"/>
            <w:vAlign w:val="center"/>
          </w:tcPr>
          <w:p>
            <w:pPr>
              <w:spacing w:after="0"/>
            </w:pPr>
            <w:r/>
            <w:r>
              <w:rPr>
                <w:rFonts w:ascii="Arial" w:hAnsi="Arial"/>
                <w:b w:val="0"/>
                <w:sz w:val="15"/>
              </w:rPr>
              <w:t>Partner Agent decision</w:t>
            </w:r>
          </w:p>
        </w:tc>
        <w:tc>
          <w:tcPr>
            <w:tcW w:type="dxa" w:w="6624"/>
            <w:vAlign w:val="center"/>
          </w:tcPr>
          <w:p>
            <w:pPr>
              <w:spacing w:after="0"/>
            </w:pPr>
            <w:r/>
            <w:r>
              <w:rPr>
                <w:rFonts w:ascii="Arial" w:hAnsi="Arial"/>
                <w:b w:val="0"/>
                <w:sz w:val="15"/>
              </w:rPr>
              <w:t>Return NO_AD + reason + retryable + optional retry_after_ms; core Partner journey continues.</w:t>
            </w:r>
          </w:p>
        </w:tc>
      </w:tr>
      <w:tr>
        <w:tc>
          <w:tcPr>
            <w:tcW w:type="dxa" w:w="3168"/>
            <w:vAlign w:val="center"/>
          </w:tcPr>
          <w:p>
            <w:pPr>
              <w:spacing w:after="0"/>
            </w:pPr>
            <w:r/>
            <w:r>
              <w:rPr>
                <w:rFonts w:ascii="Arial" w:hAnsi="Arial"/>
                <w:b w:val="0"/>
                <w:sz w:val="15"/>
              </w:rPr>
              <w:t>Queue schema error</w:t>
            </w:r>
          </w:p>
        </w:tc>
        <w:tc>
          <w:tcPr>
            <w:tcW w:type="dxa" w:w="6624"/>
            <w:vAlign w:val="center"/>
          </w:tcPr>
          <w:p>
            <w:pPr>
              <w:spacing w:after="0"/>
            </w:pPr>
            <w:r/>
            <w:r>
              <w:rPr>
                <w:rFonts w:ascii="Arial" w:hAnsi="Arial"/>
                <w:b w:val="0"/>
                <w:sz w:val="15"/>
              </w:rPr>
              <w:t>Non-retryable -&gt; DLQ immediately with safe metadata.</w:t>
            </w:r>
          </w:p>
        </w:tc>
      </w:tr>
      <w:tr>
        <w:tc>
          <w:tcPr>
            <w:tcW w:type="dxa" w:w="3168"/>
            <w:vAlign w:val="center"/>
          </w:tcPr>
          <w:p>
            <w:pPr>
              <w:spacing w:after="0"/>
            </w:pPr>
            <w:r/>
            <w:r>
              <w:rPr>
                <w:rFonts w:ascii="Arial" w:hAnsi="Arial"/>
                <w:b w:val="0"/>
                <w:sz w:val="15"/>
              </w:rPr>
              <w:t>Transient dependency error</w:t>
            </w:r>
          </w:p>
        </w:tc>
        <w:tc>
          <w:tcPr>
            <w:tcW w:type="dxa" w:w="6624"/>
            <w:vAlign w:val="center"/>
          </w:tcPr>
          <w:p>
            <w:pPr>
              <w:spacing w:after="0"/>
            </w:pPr>
            <w:r/>
            <w:r>
              <w:rPr>
                <w:rFonts w:ascii="Arial" w:hAnsi="Arial"/>
                <w:b w:val="0"/>
                <w:sz w:val="15"/>
              </w:rPr>
              <w:t>Retry according to canonical backoff; then DLQ/FAILED state.</w:t>
            </w:r>
          </w:p>
        </w:tc>
      </w:tr>
      <w:tr>
        <w:tc>
          <w:tcPr>
            <w:tcW w:type="dxa" w:w="3168"/>
            <w:vAlign w:val="center"/>
          </w:tcPr>
          <w:p>
            <w:pPr>
              <w:spacing w:after="0"/>
            </w:pPr>
            <w:r/>
            <w:r>
              <w:rPr>
                <w:rFonts w:ascii="Arial" w:hAnsi="Arial"/>
                <w:b w:val="0"/>
                <w:sz w:val="15"/>
              </w:rPr>
              <w:t>Business-rule violation</w:t>
            </w:r>
          </w:p>
        </w:tc>
        <w:tc>
          <w:tcPr>
            <w:tcW w:type="dxa" w:w="6624"/>
            <w:vAlign w:val="center"/>
          </w:tcPr>
          <w:p>
            <w:pPr>
              <w:spacing w:after="0"/>
            </w:pPr>
            <w:r/>
            <w:r>
              <w:rPr>
                <w:rFonts w:ascii="Arial" w:hAnsi="Arial"/>
                <w:b w:val="0"/>
                <w:sz w:val="15"/>
              </w:rPr>
              <w:t>No retry; record auditable state/reason.</w:t>
            </w:r>
          </w:p>
        </w:tc>
      </w:tr>
      <w:tr>
        <w:tc>
          <w:tcPr>
            <w:tcW w:type="dxa" w:w="3168"/>
            <w:vAlign w:val="center"/>
          </w:tcPr>
          <w:p>
            <w:pPr>
              <w:spacing w:after="0"/>
            </w:pPr>
            <w:r/>
            <w:r>
              <w:rPr>
                <w:rFonts w:ascii="Arial" w:hAnsi="Arial"/>
                <w:b w:val="0"/>
                <w:sz w:val="15"/>
              </w:rPr>
              <w:t>External provider 4xx policy/permission</w:t>
            </w:r>
          </w:p>
        </w:tc>
        <w:tc>
          <w:tcPr>
            <w:tcW w:type="dxa" w:w="6624"/>
            <w:vAlign w:val="center"/>
          </w:tcPr>
          <w:p>
            <w:pPr>
              <w:spacing w:after="0"/>
            </w:pPr>
            <w:r/>
            <w:r>
              <w:rPr>
                <w:rFonts w:ascii="Arial" w:hAnsi="Arial"/>
                <w:b w:val="0"/>
                <w:sz w:val="15"/>
              </w:rPr>
              <w:t>Generally non-retryable until configuration changes.</w:t>
            </w:r>
          </w:p>
        </w:tc>
      </w:tr>
      <w:tr>
        <w:tc>
          <w:tcPr>
            <w:tcW w:type="dxa" w:w="3168"/>
            <w:vAlign w:val="center"/>
          </w:tcPr>
          <w:p>
            <w:pPr>
              <w:spacing w:after="0"/>
            </w:pPr>
            <w:r/>
            <w:r>
              <w:rPr>
                <w:rFonts w:ascii="Arial" w:hAnsi="Arial"/>
                <w:b w:val="0"/>
                <w:sz w:val="15"/>
              </w:rPr>
              <w:t>External provider 429/5xx</w:t>
            </w:r>
          </w:p>
        </w:tc>
        <w:tc>
          <w:tcPr>
            <w:tcW w:type="dxa" w:w="6624"/>
            <w:vAlign w:val="center"/>
          </w:tcPr>
          <w:p>
            <w:pPr>
              <w:spacing w:after="0"/>
            </w:pPr>
            <w:r/>
            <w:r>
              <w:rPr>
                <w:rFonts w:ascii="Arial" w:hAnsi="Arial"/>
                <w:b w:val="0"/>
                <w:sz w:val="15"/>
              </w:rPr>
              <w:t>Retry with provider-aware backoff and Retry-After when provided.</w:t>
            </w:r>
          </w:p>
        </w:tc>
      </w:tr>
      <w:tr>
        <w:tc>
          <w:tcPr>
            <w:tcW w:type="dxa" w:w="3168"/>
            <w:vAlign w:val="center"/>
          </w:tcPr>
          <w:p>
            <w:pPr>
              <w:spacing w:after="0"/>
            </w:pPr>
            <w:r/>
            <w:r>
              <w:rPr>
                <w:rFonts w:ascii="Arial" w:hAnsi="Arial"/>
                <w:b w:val="0"/>
                <w:sz w:val="15"/>
              </w:rPr>
              <w:t>Idempotency</w:t>
            </w:r>
          </w:p>
        </w:tc>
        <w:tc>
          <w:tcPr>
            <w:tcW w:type="dxa" w:w="6624"/>
            <w:vAlign w:val="center"/>
          </w:tcPr>
          <w:p>
            <w:pPr>
              <w:spacing w:after="0"/>
            </w:pPr>
            <w:r/>
            <w:r>
              <w:rPr>
                <w:rFonts w:ascii="Arial" w:hAnsi="Arial"/>
                <w:b w:val="0"/>
                <w:sz w:val="15"/>
              </w:rPr>
              <w:t>Same key + same logical request returns stored result; same key + different payload returns 409 IDEMPOTENCY_CONFLICT.</w:t>
            </w:r>
          </w:p>
        </w:tc>
      </w:tr>
    </w:tbl>
    <w:p/>
    <w:p>
      <w:pPr>
        <w:pStyle w:val="ListBullet"/>
        <w:spacing w:after="40"/>
      </w:pPr>
      <w:r>
        <w:t>Idempotency records default to 24-hour retention for write APIs; longer retention may be used for financial/external synchronization operations.</w:t>
      </w:r>
    </w:p>
    <w:p>
      <w:pPr>
        <w:pStyle w:val="ListBullet"/>
        <w:spacing w:after="40"/>
      </w:pPr>
      <w:r>
        <w:t>Correlation ID is generated at the edge when missing and propagated through API -&gt; queue -&gt; worker -&gt; Agent -&gt; external adapter metadata where possible.</w:t>
      </w:r>
    </w:p>
    <w:p>
      <w:pPr>
        <w:pStyle w:val="ListBullet"/>
        <w:spacing w:after="40"/>
      </w:pPr>
      <w:r>
        <w:t>Do not assume every external provider will echo Oolix's correlation ID; store provider request/resource IDs alongside correlation_id.</w:t>
      </w:r>
    </w:p>
    <w:p>
      <w:pPr>
        <w:pStyle w:val="Heading1"/>
      </w:pPr>
      <w:r>
        <w:t>100. Mobile SDK / Component Contract</w:t>
      </w:r>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MVP scope</w:t>
            </w:r>
          </w:p>
          <w:p>
            <w:r>
              <w:rPr>
                <w:rFonts w:ascii="Arial" w:hAnsi="Arial"/>
                <w:sz w:val="16"/>
              </w:rPr>
              <w:t>Build only the first pilot Partner's mobile platform. The examples below define the intended interface; they do not mean all SDKs must ship in MVP.</w:t>
            </w:r>
          </w:p>
        </w:tc>
      </w:tr>
    </w:tbl>
    <w:p/>
    <w:p>
      <w:pPr>
        <w:pStyle w:val="Heading2"/>
      </w:pPr>
      <w:r>
        <w:t>100.1 iOS interface example</w:t>
      </w:r>
    </w:p>
    <w:p>
      <w:pPr>
        <w:spacing w:before="40" w:after="80"/>
        <w:ind w:left="216" w:right="115"/>
        <w:shd w:fill="F3F4F6"/>
      </w:pPr>
      <w:r>
        <w:rPr>
          <w:rFonts w:ascii="Courier New" w:hAnsi="Courier New"/>
          <w:sz w:val="14"/>
        </w:rPr>
        <w:t>// Interface example - implement only if the first pilot uses iOS.</w:t>
        <w:br/>
        <w:t>OolixAdSlot(</w:t>
        <w:br/>
        <w:t xml:space="preserve">  placementId: "booking_success_offer",</w:t>
        <w:br/>
        <w:t xml:space="preserve">  requestTimeoutMs: 150,</w:t>
        <w:br/>
        <w:t xml:space="preserve">  fallback: { PartnerHouseAd() },</w:t>
        <w:br/>
        <w:t xml:space="preserve">  onError: { error in</w:t>
        <w:br/>
        <w:t xml:space="preserve">    logger.warn("oolix_ad", error.code)</w:t>
        <w:br/>
        <w:t xml:space="preserve">  }</w:t>
        <w:br/>
        <w:t>)</w:t>
      </w:r>
    </w:p>
    <w:p>
      <w:pPr>
        <w:pStyle w:val="Heading2"/>
      </w:pPr>
      <w:r>
        <w:t>100.2 Android interface example</w:t>
      </w:r>
    </w:p>
    <w:p>
      <w:pPr>
        <w:spacing w:before="40" w:after="80"/>
        <w:ind w:left="216" w:right="115"/>
        <w:shd w:fill="F3F4F6"/>
      </w:pPr>
      <w:r>
        <w:rPr>
          <w:rFonts w:ascii="Courier New" w:hAnsi="Courier New"/>
          <w:sz w:val="14"/>
        </w:rPr>
        <w:t>// Interface example - implement only if the first pilot uses Android.</w:t>
        <w:br/>
        <w:t>OolixAdView(</w:t>
        <w:br/>
        <w:t xml:space="preserve">  placementId = "booking_success_offer",</w:t>
        <w:br/>
        <w:t xml:space="preserve">  requestTimeoutMs = 150,</w:t>
        <w:br/>
        <w:t xml:space="preserve">  fallback = { PartnerHouseAd() },</w:t>
        <w:br/>
        <w:t xml:space="preserve">  onError = { error -&gt; logger.warn("oolix_ad", error.code) }</w:t>
        <w:br/>
        <w:t>)</w:t>
      </w:r>
    </w:p>
    <w:p>
      <w:pPr>
        <w:pStyle w:val="Heading2"/>
      </w:pPr>
      <w:r>
        <w:t>100.3 React Native interface example</w:t>
      </w:r>
    </w:p>
    <w:p>
      <w:pPr>
        <w:spacing w:before="40" w:after="80"/>
        <w:ind w:left="216" w:right="115"/>
        <w:shd w:fill="F3F4F6"/>
      </w:pPr>
      <w:r>
        <w:rPr>
          <w:rFonts w:ascii="Courier New" w:hAnsi="Courier New"/>
          <w:sz w:val="14"/>
        </w:rPr>
        <w:t>// Future/reference interface.</w:t>
        <w:br/>
        <w:t>&lt;OolixAdSlot</w:t>
        <w:br/>
        <w:t xml:space="preserve">  placementId="booking_success_offer"</w:t>
        <w:br/>
        <w:t xml:space="preserve">  requestTimeoutMs={150}</w:t>
        <w:br/>
        <w:t xml:space="preserve">  fallback={&lt;PartnerHouseAd /&gt;}</w:t>
        <w:br/>
        <w:t>/&gt;</w:t>
      </w:r>
    </w:p>
    <w:p>
      <w:pPr>
        <w:pStyle w:val="ListBullet"/>
        <w:spacing w:after="40"/>
      </w:pPr>
      <w:r>
        <w:t>Mobile SDK performs rendering, timeout/fallback and click forwarding only; no segment/customer logic.</w:t>
      </w:r>
    </w:p>
    <w:p>
      <w:pPr>
        <w:pStyle w:val="ListBullet"/>
        <w:spacing w:after="40"/>
      </w:pPr>
      <w:r>
        <w:t>SDK calls Partner backend, not Oolix Cloud with Partner user identity.</w:t>
      </w:r>
    </w:p>
    <w:p>
      <w:pPr>
        <w:pStyle w:val="ListBullet"/>
        <w:spacing w:after="40"/>
      </w:pPr>
      <w:r>
        <w:t>Use native image caching appropriate to the platform. Do not cache customer targeting decisions beyond the short decision TTL.</w:t>
      </w:r>
    </w:p>
    <w:p>
      <w:pPr>
        <w:pStyle w:val="ListBullet"/>
        <w:spacing w:after="40"/>
      </w:pPr>
      <w:r>
        <w:t>Bundle-size target must be measured on the selected platform before release; do not promise an unmeasured fixed size such as &lt;100 KB.</w:t>
      </w:r>
    </w:p>
    <w:p>
      <w:pPr>
        <w:pStyle w:val="Heading1"/>
      </w:pPr>
      <w:r>
        <w:t>101. Partner Approval SLA and Expiry Workflow</w:t>
      </w:r>
    </w:p>
    <w:tbl>
      <w:tblPr>
        <w:tblStyle w:val="TableGrid"/>
        <w:tblW w:type="auto" w:w="0"/>
        <w:jc w:val="center"/>
        <w:tblLook w:firstColumn="1" w:firstRow="1" w:lastColumn="0" w:lastRow="0" w:noHBand="0" w:noVBand="1" w:val="04A0"/>
      </w:tblPr>
      <w:tblGrid>
        <w:gridCol w:w="5227"/>
        <w:gridCol w:w="5227"/>
      </w:tblGrid>
      <w:tr>
        <w:tc>
          <w:tcPr>
            <w:tcW w:type="dxa" w:w="2160"/>
            <w:vAlign w:val="center"/>
            <w:shd w:fill="1B4363"/>
          </w:tcPr>
          <w:p>
            <w:pPr>
              <w:spacing w:after="0"/>
            </w:pPr>
            <w:r/>
            <w:r>
              <w:rPr>
                <w:rFonts w:ascii="Arial" w:hAnsi="Arial"/>
                <w:b/>
                <w:color w:val="FFFFFF"/>
                <w:sz w:val="16"/>
              </w:rPr>
              <w:t>Time</w:t>
            </w:r>
          </w:p>
        </w:tc>
        <w:tc>
          <w:tcPr>
            <w:tcW w:type="dxa" w:w="7632"/>
            <w:vAlign w:val="center"/>
            <w:shd w:fill="1B4363"/>
          </w:tcPr>
          <w:p>
            <w:pPr>
              <w:spacing w:after="0"/>
            </w:pPr>
            <w:r/>
            <w:r>
              <w:rPr>
                <w:rFonts w:ascii="Arial" w:hAnsi="Arial"/>
                <w:b/>
                <w:color w:val="FFFFFF"/>
                <w:sz w:val="16"/>
              </w:rPr>
              <w:t>Action</w:t>
            </w:r>
          </w:p>
        </w:tc>
      </w:tr>
      <w:tr>
        <w:tc>
          <w:tcPr>
            <w:tcW w:type="dxa" w:w="2160"/>
            <w:vAlign w:val="center"/>
          </w:tcPr>
          <w:p>
            <w:pPr>
              <w:spacing w:after="0"/>
            </w:pPr>
            <w:r/>
            <w:r>
              <w:rPr>
                <w:rFonts w:ascii="Arial" w:hAnsi="Arial"/>
                <w:b w:val="0"/>
                <w:sz w:val="15"/>
              </w:rPr>
              <w:t>t=0</w:t>
            </w:r>
          </w:p>
        </w:tc>
        <w:tc>
          <w:tcPr>
            <w:tcW w:type="dxa" w:w="7632"/>
            <w:vAlign w:val="center"/>
          </w:tcPr>
          <w:p>
            <w:pPr>
              <w:spacing w:after="0"/>
            </w:pPr>
            <w:r/>
            <w:r>
              <w:rPr>
                <w:rFonts w:ascii="Arial" w:hAnsi="Arial"/>
                <w:b w:val="0"/>
                <w:sz w:val="15"/>
              </w:rPr>
              <w:t>Request submitted; PRIMARY and configured Partner approvers notified.</w:t>
            </w:r>
          </w:p>
        </w:tc>
      </w:tr>
      <w:tr>
        <w:tc>
          <w:tcPr>
            <w:tcW w:type="dxa" w:w="2160"/>
            <w:vAlign w:val="center"/>
          </w:tcPr>
          <w:p>
            <w:pPr>
              <w:spacing w:after="0"/>
            </w:pPr>
            <w:r/>
            <w:r>
              <w:rPr>
                <w:rFonts w:ascii="Arial" w:hAnsi="Arial"/>
                <w:b w:val="0"/>
                <w:sz w:val="15"/>
              </w:rPr>
              <w:t>t+5 days</w:t>
            </w:r>
          </w:p>
        </w:tc>
        <w:tc>
          <w:tcPr>
            <w:tcW w:type="dxa" w:w="7632"/>
            <w:vAlign w:val="center"/>
          </w:tcPr>
          <w:p>
            <w:pPr>
              <w:spacing w:after="0"/>
            </w:pPr>
            <w:r/>
            <w:r>
              <w:rPr>
                <w:rFonts w:ascii="Arial" w:hAnsi="Arial"/>
                <w:b w:val="0"/>
                <w:sz w:val="15"/>
              </w:rPr>
              <w:t>First reminder to primary approvers.</w:t>
            </w:r>
          </w:p>
        </w:tc>
      </w:tr>
      <w:tr>
        <w:tc>
          <w:tcPr>
            <w:tcW w:type="dxa" w:w="2160"/>
            <w:vAlign w:val="center"/>
          </w:tcPr>
          <w:p>
            <w:pPr>
              <w:spacing w:after="0"/>
            </w:pPr>
            <w:r/>
            <w:r>
              <w:rPr>
                <w:rFonts w:ascii="Arial" w:hAnsi="Arial"/>
                <w:b w:val="0"/>
                <w:sz w:val="15"/>
              </w:rPr>
              <w:t>t+6 days</w:t>
            </w:r>
          </w:p>
        </w:tc>
        <w:tc>
          <w:tcPr>
            <w:tcW w:type="dxa" w:w="7632"/>
            <w:vAlign w:val="center"/>
          </w:tcPr>
          <w:p>
            <w:pPr>
              <w:spacing w:after="0"/>
            </w:pPr>
            <w:r/>
            <w:r>
              <w:rPr>
                <w:rFonts w:ascii="Arial" w:hAnsi="Arial"/>
                <w:b w:val="0"/>
                <w:sz w:val="15"/>
              </w:rPr>
              <w:t>Final reminder to primary + secondary approvers and Partner Admin.</w:t>
            </w:r>
          </w:p>
        </w:tc>
      </w:tr>
      <w:tr>
        <w:tc>
          <w:tcPr>
            <w:tcW w:type="dxa" w:w="2160"/>
            <w:vAlign w:val="center"/>
          </w:tcPr>
          <w:p>
            <w:pPr>
              <w:spacing w:after="0"/>
            </w:pPr>
            <w:r/>
            <w:r>
              <w:rPr>
                <w:rFonts w:ascii="Arial" w:hAnsi="Arial"/>
                <w:b w:val="0"/>
                <w:sz w:val="15"/>
              </w:rPr>
              <w:t>t+7 days</w:t>
            </w:r>
          </w:p>
        </w:tc>
        <w:tc>
          <w:tcPr>
            <w:tcW w:type="dxa" w:w="7632"/>
            <w:vAlign w:val="center"/>
          </w:tcPr>
          <w:p>
            <w:pPr>
              <w:spacing w:after="0"/>
            </w:pPr>
            <w:r/>
            <w:r>
              <w:rPr>
                <w:rFonts w:ascii="Arial" w:hAnsi="Arial"/>
                <w:b w:val="0"/>
                <w:sz w:val="15"/>
              </w:rPr>
              <w:t>Request transitions to EXPIRED if still in PARTNER_REVIEW.</w:t>
            </w:r>
          </w:p>
        </w:tc>
      </w:tr>
    </w:tbl>
    <w:p/>
    <w:p>
      <w:pPr>
        <w:pStyle w:val="ListBullet"/>
        <w:spacing w:after="40"/>
      </w:pPr>
      <w:r>
        <w:t>Partner Request canonical states now include EXPIRED.</w:t>
      </w:r>
    </w:p>
    <w:p>
      <w:pPr>
        <w:pStyle w:val="ListBullet"/>
        <w:spacing w:after="40"/>
      </w:pPr>
      <w:r>
        <w:t>Expiry is not rejection and never auto-approves. Buyer may clone/resubmit a new request version.</w:t>
      </w:r>
    </w:p>
    <w:p>
      <w:pPr>
        <w:pStyle w:val="ListBullet"/>
        <w:spacing w:after="40"/>
      </w:pPr>
      <w:r>
        <w:t>Partner Admin may extend the review window once by up to 7 additional days with a mandatory reason; extension is audited and Buyer is notified.</w:t>
      </w:r>
    </w:p>
    <w:p>
      <w:pPr>
        <w:pStyle w:val="ListBullet"/>
        <w:spacing w:after="40"/>
      </w:pPr>
      <w:r>
        <w:t>Parent campaign does not need a PARTIALLY_EXPIRED state. Its aggregate status remains based on live/approved activations, while approval_summary.expired_count is shown separately.</w:t>
      </w:r>
    </w:p>
    <w:p>
      <w:pPr>
        <w:pStyle w:val="ListBullet"/>
        <w:spacing w:after="40"/>
      </w:pPr>
      <w:r>
        <w:t>Resubmission rate-limit: no more than one resubmission of the same Partner request per 24 hours unless Partner explicitly requests changes.</w:t>
      </w:r>
    </w:p>
    <w:p>
      <w:pPr>
        <w:pStyle w:val="Heading1"/>
      </w:pPr>
      <w:r>
        <w:t>102. Payout Calculation and Reconciliation Example</w:t>
      </w:r>
    </w:p>
    <w:p>
      <w:r>
        <w:t>Illustrative pilot arithmetic only; actual commercial terms are contract-specific.</w:t>
      </w:r>
    </w:p>
    <w:tbl>
      <w:tblPr>
        <w:tblStyle w:val="TableGrid"/>
        <w:tblW w:type="auto" w:w="0"/>
        <w:jc w:val="center"/>
        <w:tblLook w:firstColumn="1" w:firstRow="1" w:lastColumn="0" w:lastRow="0" w:noHBand="0" w:noVBand="1" w:val="04A0"/>
      </w:tblPr>
      <w:tblGrid>
        <w:gridCol w:w="5227"/>
        <w:gridCol w:w="5227"/>
      </w:tblGrid>
      <w:tr>
        <w:tc>
          <w:tcPr>
            <w:tcW w:type="dxa" w:w="3456"/>
            <w:vAlign w:val="center"/>
            <w:shd w:fill="1B4363"/>
          </w:tcPr>
          <w:p>
            <w:pPr>
              <w:spacing w:after="0"/>
            </w:pPr>
            <w:r/>
            <w:r>
              <w:rPr>
                <w:rFonts w:ascii="Arial" w:hAnsi="Arial"/>
                <w:b/>
                <w:color w:val="FFFFFF"/>
                <w:sz w:val="16"/>
              </w:rPr>
              <w:t>Term</w:t>
            </w:r>
          </w:p>
        </w:tc>
        <w:tc>
          <w:tcPr>
            <w:tcW w:type="dxa" w:w="6336"/>
            <w:vAlign w:val="center"/>
            <w:shd w:fill="1B4363"/>
          </w:tcPr>
          <w:p>
            <w:pPr>
              <w:spacing w:after="0"/>
            </w:pPr>
            <w:r/>
            <w:r>
              <w:rPr>
                <w:rFonts w:ascii="Arial" w:hAnsi="Arial"/>
                <w:b/>
                <w:color w:val="FFFFFF"/>
                <w:sz w:val="16"/>
              </w:rPr>
              <w:t>Example</w:t>
            </w:r>
          </w:p>
        </w:tc>
      </w:tr>
      <w:tr>
        <w:tc>
          <w:tcPr>
            <w:tcW w:type="dxa" w:w="3456"/>
            <w:vAlign w:val="center"/>
          </w:tcPr>
          <w:p>
            <w:pPr>
              <w:spacing w:after="0"/>
            </w:pPr>
            <w:r/>
            <w:r>
              <w:rPr>
                <w:rFonts w:ascii="Arial" w:hAnsi="Arial"/>
                <w:b w:val="0"/>
                <w:sz w:val="15"/>
              </w:rPr>
              <w:t>Commercial model</w:t>
            </w:r>
          </w:p>
        </w:tc>
        <w:tc>
          <w:tcPr>
            <w:tcW w:type="dxa" w:w="6336"/>
            <w:vAlign w:val="center"/>
          </w:tcPr>
          <w:p>
            <w:pPr>
              <w:spacing w:after="0"/>
            </w:pPr>
            <w:r/>
            <w:r>
              <w:rPr>
                <w:rFonts w:ascii="Arial" w:hAnsi="Arial"/>
                <w:b w:val="0"/>
                <w:sz w:val="15"/>
              </w:rPr>
              <w:t>CPQL</w:t>
            </w:r>
          </w:p>
        </w:tc>
      </w:tr>
      <w:tr>
        <w:tc>
          <w:tcPr>
            <w:tcW w:type="dxa" w:w="3456"/>
            <w:vAlign w:val="center"/>
          </w:tcPr>
          <w:p>
            <w:pPr>
              <w:spacing w:after="0"/>
            </w:pPr>
            <w:r/>
            <w:r>
              <w:rPr>
                <w:rFonts w:ascii="Arial" w:hAnsi="Arial"/>
                <w:b w:val="0"/>
                <w:sz w:val="15"/>
              </w:rPr>
              <w:t>Qualified lead unit price</w:t>
            </w:r>
          </w:p>
        </w:tc>
        <w:tc>
          <w:tcPr>
            <w:tcW w:type="dxa" w:w="6336"/>
            <w:vAlign w:val="center"/>
          </w:tcPr>
          <w:p>
            <w:pPr>
              <w:spacing w:after="0"/>
            </w:pPr>
            <w:r/>
            <w:r>
              <w:rPr>
                <w:rFonts w:ascii="Arial" w:hAnsi="Arial"/>
                <w:b w:val="0"/>
                <w:sz w:val="15"/>
              </w:rPr>
              <w:t>INR 4,500</w:t>
            </w:r>
          </w:p>
        </w:tc>
      </w:tr>
      <w:tr>
        <w:tc>
          <w:tcPr>
            <w:tcW w:type="dxa" w:w="3456"/>
            <w:vAlign w:val="center"/>
          </w:tcPr>
          <w:p>
            <w:pPr>
              <w:spacing w:after="0"/>
            </w:pPr>
            <w:r/>
            <w:r>
              <w:rPr>
                <w:rFonts w:ascii="Arial" w:hAnsi="Arial"/>
                <w:b w:val="0"/>
                <w:sz w:val="15"/>
              </w:rPr>
              <w:t>Maximum campaign budget</w:t>
            </w:r>
          </w:p>
        </w:tc>
        <w:tc>
          <w:tcPr>
            <w:tcW w:type="dxa" w:w="6336"/>
            <w:vAlign w:val="center"/>
          </w:tcPr>
          <w:p>
            <w:pPr>
              <w:spacing w:after="0"/>
            </w:pPr>
            <w:r/>
            <w:r>
              <w:rPr>
                <w:rFonts w:ascii="Arial" w:hAnsi="Arial"/>
                <w:b w:val="0"/>
                <w:sz w:val="15"/>
              </w:rPr>
              <w:t>INR 500,000</w:t>
            </w:r>
          </w:p>
        </w:tc>
      </w:tr>
      <w:tr>
        <w:tc>
          <w:tcPr>
            <w:tcW w:type="dxa" w:w="3456"/>
            <w:vAlign w:val="center"/>
          </w:tcPr>
          <w:p>
            <w:pPr>
              <w:spacing w:after="0"/>
            </w:pPr>
            <w:r/>
            <w:r>
              <w:rPr>
                <w:rFonts w:ascii="Arial" w:hAnsi="Arial"/>
                <w:b w:val="0"/>
                <w:sz w:val="15"/>
              </w:rPr>
              <w:t>Platform fee</w:t>
            </w:r>
          </w:p>
        </w:tc>
        <w:tc>
          <w:tcPr>
            <w:tcW w:type="dxa" w:w="6336"/>
            <w:vAlign w:val="center"/>
          </w:tcPr>
          <w:p>
            <w:pPr>
              <w:spacing w:after="0"/>
            </w:pPr>
            <w:r/>
            <w:r>
              <w:rPr>
                <w:rFonts w:ascii="Arial" w:hAnsi="Arial"/>
                <w:b w:val="0"/>
                <w:sz w:val="15"/>
              </w:rPr>
              <w:t>10% of qualified-lead media amount</w:t>
            </w:r>
          </w:p>
        </w:tc>
      </w:tr>
      <w:tr>
        <w:tc>
          <w:tcPr>
            <w:tcW w:type="dxa" w:w="3456"/>
            <w:vAlign w:val="center"/>
          </w:tcPr>
          <w:p>
            <w:pPr>
              <w:spacing w:after="0"/>
            </w:pPr>
            <w:r/>
            <w:r>
              <w:rPr>
                <w:rFonts w:ascii="Arial" w:hAnsi="Arial"/>
                <w:b w:val="0"/>
                <w:sz w:val="15"/>
              </w:rPr>
              <w:t>Qualified leads</w:t>
            </w:r>
          </w:p>
        </w:tc>
        <w:tc>
          <w:tcPr>
            <w:tcW w:type="dxa" w:w="6336"/>
            <w:vAlign w:val="center"/>
          </w:tcPr>
          <w:p>
            <w:pPr>
              <w:spacing w:after="0"/>
            </w:pPr>
            <w:r/>
            <w:r>
              <w:rPr>
                <w:rFonts w:ascii="Arial" w:hAnsi="Arial"/>
                <w:b w:val="0"/>
                <w:sz w:val="15"/>
              </w:rPr>
              <w:t>100</w:t>
            </w:r>
          </w:p>
        </w:tc>
      </w:tr>
    </w:tbl>
    <w:p/>
    <w:p>
      <w:pPr>
        <w:spacing w:before="40" w:after="80"/>
        <w:ind w:left="216" w:right="115"/>
        <w:shd w:fill="F3F4F6"/>
      </w:pPr>
      <w:r>
        <w:rPr>
          <w:rFonts w:ascii="Courier New" w:hAnsi="Courier New"/>
          <w:sz w:val="14"/>
        </w:rPr>
        <w:t>Qualified-lead media amount = 100 x INR 4,500 = INR 450,000</w:t>
        <w:br/>
        <w:t>Platform fee                = 10% x INR 450,000 = INR 45,000</w:t>
        <w:br/>
        <w:t>Buyer invoice subtotal      = INR 495,000</w:t>
        <w:br/>
        <w:t>Partner payout basis        = INR 450,000</w:t>
        <w:br/>
        <w:t>Remaining campaign headroom = INR 5,000</w:t>
        <w:br/>
        <w:br/>
        <w:t>Store money as minor units:</w:t>
        <w:br/>
        <w:t>INR 4,500 = 450000 paise</w:t>
        <w:br/>
        <w:t>INR 450,000 = 45000000 paise</w:t>
      </w:r>
    </w:p>
    <w:p>
      <w:pPr>
        <w:pStyle w:val="Heading2"/>
      </w:pPr>
      <w:r>
        <w:t>102.1 Reconciliation</w:t>
      </w:r>
    </w:p>
    <w:p>
      <w:pPr>
        <w:spacing w:before="40" w:after="80"/>
        <w:ind w:left="216" w:right="115"/>
        <w:shd w:fill="F3F4F6"/>
      </w:pPr>
      <w:r>
        <w:rPr>
          <w:rFonts w:ascii="Courier New" w:hAnsi="Courier New"/>
          <w:sz w:val="14"/>
        </w:rPr>
        <w:t>Partner accepted leads: 500</w:t>
        <w:br/>
        <w:t>Oolix CRM-linked leads: 498</w:t>
        <w:br/>
        <w:t>Difference: 2 leads = 0.4%</w:t>
        <w:br/>
        <w:br/>
        <w:t>Tolerance = max(10 events, 0.5% of accepted count)</w:t>
        <w:br/>
        <w:t>max(10, 2.5) = 10 events</w:t>
        <w:br/>
        <w:t>2 &lt;= 10 -&gt; PASS</w:t>
        <w:br/>
        <w:br/>
        <w:t>Qualified leads used for CPQL payout remain the verified CRM-linked</w:t>
        <w:br/>
        <w:t>QUALIFIED state count, subject to dispute rules.</w:t>
      </w:r>
    </w:p>
    <w:p>
      <w:pPr>
        <w:pStyle w:val="Heading2"/>
      </w:pPr>
      <w:r>
        <w:t>102.2 Dispute</w:t>
      </w:r>
    </w:p>
    <w:p>
      <w:pPr>
        <w:pStyle w:val="ListBullet"/>
        <w:spacing w:after="40"/>
      </w:pPr>
      <w:r>
        <w:t>Buyer/Partner dispute opens DISPUTED payout state with immutable evidence references.</w:t>
      </w:r>
    </w:p>
    <w:p>
      <w:pPr>
        <w:pStyle w:val="ListBullet"/>
        <w:spacing w:after="40"/>
      </w:pPr>
      <w:r>
        <w:t>Validated correction creates adjustment FinancialEvents; historical accruals are never edited in place.</w:t>
      </w:r>
    </w:p>
    <w:p>
      <w:pPr>
        <w:pStyle w:val="ListBullet"/>
        <w:spacing w:after="40"/>
      </w:pPr>
      <w:r>
        <w:t>Example: verified qualified count corrected from 100 to 98 -&gt; new payable basis = 98 x INR 4,500 = INR 441,000.</w:t>
      </w:r>
    </w:p>
    <w:p>
      <w:pPr>
        <w:pStyle w:val="Heading1"/>
      </w:pPr>
      <w:r>
        <w:t>103. MVP Performance Baseline and SLO Targets</w:t>
      </w:r>
    </w:p>
    <w:tbl>
      <w:tblPr>
        <w:tblStyle w:val="TableGrid"/>
        <w:tblW w:type="auto" w:w="0"/>
        <w:jc w:val="center"/>
        <w:tblLook w:firstColumn="1" w:firstRow="1" w:lastColumn="0" w:lastRow="0" w:noHBand="0" w:noVBand="1" w:val="04A0"/>
      </w:tblPr>
      <w:tblGrid>
        <w:gridCol w:w="5227"/>
        <w:gridCol w:w="5227"/>
      </w:tblGrid>
      <w:tr>
        <w:tc>
          <w:tcPr>
            <w:tcW w:type="dxa" w:w="3456"/>
            <w:vAlign w:val="center"/>
            <w:shd w:fill="1B4363"/>
          </w:tcPr>
          <w:p>
            <w:pPr>
              <w:spacing w:after="0"/>
            </w:pPr>
            <w:r/>
            <w:r>
              <w:rPr>
                <w:rFonts w:ascii="Arial" w:hAnsi="Arial"/>
                <w:b/>
                <w:color w:val="FFFFFF"/>
                <w:sz w:val="16"/>
              </w:rPr>
              <w:t>Surface</w:t>
            </w:r>
          </w:p>
        </w:tc>
        <w:tc>
          <w:tcPr>
            <w:tcW w:type="dxa" w:w="6336"/>
            <w:vAlign w:val="center"/>
            <w:shd w:fill="1B4363"/>
          </w:tcPr>
          <w:p>
            <w:pPr>
              <w:spacing w:after="0"/>
            </w:pPr>
            <w:r/>
            <w:r>
              <w:rPr>
                <w:rFonts w:ascii="Arial" w:hAnsi="Arial"/>
                <w:b/>
                <w:color w:val="FFFFFF"/>
                <w:sz w:val="16"/>
              </w:rPr>
              <w:t>Target / interpretation</w:t>
            </w:r>
          </w:p>
        </w:tc>
      </w:tr>
      <w:tr>
        <w:tc>
          <w:tcPr>
            <w:tcW w:type="dxa" w:w="3456"/>
            <w:vAlign w:val="center"/>
          </w:tcPr>
          <w:p>
            <w:pPr>
              <w:spacing w:after="0"/>
            </w:pPr>
            <w:r/>
            <w:r>
              <w:rPr>
                <w:rFonts w:ascii="Arial" w:hAnsi="Arial"/>
                <w:b w:val="0"/>
                <w:sz w:val="15"/>
              </w:rPr>
              <w:t>Campaign create/update</w:t>
            </w:r>
          </w:p>
        </w:tc>
        <w:tc>
          <w:tcPr>
            <w:tcW w:type="dxa" w:w="6336"/>
            <w:vAlign w:val="center"/>
          </w:tcPr>
          <w:p>
            <w:pPr>
              <w:spacing w:after="0"/>
            </w:pPr>
            <w:r/>
            <w:r>
              <w:rPr>
                <w:rFonts w:ascii="Arial" w:hAnsi="Arial"/>
                <w:b w:val="0"/>
                <w:sz w:val="15"/>
              </w:rPr>
              <w:t>p95 &lt; 500 ms excluding large file upload.</w:t>
            </w:r>
          </w:p>
        </w:tc>
      </w:tr>
      <w:tr>
        <w:tc>
          <w:tcPr>
            <w:tcW w:type="dxa" w:w="3456"/>
            <w:vAlign w:val="center"/>
          </w:tcPr>
          <w:p>
            <w:pPr>
              <w:spacing w:after="0"/>
            </w:pPr>
            <w:r/>
            <w:r>
              <w:rPr>
                <w:rFonts w:ascii="Arial" w:hAnsi="Arial"/>
                <w:b w:val="0"/>
                <w:sz w:val="15"/>
              </w:rPr>
              <w:t>Catalogue search</w:t>
            </w:r>
          </w:p>
        </w:tc>
        <w:tc>
          <w:tcPr>
            <w:tcW w:type="dxa" w:w="6336"/>
            <w:vAlign w:val="center"/>
          </w:tcPr>
          <w:p>
            <w:pPr>
              <w:spacing w:after="0"/>
            </w:pPr>
            <w:r/>
            <w:r>
              <w:rPr>
                <w:rFonts w:ascii="Arial" w:hAnsi="Arial"/>
                <w:b w:val="0"/>
                <w:sz w:val="15"/>
              </w:rPr>
              <w:t>p95 &lt; 300 ms for pilot dataset.</w:t>
            </w:r>
          </w:p>
        </w:tc>
      </w:tr>
      <w:tr>
        <w:tc>
          <w:tcPr>
            <w:tcW w:type="dxa" w:w="3456"/>
            <w:vAlign w:val="center"/>
          </w:tcPr>
          <w:p>
            <w:pPr>
              <w:spacing w:after="0"/>
            </w:pPr>
            <w:r/>
            <w:r>
              <w:rPr>
                <w:rFonts w:ascii="Arial" w:hAnsi="Arial"/>
                <w:b w:val="0"/>
                <w:sz w:val="15"/>
              </w:rPr>
              <w:t>Partner approval write</w:t>
            </w:r>
          </w:p>
        </w:tc>
        <w:tc>
          <w:tcPr>
            <w:tcW w:type="dxa" w:w="6336"/>
            <w:vAlign w:val="center"/>
          </w:tcPr>
          <w:p>
            <w:pPr>
              <w:spacing w:after="0"/>
            </w:pPr>
            <w:r/>
            <w:r>
              <w:rPr>
                <w:rFonts w:ascii="Arial" w:hAnsi="Arial"/>
                <w:b w:val="0"/>
                <w:sz w:val="15"/>
              </w:rPr>
              <w:t>p95 &lt; 300 ms.</w:t>
            </w:r>
          </w:p>
        </w:tc>
      </w:tr>
      <w:tr>
        <w:tc>
          <w:tcPr>
            <w:tcW w:type="dxa" w:w="3456"/>
            <w:vAlign w:val="center"/>
          </w:tcPr>
          <w:p>
            <w:pPr>
              <w:spacing w:after="0"/>
            </w:pPr>
            <w:r/>
            <w:r>
              <w:rPr>
                <w:rFonts w:ascii="Arial" w:hAnsi="Arial"/>
                <w:b w:val="0"/>
                <w:sz w:val="15"/>
              </w:rPr>
              <w:t>Oolix dashboard 30-day view</w:t>
            </w:r>
          </w:p>
        </w:tc>
        <w:tc>
          <w:tcPr>
            <w:tcW w:type="dxa" w:w="6336"/>
            <w:vAlign w:val="center"/>
          </w:tcPr>
          <w:p>
            <w:pPr>
              <w:spacing w:after="0"/>
            </w:pPr>
            <w:r/>
            <w:r>
              <w:rPr>
                <w:rFonts w:ascii="Arial" w:hAnsi="Arial"/>
                <w:b w:val="0"/>
                <w:sz w:val="15"/>
              </w:rPr>
              <w:t>p95 &lt; 2 s with pre-aggregated metrics.</w:t>
            </w:r>
          </w:p>
        </w:tc>
      </w:tr>
      <w:tr>
        <w:tc>
          <w:tcPr>
            <w:tcW w:type="dxa" w:w="3456"/>
            <w:vAlign w:val="center"/>
          </w:tcPr>
          <w:p>
            <w:pPr>
              <w:spacing w:after="0"/>
            </w:pPr>
            <w:r/>
            <w:r>
              <w:rPr>
                <w:rFonts w:ascii="Arial" w:hAnsi="Arial"/>
                <w:b w:val="0"/>
                <w:sz w:val="15"/>
              </w:rPr>
              <w:t>Partner Agent ad decision</w:t>
            </w:r>
          </w:p>
        </w:tc>
        <w:tc>
          <w:tcPr>
            <w:tcW w:type="dxa" w:w="6336"/>
            <w:vAlign w:val="center"/>
          </w:tcPr>
          <w:p>
            <w:pPr>
              <w:spacing w:after="0"/>
            </w:pPr>
            <w:r/>
            <w:r>
              <w:rPr>
                <w:rFonts w:ascii="Arial" w:hAnsi="Arial"/>
                <w:b w:val="0"/>
                <w:sz w:val="15"/>
              </w:rPr>
              <w:t>p95 &lt; 100 ms with cached manifest + healthy local membership source.</w:t>
            </w:r>
          </w:p>
        </w:tc>
      </w:tr>
      <w:tr>
        <w:tc>
          <w:tcPr>
            <w:tcW w:type="dxa" w:w="3456"/>
            <w:vAlign w:val="center"/>
          </w:tcPr>
          <w:p>
            <w:pPr>
              <w:spacing w:after="0"/>
            </w:pPr>
            <w:r/>
            <w:r>
              <w:rPr>
                <w:rFonts w:ascii="Arial" w:hAnsi="Arial"/>
                <w:b w:val="0"/>
                <w:sz w:val="15"/>
              </w:rPr>
              <w:t>Partner segment lookup</w:t>
            </w:r>
          </w:p>
        </w:tc>
        <w:tc>
          <w:tcPr>
            <w:tcW w:type="dxa" w:w="6336"/>
            <w:vAlign w:val="center"/>
          </w:tcPr>
          <w:p>
            <w:pPr>
              <w:spacing w:after="0"/>
            </w:pPr>
            <w:r/>
            <w:r>
              <w:rPr>
                <w:rFonts w:ascii="Arial" w:hAnsi="Arial"/>
                <w:b w:val="0"/>
                <w:sz w:val="15"/>
              </w:rPr>
              <w:t>p95 &lt; 30 ms in design Partner environment.</w:t>
            </w:r>
          </w:p>
        </w:tc>
      </w:tr>
      <w:tr>
        <w:tc>
          <w:tcPr>
            <w:tcW w:type="dxa" w:w="3456"/>
            <w:vAlign w:val="center"/>
          </w:tcPr>
          <w:p>
            <w:pPr>
              <w:spacing w:after="0"/>
            </w:pPr>
            <w:r/>
            <w:r>
              <w:rPr>
                <w:rFonts w:ascii="Arial" w:hAnsi="Arial"/>
                <w:b w:val="0"/>
                <w:sz w:val="15"/>
              </w:rPr>
              <w:t>SDK hard decision timeout</w:t>
            </w:r>
          </w:p>
        </w:tc>
        <w:tc>
          <w:tcPr>
            <w:tcW w:type="dxa" w:w="6336"/>
            <w:vAlign w:val="center"/>
          </w:tcPr>
          <w:p>
            <w:pPr>
              <w:spacing w:after="0"/>
            </w:pPr>
            <w:r/>
            <w:r>
              <w:rPr>
                <w:rFonts w:ascii="Arial" w:hAnsi="Arial"/>
                <w:b w:val="0"/>
                <w:sz w:val="15"/>
              </w:rPr>
              <w:t>150 ms before fallback/NO_AD behavior.</w:t>
            </w:r>
          </w:p>
        </w:tc>
      </w:tr>
      <w:tr>
        <w:tc>
          <w:tcPr>
            <w:tcW w:type="dxa" w:w="3456"/>
            <w:vAlign w:val="center"/>
          </w:tcPr>
          <w:p>
            <w:pPr>
              <w:spacing w:after="0"/>
            </w:pPr>
            <w:r/>
            <w:r>
              <w:rPr>
                <w:rFonts w:ascii="Arial" w:hAnsi="Arial"/>
                <w:b w:val="0"/>
                <w:sz w:val="15"/>
              </w:rPr>
              <w:t>Agent concurrency baseline</w:t>
            </w:r>
          </w:p>
        </w:tc>
        <w:tc>
          <w:tcPr>
            <w:tcW w:type="dxa" w:w="6336"/>
            <w:vAlign w:val="center"/>
          </w:tcPr>
          <w:p>
            <w:pPr>
              <w:spacing w:after="0"/>
            </w:pPr>
            <w:r/>
            <w:r>
              <w:rPr>
                <w:rFonts w:ascii="Arial" w:hAnsi="Arial"/>
                <w:b w:val="0"/>
                <w:sz w:val="15"/>
              </w:rPr>
              <w:t>100 concurrent decision requests in load test; tune after design Partner measurements.</w:t>
            </w:r>
          </w:p>
        </w:tc>
      </w:tr>
      <w:tr>
        <w:tc>
          <w:tcPr>
            <w:tcW w:type="dxa" w:w="3456"/>
            <w:vAlign w:val="center"/>
          </w:tcPr>
          <w:p>
            <w:pPr>
              <w:spacing w:after="0"/>
            </w:pPr>
            <w:r/>
            <w:r>
              <w:rPr>
                <w:rFonts w:ascii="Arial" w:hAnsi="Arial"/>
                <w:b w:val="0"/>
                <w:sz w:val="15"/>
              </w:rPr>
              <w:t>Reporting batch</w:t>
            </w:r>
          </w:p>
        </w:tc>
        <w:tc>
          <w:tcPr>
            <w:tcW w:type="dxa" w:w="6336"/>
            <w:vAlign w:val="center"/>
          </w:tcPr>
          <w:p>
            <w:pPr>
              <w:spacing w:after="0"/>
            </w:pPr>
            <w:r/>
            <w:r>
              <w:rPr>
                <w:rFonts w:ascii="Arial" w:hAnsi="Arial"/>
                <w:b w:val="0"/>
                <w:sz w:val="15"/>
              </w:rPr>
              <w:t>Accept/queue a 10,000-counter batch in &lt;5 s under pilot load.</w:t>
            </w:r>
          </w:p>
        </w:tc>
      </w:tr>
      <w:tr>
        <w:tc>
          <w:tcPr>
            <w:tcW w:type="dxa" w:w="3456"/>
            <w:vAlign w:val="center"/>
          </w:tcPr>
          <w:p>
            <w:pPr>
              <w:spacing w:after="0"/>
            </w:pPr>
            <w:r/>
            <w:r>
              <w:rPr>
                <w:rFonts w:ascii="Arial" w:hAnsi="Arial"/>
                <w:b w:val="0"/>
                <w:sz w:val="15"/>
              </w:rPr>
              <w:t>External audience sync</w:t>
            </w:r>
          </w:p>
        </w:tc>
        <w:tc>
          <w:tcPr>
            <w:tcW w:type="dxa" w:w="6336"/>
            <w:vAlign w:val="center"/>
          </w:tcPr>
          <w:p>
            <w:pPr>
              <w:spacing w:after="0"/>
            </w:pPr>
            <w:r/>
            <w:r>
              <w:rPr>
                <w:rFonts w:ascii="Arial" w:hAnsi="Arial"/>
                <w:b w:val="0"/>
                <w:sz w:val="15"/>
              </w:rPr>
              <w:t>Oolix should submit jobs promptly, but Meta/Google processing is asynchronous and provider-controlled; do not promise a fixed completion time.</w:t>
            </w:r>
          </w:p>
        </w:tc>
      </w:tr>
      <w:tr>
        <w:tc>
          <w:tcPr>
            <w:tcW w:type="dxa" w:w="3456"/>
            <w:vAlign w:val="center"/>
          </w:tcPr>
          <w:p>
            <w:pPr>
              <w:spacing w:after="0"/>
            </w:pPr>
            <w:r/>
            <w:r>
              <w:rPr>
                <w:rFonts w:ascii="Arial" w:hAnsi="Arial"/>
                <w:b w:val="0"/>
                <w:sz w:val="15"/>
              </w:rPr>
              <w:t>External stuck-job alert</w:t>
            </w:r>
          </w:p>
        </w:tc>
        <w:tc>
          <w:tcPr>
            <w:tcW w:type="dxa" w:w="6336"/>
            <w:vAlign w:val="center"/>
          </w:tcPr>
          <w:p>
            <w:pPr>
              <w:spacing w:after="0"/>
            </w:pPr>
            <w:r/>
            <w:r>
              <w:rPr>
                <w:rFonts w:ascii="Arial" w:hAnsi="Arial"/>
                <w:b w:val="0"/>
                <w:sz w:val="15"/>
              </w:rPr>
              <w:t>Alert if provider resource remains non-terminal &gt;30 minutes unless provider documentation specifies a different expected window.</w:t>
            </w:r>
          </w:p>
        </w:tc>
      </w:tr>
    </w:tbl>
    <w:p/>
    <w:p>
      <w:pPr>
        <w:pStyle w:val="ListBullet"/>
        <w:spacing w:after="40"/>
      </w:pPr>
      <w:r>
        <w:t>All targets must be validated with k6/Agent benchmark in staging and first Partner environment.</w:t>
      </w:r>
    </w:p>
    <w:p>
      <w:pPr>
        <w:pStyle w:val="ListBullet"/>
        <w:spacing w:after="40"/>
      </w:pPr>
      <w:r>
        <w:t>Cold-start timing is not a normal serving mode because API, worker and Agent are long-running processes. First-request cache warming is measured separately.</w:t>
      </w:r>
    </w:p>
    <w:p>
      <w:pPr>
        <w:pStyle w:val="ListBullet"/>
        <w:spacing w:after="40"/>
      </w:pPr>
      <w:r>
        <w:t>If local segment lookup is slow/unavailable, Agent fails closed to NO_AD rather than exceeding Partner UX latency budget.</w:t>
      </w:r>
    </w:p>
    <w:p>
      <w:pPr>
        <w:pStyle w:val="Heading1"/>
      </w:pPr>
      <w:r>
        <w:t>104. Known MVP Limitations and Future Work</w:t>
      </w:r>
    </w:p>
    <w:tbl>
      <w:tblPr>
        <w:tblStyle w:val="TableGrid"/>
        <w:tblW w:type="auto" w:w="0"/>
        <w:jc w:val="center"/>
        <w:tblLook w:firstColumn="1" w:firstRow="1" w:lastColumn="0" w:lastRow="0" w:noHBand="0" w:noVBand="1" w:val="04A0"/>
      </w:tblPr>
      <w:tblGrid>
        <w:gridCol w:w="5227"/>
        <w:gridCol w:w="5227"/>
      </w:tblGrid>
      <w:tr>
        <w:tc>
          <w:tcPr>
            <w:tcW w:type="dxa" w:w="4320"/>
            <w:vAlign w:val="center"/>
            <w:shd w:fill="1B4363"/>
          </w:tcPr>
          <w:p>
            <w:pPr>
              <w:spacing w:after="0"/>
            </w:pPr>
            <w:r/>
            <w:r>
              <w:rPr>
                <w:rFonts w:ascii="Arial" w:hAnsi="Arial"/>
                <w:b/>
                <w:color w:val="FFFFFF"/>
                <w:sz w:val="16"/>
              </w:rPr>
              <w:t>MVP limitation</w:t>
            </w:r>
          </w:p>
        </w:tc>
        <w:tc>
          <w:tcPr>
            <w:tcW w:type="dxa" w:w="5472"/>
            <w:vAlign w:val="center"/>
            <w:shd w:fill="1B4363"/>
          </w:tcPr>
          <w:p>
            <w:pPr>
              <w:spacing w:after="0"/>
            </w:pPr>
            <w:r/>
            <w:r>
              <w:rPr>
                <w:rFonts w:ascii="Arial" w:hAnsi="Arial"/>
                <w:b/>
                <w:color w:val="FFFFFF"/>
                <w:sz w:val="16"/>
              </w:rPr>
              <w:t>Later direction</w:t>
            </w:r>
          </w:p>
        </w:tc>
      </w:tr>
      <w:tr>
        <w:tc>
          <w:tcPr>
            <w:tcW w:type="dxa" w:w="4320"/>
            <w:vAlign w:val="center"/>
          </w:tcPr>
          <w:p>
            <w:pPr>
              <w:spacing w:after="0"/>
            </w:pPr>
            <w:r/>
            <w:r>
              <w:rPr>
                <w:rFonts w:ascii="Arial" w:hAnsi="Arial"/>
                <w:b w:val="0"/>
                <w:sz w:val="15"/>
              </w:rPr>
              <w:t>No cross-Partner identity/frequency/deduplication</w:t>
            </w:r>
          </w:p>
        </w:tc>
        <w:tc>
          <w:tcPr>
            <w:tcW w:type="dxa" w:w="5472"/>
            <w:vAlign w:val="center"/>
          </w:tcPr>
          <w:p>
            <w:pPr>
              <w:spacing w:after="0"/>
            </w:pPr>
            <w:r/>
            <w:r>
              <w:rPr>
                <w:rFonts w:ascii="Arial" w:hAnsi="Arial"/>
                <w:b w:val="0"/>
                <w:sz w:val="15"/>
              </w:rPr>
              <w:t>TEE/clean room/PSI only after validated demand.</w:t>
            </w:r>
          </w:p>
        </w:tc>
      </w:tr>
      <w:tr>
        <w:tc>
          <w:tcPr>
            <w:tcW w:type="dxa" w:w="4320"/>
            <w:vAlign w:val="center"/>
          </w:tcPr>
          <w:p>
            <w:pPr>
              <w:spacing w:after="0"/>
            </w:pPr>
            <w:r/>
            <w:r>
              <w:rPr>
                <w:rFonts w:ascii="Arial" w:hAnsi="Arial"/>
                <w:b w:val="0"/>
                <w:sz w:val="15"/>
              </w:rPr>
              <w:t>No real-time auction</w:t>
            </w:r>
          </w:p>
        </w:tc>
        <w:tc>
          <w:tcPr>
            <w:tcW w:type="dxa" w:w="5472"/>
            <w:vAlign w:val="center"/>
          </w:tcPr>
          <w:p>
            <w:pPr>
              <w:spacing w:after="0"/>
            </w:pPr>
            <w:r/>
            <w:r>
              <w:rPr>
                <w:rFonts w:ascii="Arial" w:hAnsi="Arial"/>
                <w:b w:val="0"/>
                <w:sz w:val="15"/>
              </w:rPr>
              <w:t>Add bidding/auction only if supply/demand model requires it.</w:t>
            </w:r>
          </w:p>
        </w:tc>
      </w:tr>
      <w:tr>
        <w:tc>
          <w:tcPr>
            <w:tcW w:type="dxa" w:w="4320"/>
            <w:vAlign w:val="center"/>
          </w:tcPr>
          <w:p>
            <w:pPr>
              <w:spacing w:after="0"/>
            </w:pPr>
            <w:r/>
            <w:r>
              <w:rPr>
                <w:rFonts w:ascii="Arial" w:hAnsi="Arial"/>
                <w:b w:val="0"/>
                <w:sz w:val="15"/>
              </w:rPr>
              <w:t>No arbitrary Buyer query over Partner raw DB</w:t>
            </w:r>
          </w:p>
        </w:tc>
        <w:tc>
          <w:tcPr>
            <w:tcW w:type="dxa" w:w="5472"/>
            <w:vAlign w:val="center"/>
          </w:tcPr>
          <w:p>
            <w:pPr>
              <w:spacing w:after="0"/>
            </w:pPr>
            <w:r/>
            <w:r>
              <w:rPr>
                <w:rFonts w:ascii="Arial" w:hAnsi="Arial"/>
                <w:b w:val="0"/>
                <w:sz w:val="15"/>
              </w:rPr>
              <w:t>Structured Partner-approved audience request mapping.</w:t>
            </w:r>
          </w:p>
        </w:tc>
      </w:tr>
      <w:tr>
        <w:tc>
          <w:tcPr>
            <w:tcW w:type="dxa" w:w="4320"/>
            <w:vAlign w:val="center"/>
          </w:tcPr>
          <w:p>
            <w:pPr>
              <w:spacing w:after="0"/>
            </w:pPr>
            <w:r/>
            <w:r>
              <w:rPr>
                <w:rFonts w:ascii="Arial" w:hAnsi="Arial"/>
                <w:b w:val="0"/>
                <w:sz w:val="15"/>
              </w:rPr>
              <w:t>No user-level anonymous cross-site targeting</w:t>
            </w:r>
          </w:p>
        </w:tc>
        <w:tc>
          <w:tcPr>
            <w:tcW w:type="dxa" w:w="5472"/>
            <w:vAlign w:val="center"/>
          </w:tcPr>
          <w:p>
            <w:pPr>
              <w:spacing w:after="0"/>
            </w:pPr>
            <w:r/>
            <w:r>
              <w:rPr>
                <w:rFonts w:ascii="Arial" w:hAnsi="Arial"/>
                <w:b w:val="0"/>
                <w:sz w:val="15"/>
              </w:rPr>
              <w:t>Contextual or Partner first-party session only; no third-party identity graph.</w:t>
            </w:r>
          </w:p>
        </w:tc>
      </w:tr>
      <w:tr>
        <w:tc>
          <w:tcPr>
            <w:tcW w:type="dxa" w:w="4320"/>
            <w:vAlign w:val="center"/>
          </w:tcPr>
          <w:p>
            <w:pPr>
              <w:spacing w:after="0"/>
            </w:pPr>
            <w:r/>
            <w:r>
              <w:rPr>
                <w:rFonts w:ascii="Arial" w:hAnsi="Arial"/>
                <w:b w:val="0"/>
                <w:sz w:val="15"/>
              </w:rPr>
              <w:t>No automatic cross-Partner budget shifting</w:t>
            </w:r>
          </w:p>
        </w:tc>
        <w:tc>
          <w:tcPr>
            <w:tcW w:type="dxa" w:w="5472"/>
            <w:vAlign w:val="center"/>
          </w:tcPr>
          <w:p>
            <w:pPr>
              <w:spacing w:after="0"/>
            </w:pPr>
            <w:r/>
            <w:r>
              <w:rPr>
                <w:rFonts w:ascii="Arial" w:hAnsi="Arial"/>
                <w:b w:val="0"/>
                <w:sz w:val="15"/>
              </w:rPr>
              <w:t>Optimization later with Partner-approved budget ceilings.</w:t>
            </w:r>
          </w:p>
        </w:tc>
      </w:tr>
      <w:tr>
        <w:tc>
          <w:tcPr>
            <w:tcW w:type="dxa" w:w="4320"/>
            <w:vAlign w:val="center"/>
          </w:tcPr>
          <w:p>
            <w:pPr>
              <w:spacing w:after="0"/>
            </w:pPr>
            <w:r/>
            <w:r>
              <w:rPr>
                <w:rFonts w:ascii="Arial" w:hAnsi="Arial"/>
                <w:b w:val="0"/>
                <w:sz w:val="15"/>
              </w:rPr>
              <w:t>IMAGE/NATIVE creative focus</w:t>
            </w:r>
          </w:p>
        </w:tc>
        <w:tc>
          <w:tcPr>
            <w:tcW w:type="dxa" w:w="5472"/>
            <w:vAlign w:val="center"/>
          </w:tcPr>
          <w:p>
            <w:pPr>
              <w:spacing w:after="0"/>
            </w:pPr>
            <w:r/>
            <w:r>
              <w:rPr>
                <w:rFonts w:ascii="Arial" w:hAnsi="Arial"/>
                <w:b w:val="0"/>
                <w:sz w:val="15"/>
              </w:rPr>
              <w:t>Video/HTML5 only after placement and security requirements are defined.</w:t>
            </w:r>
          </w:p>
        </w:tc>
      </w:tr>
      <w:tr>
        <w:tc>
          <w:tcPr>
            <w:tcW w:type="dxa" w:w="4320"/>
            <w:vAlign w:val="center"/>
          </w:tcPr>
          <w:p>
            <w:pPr>
              <w:spacing w:after="0"/>
            </w:pPr>
            <w:r/>
            <w:r>
              <w:rPr>
                <w:rFonts w:ascii="Arial" w:hAnsi="Arial"/>
                <w:b w:val="0"/>
                <w:sz w:val="15"/>
              </w:rPr>
              <w:t>Only first pilot mobile stack</w:t>
            </w:r>
          </w:p>
        </w:tc>
        <w:tc>
          <w:tcPr>
            <w:tcW w:type="dxa" w:w="5472"/>
            <w:vAlign w:val="center"/>
          </w:tcPr>
          <w:p>
            <w:pPr>
              <w:spacing w:after="0"/>
            </w:pPr>
            <w:r/>
            <w:r>
              <w:rPr>
                <w:rFonts w:ascii="Arial" w:hAnsi="Arial"/>
                <w:b w:val="0"/>
                <w:sz w:val="15"/>
              </w:rPr>
              <w:t>Add other native/RN/Flutter SDKs when demanded.</w:t>
            </w:r>
          </w:p>
        </w:tc>
      </w:tr>
      <w:tr>
        <w:tc>
          <w:tcPr>
            <w:tcW w:type="dxa" w:w="4320"/>
            <w:vAlign w:val="center"/>
          </w:tcPr>
          <w:p>
            <w:pPr>
              <w:spacing w:after="0"/>
            </w:pPr>
            <w:r/>
            <w:r>
              <w:rPr>
                <w:rFonts w:ascii="Arial" w:hAnsi="Arial"/>
                <w:b w:val="0"/>
                <w:sz w:val="15"/>
              </w:rPr>
              <w:t>Manual business verification</w:t>
            </w:r>
          </w:p>
        </w:tc>
        <w:tc>
          <w:tcPr>
            <w:tcW w:type="dxa" w:w="5472"/>
            <w:vAlign w:val="center"/>
          </w:tcPr>
          <w:p>
            <w:pPr>
              <w:spacing w:after="0"/>
            </w:pPr>
            <w:r/>
            <w:r>
              <w:rPr>
                <w:rFonts w:ascii="Arial" w:hAnsi="Arial"/>
                <w:b w:val="0"/>
                <w:sz w:val="15"/>
              </w:rPr>
              <w:t>KYB/self-service provider later if needed.</w:t>
            </w:r>
          </w:p>
        </w:tc>
      </w:tr>
      <w:tr>
        <w:tc>
          <w:tcPr>
            <w:tcW w:type="dxa" w:w="4320"/>
            <w:vAlign w:val="center"/>
          </w:tcPr>
          <w:p>
            <w:pPr>
              <w:spacing w:after="0"/>
            </w:pPr>
            <w:r/>
            <w:r>
              <w:rPr>
                <w:rFonts w:ascii="Arial" w:hAnsi="Arial"/>
                <w:b w:val="0"/>
                <w:sz w:val="15"/>
              </w:rPr>
              <w:t>Basic reconciliation/dispute</w:t>
            </w:r>
          </w:p>
        </w:tc>
        <w:tc>
          <w:tcPr>
            <w:tcW w:type="dxa" w:w="5472"/>
            <w:vAlign w:val="center"/>
          </w:tcPr>
          <w:p>
            <w:pPr>
              <w:spacing w:after="0"/>
            </w:pPr>
            <w:r/>
            <w:r>
              <w:rPr>
                <w:rFonts w:ascii="Arial" w:hAnsi="Arial"/>
                <w:b w:val="0"/>
                <w:sz w:val="15"/>
              </w:rPr>
              <w:t>Advanced evidence scoring and automated adjustment later.</w:t>
            </w:r>
          </w:p>
        </w:tc>
      </w:tr>
      <w:tr>
        <w:tc>
          <w:tcPr>
            <w:tcW w:type="dxa" w:w="4320"/>
            <w:vAlign w:val="center"/>
          </w:tcPr>
          <w:p>
            <w:pPr>
              <w:spacing w:after="0"/>
            </w:pPr>
            <w:r/>
            <w:r>
              <w:rPr>
                <w:rFonts w:ascii="Arial" w:hAnsi="Arial"/>
                <w:b w:val="0"/>
                <w:sz w:val="15"/>
              </w:rPr>
              <w:t>Meta/Google conditional</w:t>
            </w:r>
          </w:p>
        </w:tc>
        <w:tc>
          <w:tcPr>
            <w:tcW w:type="dxa" w:w="5472"/>
            <w:vAlign w:val="center"/>
          </w:tcPr>
          <w:p>
            <w:pPr>
              <w:spacing w:after="0"/>
            </w:pPr>
            <w:r/>
            <w:r>
              <w:rPr>
                <w:rFonts w:ascii="Arial" w:hAnsi="Arial"/>
                <w:b w:val="0"/>
                <w:sz w:val="15"/>
              </w:rPr>
              <w:t>Expand only after proven account/business eligibility.</w:t>
            </w:r>
          </w:p>
        </w:tc>
      </w:tr>
      <w:tr>
        <w:tc>
          <w:tcPr>
            <w:tcW w:type="dxa" w:w="4320"/>
            <w:vAlign w:val="center"/>
          </w:tcPr>
          <w:p>
            <w:pPr>
              <w:spacing w:after="0"/>
            </w:pPr>
            <w:r/>
            <w:r>
              <w:rPr>
                <w:rFonts w:ascii="Arial" w:hAnsi="Arial"/>
                <w:b w:val="0"/>
                <w:sz w:val="15"/>
              </w:rPr>
              <w:t>No lookalike/audience expansion by default</w:t>
            </w:r>
          </w:p>
        </w:tc>
        <w:tc>
          <w:tcPr>
            <w:tcW w:type="dxa" w:w="5472"/>
            <w:vAlign w:val="center"/>
          </w:tcPr>
          <w:p>
            <w:pPr>
              <w:spacing w:after="0"/>
            </w:pPr>
            <w:r/>
            <w:r>
              <w:rPr>
                <w:rFonts w:ascii="Arial" w:hAnsi="Arial"/>
                <w:b w:val="0"/>
                <w:sz w:val="15"/>
              </w:rPr>
              <w:t>Future opt-in only where Partner approval and provider controls permit.</w:t>
            </w:r>
          </w:p>
        </w:tc>
      </w:tr>
    </w:tbl>
    <w:p/>
    <w:p>
      <w:pPr>
        <w:pStyle w:val="Heading1"/>
      </w:pPr>
      <w:r>
        <w:t>105. v5 Review Closure Checklist</w:t>
      </w:r>
    </w:p>
    <w:tbl>
      <w:tblPr>
        <w:tblStyle w:val="TableGrid"/>
        <w:tblW w:type="auto" w:w="0"/>
        <w:jc w:val="center"/>
        <w:tblLook w:firstColumn="1" w:firstRow="1" w:lastColumn="0" w:lastRow="0" w:noHBand="0" w:noVBand="1" w:val="04A0"/>
      </w:tblPr>
      <w:tblGrid>
        <w:gridCol w:w="5227"/>
        <w:gridCol w:w="5227"/>
      </w:tblGrid>
      <w:tr>
        <w:tc>
          <w:tcPr>
            <w:tcW w:type="dxa" w:w="4608"/>
            <w:vAlign w:val="center"/>
            <w:shd w:fill="1B4363"/>
          </w:tcPr>
          <w:p>
            <w:pPr>
              <w:spacing w:after="0"/>
            </w:pPr>
            <w:r/>
            <w:r>
              <w:rPr>
                <w:rFonts w:ascii="Arial" w:hAnsi="Arial"/>
                <w:b/>
                <w:color w:val="FFFFFF"/>
                <w:sz w:val="16"/>
              </w:rPr>
              <w:t>Review issue</w:t>
            </w:r>
          </w:p>
        </w:tc>
        <w:tc>
          <w:tcPr>
            <w:tcW w:type="dxa" w:w="5184"/>
            <w:vAlign w:val="center"/>
            <w:shd w:fill="1B4363"/>
          </w:tcPr>
          <w:p>
            <w:pPr>
              <w:spacing w:after="0"/>
            </w:pPr>
            <w:r/>
            <w:r>
              <w:rPr>
                <w:rFonts w:ascii="Arial" w:hAnsi="Arial"/>
                <w:b/>
                <w:color w:val="FFFFFF"/>
                <w:sz w:val="16"/>
              </w:rPr>
              <w:t>v5 status</w:t>
            </w:r>
          </w:p>
        </w:tc>
      </w:tr>
      <w:tr>
        <w:tc>
          <w:tcPr>
            <w:tcW w:type="dxa" w:w="4608"/>
            <w:vAlign w:val="center"/>
          </w:tcPr>
          <w:p>
            <w:pPr>
              <w:spacing w:after="0"/>
            </w:pPr>
            <w:r/>
            <w:r>
              <w:rPr>
                <w:rFonts w:ascii="Arial" w:hAnsi="Arial"/>
                <w:b w:val="0"/>
                <w:sz w:val="15"/>
              </w:rPr>
              <w:t>Opaque-token contradiction</w:t>
            </w:r>
          </w:p>
        </w:tc>
        <w:tc>
          <w:tcPr>
            <w:tcW w:type="dxa" w:w="5184"/>
            <w:vAlign w:val="center"/>
          </w:tcPr>
          <w:p>
            <w:pPr>
              <w:spacing w:after="0"/>
            </w:pPr>
            <w:r/>
            <w:r>
              <w:rPr>
                <w:rFonts w:ascii="Arial" w:hAnsi="Arial"/>
                <w:b w:val="0"/>
                <w:sz w:val="15"/>
              </w:rPr>
              <w:t>Fixed in existing text and §90.</w:t>
            </w:r>
          </w:p>
        </w:tc>
      </w:tr>
      <w:tr>
        <w:tc>
          <w:tcPr>
            <w:tcW w:type="dxa" w:w="4608"/>
            <w:vAlign w:val="center"/>
          </w:tcPr>
          <w:p>
            <w:pPr>
              <w:spacing w:after="0"/>
            </w:pPr>
            <w:r/>
            <w:r>
              <w:rPr>
                <w:rFonts w:ascii="Arial" w:hAnsi="Arial"/>
                <w:b w:val="0"/>
                <w:sz w:val="15"/>
              </w:rPr>
              <w:t>Channel constants</w:t>
            </w:r>
          </w:p>
        </w:tc>
        <w:tc>
          <w:tcPr>
            <w:tcW w:type="dxa" w:w="5184"/>
            <w:vAlign w:val="center"/>
          </w:tcPr>
          <w:p>
            <w:pPr>
              <w:spacing w:after="0"/>
            </w:pPr>
            <w:r/>
            <w:r>
              <w:rPr>
                <w:rFonts w:ascii="Arial" w:hAnsi="Arial"/>
                <w:b w:val="0"/>
                <w:sz w:val="15"/>
              </w:rPr>
              <w:t>Canonical enum §89; lower-case aliases removed from canonical examples.</w:t>
            </w:r>
          </w:p>
        </w:tc>
      </w:tr>
      <w:tr>
        <w:tc>
          <w:tcPr>
            <w:tcW w:type="dxa" w:w="4608"/>
            <w:vAlign w:val="center"/>
          </w:tcPr>
          <w:p>
            <w:pPr>
              <w:spacing w:after="0"/>
            </w:pPr>
            <w:r/>
            <w:r>
              <w:rPr>
                <w:rFonts w:ascii="Arial" w:hAnsi="Arial"/>
                <w:b w:val="0"/>
                <w:sz w:val="15"/>
              </w:rPr>
              <w:t>Mock Partner undefined</w:t>
            </w:r>
          </w:p>
        </w:tc>
        <w:tc>
          <w:tcPr>
            <w:tcW w:type="dxa" w:w="5184"/>
            <w:vAlign w:val="center"/>
          </w:tcPr>
          <w:p>
            <w:pPr>
              <w:spacing w:after="0"/>
            </w:pPr>
            <w:r/>
            <w:r>
              <w:rPr>
                <w:rFonts w:ascii="Arial" w:hAnsi="Arial"/>
                <w:b w:val="0"/>
                <w:sz w:val="15"/>
              </w:rPr>
              <w:t>§91 + runnable starter files.</w:t>
            </w:r>
          </w:p>
        </w:tc>
      </w:tr>
      <w:tr>
        <w:tc>
          <w:tcPr>
            <w:tcW w:type="dxa" w:w="4608"/>
            <w:vAlign w:val="center"/>
          </w:tcPr>
          <w:p>
            <w:pPr>
              <w:spacing w:after="0"/>
            </w:pPr>
            <w:r/>
            <w:r>
              <w:rPr>
                <w:rFonts w:ascii="Arial" w:hAnsi="Arial"/>
                <w:b w:val="0"/>
                <w:sz w:val="15"/>
              </w:rPr>
              <w:t>Inline migration examples</w:t>
            </w:r>
          </w:p>
        </w:tc>
        <w:tc>
          <w:tcPr>
            <w:tcW w:type="dxa" w:w="5184"/>
            <w:vAlign w:val="center"/>
          </w:tcPr>
          <w:p>
            <w:pPr>
              <w:spacing w:after="0"/>
            </w:pPr>
            <w:r/>
            <w:r>
              <w:rPr>
                <w:rFonts w:ascii="Arial" w:hAnsi="Arial"/>
                <w:b w:val="0"/>
                <w:sz w:val="15"/>
              </w:rPr>
              <w:t>§96 + expanded 001_init.sql.</w:t>
            </w:r>
          </w:p>
        </w:tc>
      </w:tr>
      <w:tr>
        <w:tc>
          <w:tcPr>
            <w:tcW w:type="dxa" w:w="4608"/>
            <w:vAlign w:val="center"/>
          </w:tcPr>
          <w:p>
            <w:pPr>
              <w:spacing w:after="0"/>
            </w:pPr>
            <w:r/>
            <w:r>
              <w:rPr>
                <w:rFonts w:ascii="Arial" w:hAnsi="Arial"/>
                <w:b w:val="0"/>
                <w:sz w:val="15"/>
              </w:rPr>
              <w:t>Oolix-side Agent auth</w:t>
            </w:r>
          </w:p>
        </w:tc>
        <w:tc>
          <w:tcPr>
            <w:tcW w:type="dxa" w:w="5184"/>
            <w:vAlign w:val="center"/>
          </w:tcPr>
          <w:p>
            <w:pPr>
              <w:spacing w:after="0"/>
            </w:pPr>
            <w:r/>
            <w:r>
              <w:rPr>
                <w:rFonts w:ascii="Arial" w:hAnsi="Arial"/>
                <w:b w:val="0"/>
                <w:sz w:val="15"/>
              </w:rPr>
              <w:t>§92.4.</w:t>
            </w:r>
          </w:p>
        </w:tc>
      </w:tr>
      <w:tr>
        <w:tc>
          <w:tcPr>
            <w:tcW w:type="dxa" w:w="4608"/>
            <w:vAlign w:val="center"/>
          </w:tcPr>
          <w:p>
            <w:pPr>
              <w:spacing w:after="0"/>
            </w:pPr>
            <w:r/>
            <w:r>
              <w:rPr>
                <w:rFonts w:ascii="Arial" w:hAnsi="Arial"/>
                <w:b w:val="0"/>
                <w:sz w:val="15"/>
              </w:rPr>
              <w:t>Bootstrap token flow</w:t>
            </w:r>
          </w:p>
        </w:tc>
        <w:tc>
          <w:tcPr>
            <w:tcW w:type="dxa" w:w="5184"/>
            <w:vAlign w:val="center"/>
          </w:tcPr>
          <w:p>
            <w:pPr>
              <w:spacing w:after="0"/>
            </w:pPr>
            <w:r/>
            <w:r>
              <w:rPr>
                <w:rFonts w:ascii="Arial" w:hAnsi="Arial"/>
                <w:b w:val="0"/>
                <w:sz w:val="15"/>
              </w:rPr>
              <w:t>§92.1-92.3.</w:t>
            </w:r>
          </w:p>
        </w:tc>
      </w:tr>
      <w:tr>
        <w:tc>
          <w:tcPr>
            <w:tcW w:type="dxa" w:w="4608"/>
            <w:vAlign w:val="center"/>
          </w:tcPr>
          <w:p>
            <w:pPr>
              <w:spacing w:after="0"/>
            </w:pPr>
            <w:r/>
            <w:r>
              <w:rPr>
                <w:rFonts w:ascii="Arial" w:hAnsi="Arial"/>
                <w:b w:val="0"/>
                <w:sz w:val="15"/>
              </w:rPr>
              <w:t>Creative upload API</w:t>
            </w:r>
          </w:p>
        </w:tc>
        <w:tc>
          <w:tcPr>
            <w:tcW w:type="dxa" w:w="5184"/>
            <w:vAlign w:val="center"/>
          </w:tcPr>
          <w:p>
            <w:pPr>
              <w:spacing w:after="0"/>
            </w:pPr>
            <w:r/>
            <w:r>
              <w:rPr>
                <w:rFonts w:ascii="Arial" w:hAnsi="Arial"/>
                <w:b w:val="0"/>
                <w:sz w:val="15"/>
              </w:rPr>
              <w:t>§93.</w:t>
            </w:r>
          </w:p>
        </w:tc>
      </w:tr>
      <w:tr>
        <w:tc>
          <w:tcPr>
            <w:tcW w:type="dxa" w:w="4608"/>
            <w:vAlign w:val="center"/>
          </w:tcPr>
          <w:p>
            <w:pPr>
              <w:spacing w:after="0"/>
            </w:pPr>
            <w:r/>
            <w:r>
              <w:rPr>
                <w:rFonts w:ascii="Arial" w:hAnsi="Arial"/>
                <w:b w:val="0"/>
                <w:sz w:val="15"/>
              </w:rPr>
              <w:t>Rate-limit mechanics/headers</w:t>
            </w:r>
          </w:p>
        </w:tc>
        <w:tc>
          <w:tcPr>
            <w:tcW w:type="dxa" w:w="5184"/>
            <w:vAlign w:val="center"/>
          </w:tcPr>
          <w:p>
            <w:pPr>
              <w:spacing w:after="0"/>
            </w:pPr>
            <w:r/>
            <w:r>
              <w:rPr>
                <w:rFonts w:ascii="Arial" w:hAnsi="Arial"/>
                <w:b w:val="0"/>
                <w:sz w:val="15"/>
              </w:rPr>
              <w:t>§94.</w:t>
            </w:r>
          </w:p>
        </w:tc>
      </w:tr>
      <w:tr>
        <w:tc>
          <w:tcPr>
            <w:tcW w:type="dxa" w:w="4608"/>
            <w:vAlign w:val="center"/>
          </w:tcPr>
          <w:p>
            <w:pPr>
              <w:spacing w:after="0"/>
            </w:pPr>
            <w:r/>
            <w:r>
              <w:rPr>
                <w:rFonts w:ascii="Arial" w:hAnsi="Arial"/>
                <w:b w:val="0"/>
                <w:sz w:val="15"/>
              </w:rPr>
              <w:t>Seed strategy</w:t>
            </w:r>
          </w:p>
        </w:tc>
        <w:tc>
          <w:tcPr>
            <w:tcW w:type="dxa" w:w="5184"/>
            <w:vAlign w:val="center"/>
          </w:tcPr>
          <w:p>
            <w:pPr>
              <w:spacing w:after="0"/>
            </w:pPr>
            <w:r/>
            <w:r>
              <w:rPr>
                <w:rFonts w:ascii="Arial" w:hAnsi="Arial"/>
                <w:b w:val="0"/>
                <w:sz w:val="15"/>
              </w:rPr>
              <w:t>§95.</w:t>
            </w:r>
          </w:p>
        </w:tc>
      </w:tr>
      <w:tr>
        <w:tc>
          <w:tcPr>
            <w:tcW w:type="dxa" w:w="4608"/>
            <w:vAlign w:val="center"/>
          </w:tcPr>
          <w:p>
            <w:pPr>
              <w:spacing w:after="0"/>
            </w:pPr>
            <w:r/>
            <w:r>
              <w:rPr>
                <w:rFonts w:ascii="Arial" w:hAnsi="Arial"/>
                <w:b w:val="0"/>
                <w:sz w:val="15"/>
              </w:rPr>
              <w:t>OpenAPI in document and pack</w:t>
            </w:r>
          </w:p>
        </w:tc>
        <w:tc>
          <w:tcPr>
            <w:tcW w:type="dxa" w:w="5184"/>
            <w:vAlign w:val="center"/>
          </w:tcPr>
          <w:p>
            <w:pPr>
              <w:spacing w:after="0"/>
            </w:pPr>
            <w:r/>
            <w:r>
              <w:rPr>
                <w:rFonts w:ascii="Arial" w:hAnsi="Arial"/>
                <w:b w:val="0"/>
                <w:sz w:val="15"/>
              </w:rPr>
              <w:t>§97 + openapi.yaml.</w:t>
            </w:r>
          </w:p>
        </w:tc>
      </w:tr>
      <w:tr>
        <w:tc>
          <w:tcPr>
            <w:tcW w:type="dxa" w:w="4608"/>
            <w:vAlign w:val="center"/>
          </w:tcPr>
          <w:p>
            <w:pPr>
              <w:spacing w:after="0"/>
            </w:pPr>
            <w:r/>
            <w:r>
              <w:rPr>
                <w:rFonts w:ascii="Arial" w:hAnsi="Arial"/>
                <w:b w:val="0"/>
                <w:sz w:val="15"/>
              </w:rPr>
              <w:t>Monitoring dashboards</w:t>
            </w:r>
          </w:p>
        </w:tc>
        <w:tc>
          <w:tcPr>
            <w:tcW w:type="dxa" w:w="5184"/>
            <w:vAlign w:val="center"/>
          </w:tcPr>
          <w:p>
            <w:pPr>
              <w:spacing w:after="0"/>
            </w:pPr>
            <w:r/>
            <w:r>
              <w:rPr>
                <w:rFonts w:ascii="Arial" w:hAnsi="Arial"/>
                <w:b w:val="0"/>
                <w:sz w:val="15"/>
              </w:rPr>
              <w:t>§98.</w:t>
            </w:r>
          </w:p>
        </w:tc>
      </w:tr>
      <w:tr>
        <w:tc>
          <w:tcPr>
            <w:tcW w:type="dxa" w:w="4608"/>
            <w:vAlign w:val="center"/>
          </w:tcPr>
          <w:p>
            <w:pPr>
              <w:spacing w:after="0"/>
            </w:pPr>
            <w:r/>
            <w:r>
              <w:rPr>
                <w:rFonts w:ascii="Arial" w:hAnsi="Arial"/>
                <w:b w:val="0"/>
                <w:sz w:val="15"/>
              </w:rPr>
              <w:t>Error propagation</w:t>
            </w:r>
          </w:p>
        </w:tc>
        <w:tc>
          <w:tcPr>
            <w:tcW w:type="dxa" w:w="5184"/>
            <w:vAlign w:val="center"/>
          </w:tcPr>
          <w:p>
            <w:pPr>
              <w:spacing w:after="0"/>
            </w:pPr>
            <w:r/>
            <w:r>
              <w:rPr>
                <w:rFonts w:ascii="Arial" w:hAnsi="Arial"/>
                <w:b w:val="0"/>
                <w:sz w:val="15"/>
              </w:rPr>
              <w:t>§99.</w:t>
            </w:r>
          </w:p>
        </w:tc>
      </w:tr>
      <w:tr>
        <w:tc>
          <w:tcPr>
            <w:tcW w:type="dxa" w:w="4608"/>
            <w:vAlign w:val="center"/>
          </w:tcPr>
          <w:p>
            <w:pPr>
              <w:spacing w:after="0"/>
            </w:pPr>
            <w:r/>
            <w:r>
              <w:rPr>
                <w:rFonts w:ascii="Arial" w:hAnsi="Arial"/>
                <w:b w:val="0"/>
                <w:sz w:val="15"/>
              </w:rPr>
              <w:t>Mobile SDK contract</w:t>
            </w:r>
          </w:p>
        </w:tc>
        <w:tc>
          <w:tcPr>
            <w:tcW w:type="dxa" w:w="5184"/>
            <w:vAlign w:val="center"/>
          </w:tcPr>
          <w:p>
            <w:pPr>
              <w:spacing w:after="0"/>
            </w:pPr>
            <w:r/>
            <w:r>
              <w:rPr>
                <w:rFonts w:ascii="Arial" w:hAnsi="Arial"/>
                <w:b w:val="0"/>
                <w:sz w:val="15"/>
              </w:rPr>
              <w:t>§100.</w:t>
            </w:r>
          </w:p>
        </w:tc>
      </w:tr>
      <w:tr>
        <w:tc>
          <w:tcPr>
            <w:tcW w:type="dxa" w:w="4608"/>
            <w:vAlign w:val="center"/>
          </w:tcPr>
          <w:p>
            <w:pPr>
              <w:spacing w:after="0"/>
            </w:pPr>
            <w:r/>
            <w:r>
              <w:rPr>
                <w:rFonts w:ascii="Arial" w:hAnsi="Arial"/>
                <w:b w:val="0"/>
                <w:sz w:val="15"/>
              </w:rPr>
              <w:t>Approval SLA/expiry</w:t>
            </w:r>
          </w:p>
        </w:tc>
        <w:tc>
          <w:tcPr>
            <w:tcW w:type="dxa" w:w="5184"/>
            <w:vAlign w:val="center"/>
          </w:tcPr>
          <w:p>
            <w:pPr>
              <w:spacing w:after="0"/>
            </w:pPr>
            <w:r/>
            <w:r>
              <w:rPr>
                <w:rFonts w:ascii="Arial" w:hAnsi="Arial"/>
                <w:b w:val="0"/>
                <w:sz w:val="15"/>
              </w:rPr>
              <w:t>§101.</w:t>
            </w:r>
          </w:p>
        </w:tc>
      </w:tr>
      <w:tr>
        <w:tc>
          <w:tcPr>
            <w:tcW w:type="dxa" w:w="4608"/>
            <w:vAlign w:val="center"/>
          </w:tcPr>
          <w:p>
            <w:pPr>
              <w:spacing w:after="0"/>
            </w:pPr>
            <w:r/>
            <w:r>
              <w:rPr>
                <w:rFonts w:ascii="Arial" w:hAnsi="Arial"/>
                <w:b w:val="0"/>
                <w:sz w:val="15"/>
              </w:rPr>
              <w:t>Payout arithmetic</w:t>
            </w:r>
          </w:p>
        </w:tc>
        <w:tc>
          <w:tcPr>
            <w:tcW w:type="dxa" w:w="5184"/>
            <w:vAlign w:val="center"/>
          </w:tcPr>
          <w:p>
            <w:pPr>
              <w:spacing w:after="0"/>
            </w:pPr>
            <w:r/>
            <w:r>
              <w:rPr>
                <w:rFonts w:ascii="Arial" w:hAnsi="Arial"/>
                <w:b w:val="0"/>
                <w:sz w:val="15"/>
              </w:rPr>
              <w:t>§102.</w:t>
            </w:r>
          </w:p>
        </w:tc>
      </w:tr>
      <w:tr>
        <w:tc>
          <w:tcPr>
            <w:tcW w:type="dxa" w:w="4608"/>
            <w:vAlign w:val="center"/>
          </w:tcPr>
          <w:p>
            <w:pPr>
              <w:spacing w:after="0"/>
            </w:pPr>
            <w:r/>
            <w:r>
              <w:rPr>
                <w:rFonts w:ascii="Arial" w:hAnsi="Arial"/>
                <w:b w:val="0"/>
                <w:sz w:val="15"/>
              </w:rPr>
              <w:t>Performance baseline</w:t>
            </w:r>
          </w:p>
        </w:tc>
        <w:tc>
          <w:tcPr>
            <w:tcW w:type="dxa" w:w="5184"/>
            <w:vAlign w:val="center"/>
          </w:tcPr>
          <w:p>
            <w:pPr>
              <w:spacing w:after="0"/>
            </w:pPr>
            <w:r/>
            <w:r>
              <w:rPr>
                <w:rFonts w:ascii="Arial" w:hAnsi="Arial"/>
                <w:b w:val="0"/>
                <w:sz w:val="15"/>
              </w:rPr>
              <w:t>§103.</w:t>
            </w:r>
          </w:p>
        </w:tc>
      </w:tr>
      <w:tr>
        <w:tc>
          <w:tcPr>
            <w:tcW w:type="dxa" w:w="4608"/>
            <w:vAlign w:val="center"/>
          </w:tcPr>
          <w:p>
            <w:pPr>
              <w:spacing w:after="0"/>
            </w:pPr>
            <w:r/>
            <w:r>
              <w:rPr>
                <w:rFonts w:ascii="Arial" w:hAnsi="Arial"/>
                <w:b w:val="0"/>
                <w:sz w:val="15"/>
              </w:rPr>
              <w:t>Known limitations/future work</w:t>
            </w:r>
          </w:p>
        </w:tc>
        <w:tc>
          <w:tcPr>
            <w:tcW w:type="dxa" w:w="5184"/>
            <w:vAlign w:val="center"/>
          </w:tcPr>
          <w:p>
            <w:pPr>
              <w:spacing w:after="0"/>
            </w:pPr>
            <w:r/>
            <w:r>
              <w:rPr>
                <w:rFonts w:ascii="Arial" w:hAnsi="Arial"/>
                <w:b w:val="0"/>
                <w:sz w:val="15"/>
              </w:rPr>
              <w:t>§104.</w:t>
            </w:r>
          </w:p>
        </w:tc>
      </w:tr>
    </w:tbl>
    <w:p/>
    <w:tbl>
      <w:tblPr>
        <w:tblStyle w:val="TableGrid"/>
        <w:tblW w:type="auto" w:w="0"/>
        <w:tblLook w:firstColumn="1" w:firstRow="1" w:lastColumn="0" w:lastRow="0" w:noHBand="0" w:noVBand="1" w:val="04A0"/>
      </w:tblPr>
      <w:tblGrid>
        <w:gridCol w:w="10454"/>
      </w:tblGrid>
      <w:tr>
        <w:tc>
          <w:tcPr>
            <w:tcW w:type="dxa" w:w="10454"/>
            <w:shd w:fill="FFF7ED"/>
          </w:tcPr>
          <w:p>
            <w:r>
              <w:rPr>
                <w:rFonts w:ascii="Arial" w:hAnsi="Arial"/>
                <w:b/>
                <w:color w:val="C2410C"/>
                <w:sz w:val="18"/>
              </w:rPr>
              <w:t>Developer handoff status</w:t>
            </w:r>
          </w:p>
          <w:p>
            <w:r>
              <w:rPr>
                <w:rFonts w:ascii="Arial" w:hAnsi="Arial"/>
                <w:sz w:val="16"/>
              </w:rPr>
              <w:t>v5 is intended to be the single developer handoff for the MVP. Real Meta/Google production enablement, launch-jurisdiction legal wording, and first Partner infrastructure choices still require real external facts and cannot be safely hard-coded into a generic specification.</w:t>
            </w:r>
          </w:p>
        </w:tc>
      </w:tr>
    </w:tbl>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3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C2410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3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