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17"/>
        <w:tblGridChange w:id="0">
          <w:tblGrid>
            <w:gridCol w:w="10617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7"/>
                <w:szCs w:val="27"/>
                <w:vertAlign w:val="baseline"/>
                <w:rtl w:val="0"/>
              </w:rPr>
              <w:t xml:space="preserve">            Electrical &amp; Instrumentation – Manager –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15 years experience (EPIC)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                                        (8 years in abroad,7 years in India)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                                                        Oil and gas experience in years 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                   Power plant &amp; power sector experience in years –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mbria" w:cs="Cambria" w:eastAsia="Cambria" w:hAnsi="Cambria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(SENIOR ENGINEER -LNG – CONSTRUCTION / COMMISSIONING /  OIL AND GAS-BROWN &amp; GREEN FIELD / POWER   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                    SECTOR/  RENEWABLE ENERGY (SOLAR,WIND)/OPERATION &amp; MAINTENANCE EXPERIENCED)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pos="900"/>
        </w:tabs>
        <w:spacing w:after="0" w:line="120" w:lineRule="auto"/>
        <w:rPr>
          <w:rFonts w:ascii="Cambria" w:cs="Cambria" w:eastAsia="Cambria" w:hAnsi="Cambri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00"/>
        </w:tabs>
        <w:spacing w:after="0" w:line="120" w:lineRule="auto"/>
        <w:rPr>
          <w:rFonts w:ascii="Cambria" w:cs="Cambria" w:eastAsia="Cambria" w:hAnsi="Cambri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00"/>
        </w:tabs>
        <w:spacing w:after="0" w:line="120" w:lineRule="auto"/>
        <w:rPr>
          <w:rFonts w:ascii="Cambria" w:cs="Cambria" w:eastAsia="Cambria" w:hAnsi="Cambri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00"/>
        </w:tabs>
        <w:spacing w:after="0" w:line="120" w:lineRule="auto"/>
        <w:rPr>
          <w:rFonts w:ascii="Cambria" w:cs="Cambria" w:eastAsia="Cambria" w:hAnsi="Cambri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47"/>
        <w:tblGridChange w:id="0">
          <w:tblGrid>
            <w:gridCol w:w="10547"/>
          </w:tblGrid>
        </w:tblGridChange>
      </w:tblGrid>
      <w:tr>
        <w:trPr>
          <w:trHeight w:val="240" w:hRule="atLeast"/>
        </w:trPr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color w:val="ffffff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vertAlign w:val="baseline"/>
                <w:rtl w:val="0"/>
              </w:rPr>
              <w:t xml:space="preserve">Job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To work in a Challenging Environment and to acquire Professional Excellence, thereby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color w:val="548dd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Contribute to the Growth and Profitability of the Organization.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rebuchet MS" w:cs="Trebuchet MS" w:eastAsia="Trebuchet MS" w:hAnsi="Trebuchet MS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9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trHeight w:val="340" w:hRule="atLeast"/>
        </w:trPr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rebuchet MS" w:cs="Trebuchet MS" w:eastAsia="Trebuchet MS" w:hAnsi="Trebuchet MS"/>
                <w:color w:val="ffffff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07"/>
              <w:gridCol w:w="2160"/>
              <w:gridCol w:w="1620"/>
              <w:gridCol w:w="1800"/>
              <w:gridCol w:w="1980"/>
              <w:gridCol w:w="1440"/>
              <w:tblGridChange w:id="0">
                <w:tblGrid>
                  <w:gridCol w:w="607"/>
                  <w:gridCol w:w="2160"/>
                  <w:gridCol w:w="1620"/>
                  <w:gridCol w:w="1800"/>
                  <w:gridCol w:w="1980"/>
                  <w:gridCol w:w="1440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16">
                  <w:pPr>
                    <w:pStyle w:val="Title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S.no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Style w:val="Title"/>
                    <w:rPr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1.</w:t>
                  </w:r>
                </w:p>
                <w:p w:rsidR="00000000" w:rsidDel="00000000" w:rsidP="00000000" w:rsidRDefault="00000000" w:rsidRPr="00000000" w14:paraId="00000018">
                  <w:pPr>
                    <w:pStyle w:val="Title"/>
                    <w:rPr>
                      <w:sz w:val="20"/>
                      <w:szCs w:val="20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Style w:val="Title"/>
                    <w:rPr>
                      <w:sz w:val="20"/>
                      <w:szCs w:val="20"/>
                    </w:rPr>
                  </w:pPr>
                  <w:bookmarkStart w:colFirst="0" w:colLast="0" w:name="_1fob9te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Style w:val="Title"/>
                    <w:rPr>
                      <w:sz w:val="20"/>
                      <w:szCs w:val="20"/>
                    </w:rPr>
                  </w:pPr>
                  <w:bookmarkStart w:colFirst="0" w:colLast="0" w:name="_3znysh7" w:id="3"/>
                  <w:bookmarkEnd w:id="3"/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2.</w:t>
                  </w:r>
                </w:p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DESIGNATION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COMPANY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CLIENT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Saudi NSH</w:t>
                  </w:r>
                </w:p>
                <w:p w:rsidR="00000000" w:rsidDel="00000000" w:rsidP="00000000" w:rsidRDefault="00000000" w:rsidRPr="00000000" w14:paraId="00000025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Style w:val="Title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Central government IPDS Scheme work (integrated power development scheme) AND power distribution work at Theni,Tamilnadu,       India.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Senior instrumental manager</w:t>
                  </w:r>
                </w:p>
                <w:p w:rsidR="00000000" w:rsidDel="00000000" w:rsidP="00000000" w:rsidRDefault="00000000" w:rsidRPr="00000000" w14:paraId="00000028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Style w:val="Title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Proprietor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Style w:val="Title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(CEO)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NSH (oil &amp; gas)</w:t>
                  </w:r>
                </w:p>
                <w:p w:rsidR="00000000" w:rsidDel="00000000" w:rsidP="00000000" w:rsidRDefault="00000000" w:rsidRPr="00000000" w14:paraId="0000002C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Style w:val="Title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VJP ENGINEERING SERVICES,  Boothipuram, Theni. Tamilnadu.India.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pStyle w:val="Title"/>
                    <w:jc w:val="left"/>
                    <w:rPr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     Saudi refiner  </w:t>
                  </w:r>
                </w:p>
                <w:p w:rsidR="00000000" w:rsidDel="00000000" w:rsidP="00000000" w:rsidRDefault="00000000" w:rsidRPr="00000000" w14:paraId="0000002F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Style w:val="Title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Style w:val="Title"/>
                    <w:jc w:val="left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  TANGEDCO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(Tamilnadu Generation and Distribution corporation-TNEB)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pStyle w:val="Title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From august 2019 to till</w:t>
                  </w:r>
                </w:p>
                <w:p w:rsidR="00000000" w:rsidDel="00000000" w:rsidP="00000000" w:rsidRDefault="00000000" w:rsidRPr="00000000" w14:paraId="00000034">
                  <w:pPr>
                    <w:pStyle w:val="Title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Style w:val="Title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Style w:val="Title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From  -2017 to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45"/>
              <w:gridCol w:w="2145"/>
              <w:gridCol w:w="1620"/>
              <w:gridCol w:w="1777"/>
              <w:gridCol w:w="1980"/>
              <w:gridCol w:w="1440"/>
              <w:tblGridChange w:id="0">
                <w:tblGrid>
                  <w:gridCol w:w="645"/>
                  <w:gridCol w:w="2145"/>
                  <w:gridCol w:w="1620"/>
                  <w:gridCol w:w="1777"/>
                  <w:gridCol w:w="1980"/>
                  <w:gridCol w:w="1440"/>
                </w:tblGrid>
              </w:tblGridChange>
            </w:tblGrid>
            <w:tr>
              <w:trPr>
                <w:trHeight w:val="11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OIL AND GAS -NORM Handling , Treatment &amp; Disposal Project At BeAAT,Abudhabi, UAE (country).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pStyle w:val="Title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vertAlign w:val="baseline"/>
                      <w:rtl w:val="0"/>
                    </w:rPr>
                    <w:t xml:space="preserve">Site Manager-Electrical and instrumentation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pStyle w:val="Title"/>
                    <w:jc w:val="left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vertAlign w:val="baseline"/>
                      <w:rtl w:val="0"/>
                    </w:rPr>
                    <w:t xml:space="preserve">Osmak E&amp;C LLC,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Abu Dhabi,UAE (country)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pStyle w:val="Title"/>
                    <w:rPr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sz w:val="20"/>
                      <w:szCs w:val="20"/>
                      <w:vertAlign w:val="baseline"/>
                      <w:rtl w:val="0"/>
                    </w:rPr>
                    <w:t xml:space="preserve">Abu Dhabi oil refining company, TAKREER,Abu dhabi,UAE.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2016 to 2017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KNPC-MAA-Clean fuel project (CFP-Green field and brown field),Kuwait.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Superintendent Engineer - Electrical and instrumentation (Completion engineer)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Nasser S alhajri co ltd,Kuwait.(EPIC)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JGC-GS-SK (Joint venture),Kuwait.(EPIC)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2014 to 2016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b05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Mong Duong II (2 x 600MW Net) Coal Fired Power Project, Quang Ninh Province, Vietnam.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Electrical and instrumentation   Engineer (completion engineer)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(1200 MW CFPP)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Doosan Heavy Industries –Vietnam. (EPIC)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AES-VCM Mong duang power co. ltd (BOT Company)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,Vietnam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2013 to 2014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Renewable energy (solar power plant, Solar Air dryer),India.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 – Solar Photovoltaic (PV) Executive Engineer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Planters Energy Network, Sun best solar products, India.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(EPIC)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Ford,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caterpillar,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TAFE,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Larsen and toubro,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TTK – LIG Ltd, Hindustan Life care Limited,etc…India.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2012 to 2013</w:t>
                  </w:r>
                </w:p>
              </w:tc>
            </w:tr>
            <w:tr>
              <w:trPr>
                <w:trHeight w:val="258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Renewable energy ,Wind power plant 120 MW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(Each 1.5 MW) ,india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Engineer Project -commissioning Department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Suzlon wind energy, India.(EPIC)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Mytrah Energy Limited,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Indian Oil Corporation Limited,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Oil &amp; Natural Gas Corporation Limited (ONGC), 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Hindustan Petroleum Corporation Limited (HPCL),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Tata Power etc……India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 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2011 to 2012</w:t>
                  </w:r>
                </w:p>
              </w:tc>
            </w:tr>
            <w:tr>
              <w:trPr>
                <w:trHeight w:val="344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RL (3) Comman off plot project,Qatar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Qatar Gas Expansion LNG Project (3,4),on shore,Qatar.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Pearl GTL project,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 7 Off plot Jetty,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Qatar.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Engineer-construction,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O&amp;M -Electrical and instrumentation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Nasser S al hajri co ltd,Qatar.(EPIC)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Kellogg Brown Root International INC.(EPIC)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Flour middle East limited,Qatar.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Chiyoda &amp; Technip  Joint Venture (CTJV),Qatar.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SHELL,Qatar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 2007 to 2011</w:t>
                  </w:r>
                </w:p>
              </w:tc>
            </w:tr>
            <w:tr>
              <w:trPr>
                <w:trHeight w:val="228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0"/>
                      <w:szCs w:val="20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Shri Renugha power plant  division.2x4.5 MW .Theni,Tamilnadu.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India.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Implant Trainee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Trainee Engineer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Material management (part time)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Shri Renugha power plant Division.(EPIC)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Shri Renugha power plant Division.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From 2004 to 2007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Detailed Work Experience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TANGEDCO GOVERNMENT APPROVED CONTRACTOR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:    TANGEDCO –GOVERNMENT CONTRACT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VJP Engineering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TANGECO-TAMILNADU ELECTRICITY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 CEO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CIVIL,MECH,E&amp;I 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Major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The Major responsibility are , proposal of tender in online and get approval from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Tamilnadu electricity board superintending engineer as well as responsible authority.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Installation of line poles, wires, conductors, transformer structure, transformers, Earth pit    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etc...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Commissioning of transformer with electricity board staffs.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To lead, in conjunction with the Board, the development of the Company’s strategy;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To lead and oversee the implementation of the Company’s long and short term plans in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accordance with its strategy;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To ensure the Company is appropriately organized and staffed and to have the authority to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hire and terminate staff as necessary to enable it to achieve the approved strategy;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To ensure that expenditures of the Company are within the authorized annual budget of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the Company;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5. To assess the principal risks of the Company and to ensure that these risks are being monitored and managed;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6. To ensure effective internal controls and management information systems are in place;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To ensure that the Company has appropriate systems to enable it to conduct its activities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both lawfully and ethically;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To ensure that the Company maintains high standards of corporate citizenship and social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responsibility wherever it does business;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To communicate effectively with  employees, Government authorities,and the public;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To ensure the integrity of all public disclosure by the Company;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2.NORM HANDLING , TREATMENT AND DISPOSAL PROJECT AT BeAAT.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:    Construction of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 Handling , Treatment &amp; Disposal Project At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BeAAT,Abudhabi.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Osmak E &amp; C LLC,Abudhabi.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TAKREER-Intecsa  industrial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 Site Manager-Electrical &amp; Instrumentation  (construction)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E&amp;I construction Works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Top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 responsibility for the safe execution of project and site/construction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the construction implementation in full compliance with Safety, Cost and Schedule, QA &amp;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QC etc.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the Pre-construction Planning, Procurement and Execution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the manpower and resources planning and mobilization allocation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Driven a Construction &amp; Commissioning driven project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the Procurement, Tender Evaluation and Selection of sub-contractors and follow thru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the QA Procedure and QC Compliance in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and tracking of procurement especially long lead item as well as bulk materials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procurement and timely delivery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the full implementation of Safety Procedure and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Safety Focus, experience in the enforcement of Safety Legislation and Corporate Safety Procedure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and Requirement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and establish the site setting up and respective enabling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the works perform compliance to Spec, COP and Project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Tracking and ensure the overall progress is on or ahead of schedule and 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Maintenance of daily record of all activities, labour &amp; plant and any non-compliant of materials and workmanship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 field monitoring to ensure quality of works deliver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ITP and document compilation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Method Statement of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multiple trades as well as specialist vendor/contractors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respective sub-contractors and monitor progress and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Walk-down, Punch-listing, Clearing and Closure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and close coordination with Client, EP team and other project team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the turnover and closure of the contract.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MAA-Clean fuel project (CFP-Green field and brown field),Kuwait.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:   Construction of  15 No’s of  Process Trains and related Utilities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Nasser S alhajri Co Ltd,Kuwait.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JGC Corporation / GS Engineering &amp; Construction / SK Engineering &amp;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Construction (JGSK-joint  venture)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 Superintendent Engineer - Electrical &amp; Instrumentation  (construction  and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System  Completions Engineer)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E&amp;I construction Works / System Completion &amp; Handover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Electrical and Instrumentation Manager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 and Lead the entire Construction Completion Matrix for the entire project.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Leading a Team of 15 No’s of Construction Engineers and collects status and progress of each Electrical &amp; instrument work report to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and forward Construction Technical Query (CTQ) raises by Site Engineers and forward to client.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and monitor all Work Permits for all the Construction Activities.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Coordination with other disciplines like Piping, Mechanical &amp; Insulation for the smooth flow of construction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with Client Material Warehouse for releasing of materials for Installation &amp; Calibration.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Various Coordination’s with Subcontractors and Third Parties.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the Zenator software and raising Inspections for all E&amp;I activities.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Giving weekly targets to Construction Engineers &amp; monitor the Construction Progress.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 the daily/weekly/monthly progress reports to Project Controls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  Mong Duong II (2 x 600MW Net) Coal Fired Power Project,  Vietnam.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: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 Duong II (2 x 600MW Net) Coal Fired Power Project, Quang Ninh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Province, Vietnam.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:  Doosan Heavy Industries –Vietnam.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         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AES-VCM Mong duang power co. ltd (BOT Company),Vietnam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Electrical and instrumentation construction Engineer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(with completion engineer)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:  E&amp;I construction Works / System Completion &amp; Handover up to commissioning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:  Electrical  and  instrumentation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Commissioning &amp; Commissioning of ELVSS / LVSS Substation &amp; Panels;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 Switch Gear (Schneider) - 6.6 KV/415V Transformer (Schneider - France Transfo)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LV Switch Gear (Schneider) - Normal &amp; Emergency Power Panels (Schneider)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Transfer Switch (Emerson- ASCO)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Switching &amp; Dimming Panels (Lutron)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Lighting Transfer Panels (Stage Craft) - CRAC Units (Emerson- Liebert Data Mate) &amp; Fan Coil Units (Dunham Bush)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 the following tests in various Electrical Equipment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 Contact resistance test - Insulation Resistance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transformer ratio test - Potential transformer turns ratio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Torque test for busbar &amp; busduct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Alarm test for Transformer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Preparation of Operation &amp; Maintenance Manual for all Electrical &amp; Mechanical Services in the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MV Switch Gear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6.6 KV/415V Transformer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LV Switch Gear - Normal &amp; Emergency Power Panels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Automatic Transfer Switch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Switching &amp; Dimming Panels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Lighting Transfer Panels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CRAC Units &amp; Fan Coil Units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Co-ordinate, Attended &amp; Supported following manufacturers for the User Training  Programs;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Schneider (MV Switch Gear, 6.6 KV/415V Transformer, LV Switch Gear &amp; Distribution Panels)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Emerson- ASCO (Automatic Transfer Switch)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Lutron (Switching &amp; Dimming Panels) - Stage Craft (Lighting Transfer Panel)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Danfoss(Variable Frequency Drives)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Myers (Lighting Inverter/UPS)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Thomas &amp; Betts / Furse (Earthing&amp; Lightning Protection)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Emerson-Liebert DataMate (Computer Room Air Conditioning (CRAC) Units)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Dunham Bush (Fan Coil Units)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Taco (Chilled Water Pumps)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Naffco (Fire Protection)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Grundfos (Plumbing System &amp; Pumps)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Titus (Variable Air Volume / Air Terminal Units)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Turn Over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the work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 Renewable energy (solar power plant, Solar Air dryer),India.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:     Construction of  various capacity solar power plant, solar air dryer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Planters Energy Network, Sun best solar products,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 Ford,caterpillar,TAFE,Larsen and toubro,TTK – LIG Ltd, Hindustan Life care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Limited,etc…India.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:    Project – Solar Photovoltaic (PV) Executive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solar PV design and implementation, solar dryer design and manufacture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CEO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Work with a team of engineers in designing, developing, testing and homologating solar photovoltaic systems, support structures, solar panels, modules, batteries and electric power generation units for residential and light commercial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"/>
              </w:numPr>
              <w:spacing w:after="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Conduct site inspections to check on work progress and compliance to work specifications.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"/>
              </w:numPr>
              <w:spacing w:after="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Conduct order support and pre-sale design activities to ensure that customer requirements can be met in accordance with product standards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Rule="auto"/>
              <w:ind w:left="360"/>
              <w:rPr>
                <w:rFonts w:ascii="Cambria" w:cs="Cambria" w:eastAsia="Cambria" w:hAnsi="Cambria"/>
                <w:color w:val="1819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color w:val="1819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917"/>
                <w:vertAlign w:val="baseline"/>
                <w:rtl w:val="0"/>
              </w:rPr>
              <w:t xml:space="preserve">Develop a pipeline of viable projects utilizing solar electric and solar water heating technologies to generate clean power and cost savings for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Rule="auto"/>
              <w:ind w:left="720"/>
              <w:rPr>
                <w:rFonts w:ascii="Cambria" w:cs="Cambria" w:eastAsia="Cambria" w:hAnsi="Cambria"/>
                <w:color w:val="1819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color w:val="1819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917"/>
                <w:vertAlign w:val="baseline"/>
                <w:rtl w:val="0"/>
              </w:rPr>
              <w:t xml:space="preserve">Conduct outreach activities in coordination with marketing staff and present program offerings in public settings to business, government, industry and agriculture audiences.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Cambria" w:cs="Cambria" w:eastAsia="Cambria" w:hAnsi="Cambria"/>
                <w:color w:val="1819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color w:val="1819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917"/>
                <w:vertAlign w:val="baseline"/>
                <w:rtl w:val="0"/>
              </w:rPr>
              <w:t xml:space="preserve">Review and evaluate proposed projects for technical and financial merits and adherence to program and Energy Trust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Cambria" w:cs="Cambria" w:eastAsia="Cambria" w:hAnsi="Cambria"/>
                <w:color w:val="1819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color w:val="1819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917"/>
                <w:vertAlign w:val="baseline"/>
                <w:rtl w:val="0"/>
              </w:rPr>
              <w:t xml:space="preserve">Provide technical customer support; respond promptly and professionally to inquiries from customers; visit customer business locations when appropriate; encourage customer investment in efficiency as well as renewable.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Rule="auto"/>
              <w:ind w:left="720"/>
              <w:rPr>
                <w:rFonts w:ascii="Cambria" w:cs="Cambria" w:eastAsia="Cambria" w:hAnsi="Cambria"/>
                <w:color w:val="1819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color w:val="1819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81917"/>
                <w:vertAlign w:val="baseline"/>
                <w:rtl w:val="0"/>
              </w:rPr>
              <w:t xml:space="preserve">Provide technical assistance and training to efficiency program staff and contractors.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5. Renewable energy ,Wind power  Project  120 MW ,india.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:    Construction of  various capacity wind tower installation and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commissioning,operation,maintenance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Suzlon Wind energy,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Mytrah Energy Limited,Indian Oil Corporation Limited,Oil &amp; Natural Gas  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Corporation     Limited (ONGC), Hindustan Petroleum Corporation Limited 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(HPCL),Tata Power  etc……India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Project 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Engineer  -commissioning Department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:    Manufacturing ,installation,commissioning,maintenance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8191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31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Major Responsibilities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Commissioning of WTG’s - capacity of 350KW, 600KW, 1.25MW, 1.5 MW.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Handling of Termination, Pre-commissioning and commissioning of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WTG’s,Control and Operation, Preventive, Breakdown, Shutdown maintenance of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Electrical power control equipments as per safety rules.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PLC programming, Calibration of WTG’s and maintaining of machines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towards stabilization.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with PLC’s (Bachmann), 3 phase transformers, Asynchronous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generator, Frequency Converter, Encoder, ACB,VCB.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Operating and troubleshooting of drives (VFD), all types of sensors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calibration.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Commissioning, Operating, troubleshooting, maintenance of Wind turbine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generator completely controlled by PLC (Bachmann).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with Safety practices associated with the industry.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Maintenance of spares and indent rise for future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Erection of switching yard (33KV , 22KV, 11KV),33KV ,11KV VCB Erection, Testing&amp; Commissioning,  Up to 1750KVA Transformers Erection, Testing&amp; Commissioning,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Erection, Testing and Commissioning of 33KV, 11KV CTs and PTs, Power Cable Laying ,Cable    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Termination Works,  Earth Resistance ,Cable Insulation Resistance, All Electrical Equipments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Insulation Resistance Testing Works,Arranging Materials required for switching yard.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 for erection work and delivery of materials to different locations.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EB Liaison follow-ups,33KV/11KV Line route survey, planning, executing the OHT line 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work.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6. RL (3) Comman off plot project,Qatar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Qatar Gas Expansion LNG Project (3,4),on shore,Qatar.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Pearl GTL project,C 7 Off plot Jetty,Qatar.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:     Construction of Oil and Gas plant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Nasser S al hajri co ltd,Qatar.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Kellogg Brown Root International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Flour middle East limited, Qatar.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Chiyoda &amp; Technip  Joint Venture (CTJV),Qatar.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SHELL, Qatar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Engineer-Electrical and instrumentation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E&amp;I construction Works / System Completion &amp; Handover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Electrical and Instrumentation Manager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 and Lead the entire Construction Completion Matrix for the Brown Field Activities.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&amp; Attend Meetings with Client’s Mechanical Handover/ SystemTurnover Departments and deliver the Construction, Inspection and Handover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Leading a Team of 5 No’s of Construction Supervisors &amp; 12 No’s of Foremen, more than 200 direct manpower including Electricians, Pipe/Tube Fitters, Technicians &amp; PTW (Permit to Work) receivers.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Raising Construction Technical Query (CTQ) to client.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Raising &amp; Managing all Work Permits/ PTW (Permit to Work) for all the Construction Activities.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&amp; Monitor all the Construction Materials flow including;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Process Transmitters &amp; Installation Accessories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Valves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LV/Fiber Optic Cable Drums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 Pipes, SS Tubes,Flanges, Gaskets &amp; all otherfitting Accessories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Junction Boxes &amp; Cable Glands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Speakers, Beacon &amp; Telephone Acoustic hoods &amp;Telephones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Monitor, Supervise &amp; Raise Inspections for all the Electrical &amp; Instrumentation scope.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&amp; Secondary Cable pulling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Buried / Above Ground / Indoor Cables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Panel, Cabinet &amp; Console Installations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Instrument, Control valves &amp; Junction Box Installation.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Instrument Calibration Inspections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Glanding &amp; Termination of Cables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Impulse Tubing, Airline Tubing, Leak Testing &amp; Steam Tracing - Heat Tracing &amp; Bundle Tube Inspections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Cable Tray, Cable Ladder &amp; Stub Up installation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Analyzer Cabinet Installation &amp; all related Inspections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Inspections in ITR (Instrument Technical Room) Rooms.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Fiber Optic Cables &amp; all related inspections including OTDR &amp; Power Meter tests.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Telecom, Public Address &amp; Voice Alarm related Inspections.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Coordination with other disciplines like Piping, Mechanical &amp; Insulation for the smooth flow of execution.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Coordinate with Client Material Warehouse for releasing of materials for Installation &amp; Calibration.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Various Coordination’s with Subcontractors and Third Parties.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Giving weekly work fronts to Supervisors and Foreman &amp; monitor the Construction Progress.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Deliver the daily/weekly/monthly progress reports to Project Controls Department.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Preparing the red lines drawings from Site &amp; Coordinate with Client’s Engineering Department &amp;  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Preparation of As-Built Drawings.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7.Shri Renugha  power plant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:     construction of thermal power plant second unit, maintenance of first unit.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:     Shri Renugha power plant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:     Shri Renugha power plant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Implant Trainee, Trainee Engineer, Material management (part time job)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:    E&amp;I construction Works / System Completion &amp; Handover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:    Electrical and Instrumentation  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2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220"/>
              <w:tblGridChange w:id="0">
                <w:tblGrid>
                  <w:gridCol w:w="9220"/>
                </w:tblGrid>
              </w:tblGridChange>
            </w:tblGrid>
            <w:tr>
              <w:trPr>
                <w:trHeight w:val="280" w:hRule="atLeast"/>
              </w:trPr>
              <w:tc>
                <w:tcPr>
                  <w:shd w:fill="8db3e2" w:val="clear"/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after="0" w:line="240" w:lineRule="auto"/>
                    <w:rPr>
                      <w:rFonts w:ascii="Trebuchet MS" w:cs="Trebuchet MS" w:eastAsia="Trebuchet MS" w:hAnsi="Trebuchet MS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color w:val="ffffff"/>
                      <w:sz w:val="20"/>
                      <w:szCs w:val="20"/>
                      <w:vertAlign w:val="baseline"/>
                      <w:rtl w:val="0"/>
                    </w:rPr>
                    <w:t xml:space="preserve">Personal Details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000000"/>
                      <w:sz w:val="10"/>
                      <w:szCs w:val="1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Address                         :      S/O  A.Veerachamy,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                      S.V.Pillai street,</w:t>
                  </w:r>
                </w:p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                     Boothipuram(post),</w:t>
                  </w:r>
                </w:p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                     Theni (district)-625531,Taminadu,India.                                  </w:t>
                  </w:r>
                </w:p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5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Nationality                   :   Indian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2">
                  <w:pPr>
                    <w:keepNext w:val="0"/>
                    <w:keepLines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5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Marital Status </w:t>
                    <w:tab/>
                    <w:t xml:space="preserve">:   Married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5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Passport No.</w:t>
                    <w:tab/>
                    <w:t xml:space="preserve">             :   N 6642093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5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Languages                    :   English, Tamil, Malayalam, Hindi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80" w:right="0" w:hanging="75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Mail id                           :    </w:t>
                  </w:r>
                  <w:hyperlink r:id="rId6">
                    <w:r w:rsidDel="00000000" w:rsidR="00000000" w:rsidRPr="00000000"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ff"/>
                        <w:sz w:val="24"/>
                        <w:szCs w:val="24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vjeyakarthik@gmail.com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 number         : +91-8870732530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B">
            <w:pPr>
              <w:tabs>
                <w:tab w:val="left" w:pos="891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/>
      <w:pgMar w:bottom="720" w:top="720" w:left="720" w:right="72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rebuchet M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010"/>
        <w:tab w:val="right" w:pos="10467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ab/>
      <w:tab/>
      <w:tab/>
      <w:tab/>
      <w:t xml:space="preserve">Page </w:t>
    </w: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of 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107.0" w:type="dxa"/>
      <w:jc w:val="left"/>
      <w:tblInd w:w="185.0" w:type="dxa"/>
      <w:tblBorders>
        <w:top w:color="000000" w:space="0" w:sz="0" w:val="nil"/>
        <w:left w:color="000000" w:space="0" w:sz="0" w:val="nil"/>
        <w:bottom w:color="4f81bd" w:space="0" w:sz="8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107"/>
      <w:tblGridChange w:id="0">
        <w:tblGrid>
          <w:gridCol w:w="10107"/>
        </w:tblGrid>
      </w:tblGridChange>
    </w:tblGrid>
    <w:tr>
      <w:trPr>
        <w:trHeight w:val="2160" w:hRule="atLeast"/>
      </w:trPr>
      <w:tc>
        <w:tcPr>
          <w:vAlign w:val="center"/>
        </w:tcPr>
        <w:p w:rsidR="00000000" w:rsidDel="00000000" w:rsidP="00000000" w:rsidRDefault="00000000" w:rsidRPr="00000000" w14:paraId="000001CE">
          <w:pPr>
            <w:spacing w:after="0" w:lineRule="auto"/>
            <w:rPr>
              <w:rFonts w:ascii="Trebuchet MS" w:cs="Trebuchet MS" w:eastAsia="Trebuchet MS" w:hAnsi="Trebuchet MS"/>
              <w:b w:val="0"/>
              <w:color w:val="0d0d0d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8"/>
              <w:szCs w:val="28"/>
              <w:vertAlign w:val="baseline"/>
              <w:rtl w:val="0"/>
            </w:rPr>
            <w:t xml:space="preserve">V.JEYAKARTHIKEYAN                                                                    </w:t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8"/>
              <w:szCs w:val="28"/>
              <w:vertAlign w:val="baseline"/>
            </w:rPr>
            <w:drawing>
              <wp:inline distB="0" distT="0" distL="114300" distR="114300">
                <wp:extent cx="681990" cy="789940"/>
                <wp:effectExtent b="0" l="0" r="0" t="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" cy="789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F">
          <w:pPr>
            <w:spacing w:after="0" w:lineRule="auto"/>
            <w:rPr>
              <w:rFonts w:ascii="Trebuchet MS" w:cs="Trebuchet MS" w:eastAsia="Trebuchet MS" w:hAnsi="Trebuchet MS"/>
              <w:b w:val="0"/>
              <w:color w:val="0d0d0d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8"/>
              <w:szCs w:val="28"/>
              <w:vertAlign w:val="baseline"/>
              <w:rtl w:val="0"/>
            </w:rPr>
            <w:t xml:space="preserve">Bachelor of engineer in Instrumentation control engineering under faculty of Electrical engineering.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Align w:val="center"/>
        </w:tcPr>
        <w:p w:rsidR="00000000" w:rsidDel="00000000" w:rsidP="00000000" w:rsidRDefault="00000000" w:rsidRPr="00000000" w14:paraId="000001D0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0"/>
              <w:szCs w:val="20"/>
              <w:vertAlign w:val="baseline"/>
              <w:rtl w:val="0"/>
            </w:rPr>
            <w:t xml:space="preserve">Phone</w:t>
            <w:tab/>
            <w:t xml:space="preserve">:+91-8870732530  (India)                                                  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1D1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0"/>
              <w:szCs w:val="20"/>
              <w:vertAlign w:val="baseline"/>
              <w:rtl w:val="0"/>
            </w:rPr>
            <w:t xml:space="preserve">Email </w:t>
            <w:tab/>
            <w:t xml:space="preserve">: </w:t>
          </w:r>
          <w:hyperlink r:id="rId2"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vjeyakarthik@gmail.com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color w:val="0d0d0d"/>
              <w:sz w:val="20"/>
              <w:szCs w:val="20"/>
              <w:vertAlign w:val="baseline"/>
              <w:rtl w:val="0"/>
            </w:rPr>
            <w:t xml:space="preserve">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2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3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4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5">
          <w:pPr>
            <w:spacing w:after="0" w:line="240" w:lineRule="auto"/>
            <w:rPr>
              <w:rFonts w:ascii="Trebuchet MS" w:cs="Trebuchet MS" w:eastAsia="Trebuchet MS" w:hAnsi="Trebuchet MS"/>
              <w:b w:val="0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" w:hRule="atLeast"/>
      </w:trPr>
      <w:tc>
        <w:tcPr>
          <w:tcBorders>
            <w:bottom w:color="4f81bd" w:space="0" w:sz="12" w:val="single"/>
          </w:tcBorders>
          <w:vAlign w:val="center"/>
        </w:tcPr>
        <w:p w:rsidR="00000000" w:rsidDel="00000000" w:rsidP="00000000" w:rsidRDefault="00000000" w:rsidRPr="00000000" w14:paraId="000001D6">
          <w:pPr>
            <w:spacing w:after="0" w:line="240" w:lineRule="auto"/>
            <w:rPr>
              <w:rFonts w:ascii="Trebuchet MS" w:cs="Trebuchet MS" w:eastAsia="Trebuchet MS" w:hAnsi="Trebuchet MS"/>
              <w:color w:val="0d0d0d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12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1845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0"/>
      <w:numFmt w:val="bullet"/>
      <w:lvlText w:val="●"/>
      <w:lvlJc w:val="left"/>
      <w:pPr>
        <w:ind w:left="40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125" w:hanging="360"/>
      </w:pPr>
      <w:rPr>
        <w:rFonts w:ascii="Cambria" w:cs="Cambria" w:eastAsia="Cambria" w:hAnsi="Cambria"/>
        <w:vertAlign w:val="baseline"/>
      </w:rPr>
    </w:lvl>
    <w:lvl w:ilvl="2">
      <w:start w:val="0"/>
      <w:numFmt w:val="bullet"/>
      <w:lvlText w:val="–"/>
      <w:lvlJc w:val="left"/>
      <w:pPr>
        <w:ind w:left="1845" w:hanging="360"/>
      </w:pPr>
      <w:rPr>
        <w:rFonts w:ascii="Cambria" w:cs="Cambria" w:eastAsia="Cambria" w:hAnsi="Cambria"/>
        <w:vertAlign w:val="baseline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t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t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t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t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ta" w:eastAsia="en-US" w:val="en-US"/>
    </w:rPr>
  </w:style>
  <w:style w:type="character" w:styleId="LineNumber">
    <w:name w:val="Line Number"/>
    <w:basedOn w:val="DefaultParagraphFont"/>
    <w:next w:val="Lin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t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Arial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TMLTypewriter2">
    <w:name w:val="HTML Typewriter2"/>
    <w:next w:val="HTMLTypewriter2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t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ta"/>
    </w:rPr>
  </w:style>
  <w:style w:type="character" w:styleId="complete">
    <w:name w:val="complete"/>
    <w:next w:val="comple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ore">
    <w:name w:val="more"/>
    <w:next w:val="m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t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t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jeyakarthik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vjeyakarth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2017-01-05T08:15:00Z</dcterms:created>
  <dc:creator>SelvaNayagam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